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F899B1" w14:textId="18D4240B" w:rsidR="00283C16" w:rsidRPr="008F6347" w:rsidRDefault="005F12A6" w:rsidP="00445F1F">
      <w:pPr>
        <w:pStyle w:val="a9"/>
        <w:rPr>
          <w:rFonts w:cs="Arial"/>
          <w:kern w:val="2"/>
        </w:rPr>
      </w:pPr>
      <w:r w:rsidRPr="008F6347">
        <w:rPr>
          <w:rFonts w:cs="Arial"/>
          <w:noProof/>
          <w:kern w:val="2"/>
          <w:lang w:bidi="ar-SA"/>
        </w:rPr>
        <w:drawing>
          <wp:anchor distT="0" distB="0" distL="114300" distR="114300" simplePos="0" relativeHeight="251631104" behindDoc="1" locked="0" layoutInCell="1" allowOverlap="1" wp14:anchorId="0D37382D" wp14:editId="16D3FE7E">
            <wp:simplePos x="0" y="0"/>
            <wp:positionH relativeFrom="column">
              <wp:posOffset>-466079</wp:posOffset>
            </wp:positionH>
            <wp:positionV relativeFrom="paragraph">
              <wp:posOffset>-335915</wp:posOffset>
            </wp:positionV>
            <wp:extent cx="7589520" cy="107270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89520" cy="1072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D0240" w14:textId="77777777" w:rsidR="00445F1F" w:rsidRPr="008F6347" w:rsidRDefault="00445F1F" w:rsidP="00445F1F">
      <w:pPr>
        <w:pStyle w:val="a9"/>
        <w:rPr>
          <w:rFonts w:cs="Arial"/>
          <w:kern w:val="2"/>
        </w:rPr>
      </w:pPr>
    </w:p>
    <w:p w14:paraId="5CBC411E" w14:textId="77777777" w:rsidR="00445F1F" w:rsidRPr="008F6347" w:rsidRDefault="00445F1F" w:rsidP="00445F1F">
      <w:pPr>
        <w:pStyle w:val="a9"/>
        <w:rPr>
          <w:rFonts w:cs="Arial"/>
          <w:kern w:val="2"/>
        </w:rPr>
      </w:pPr>
    </w:p>
    <w:p w14:paraId="3D1AFD02" w14:textId="77777777" w:rsidR="00445F1F" w:rsidRPr="008F6347" w:rsidRDefault="00445F1F" w:rsidP="00445F1F">
      <w:pPr>
        <w:pStyle w:val="a9"/>
        <w:rPr>
          <w:rFonts w:cs="Arial"/>
          <w:kern w:val="2"/>
        </w:rPr>
      </w:pPr>
    </w:p>
    <w:p w14:paraId="4F68F8C9" w14:textId="77777777" w:rsidR="00445F1F" w:rsidRPr="008F6347" w:rsidRDefault="00445F1F" w:rsidP="00445F1F">
      <w:pPr>
        <w:pStyle w:val="a9"/>
        <w:rPr>
          <w:rFonts w:cs="Arial"/>
          <w:kern w:val="2"/>
        </w:rPr>
      </w:pPr>
    </w:p>
    <w:p w14:paraId="091D26AB" w14:textId="0C1774C1" w:rsidR="005C1834" w:rsidRPr="008F6347" w:rsidRDefault="005C1834" w:rsidP="00445F1F">
      <w:pPr>
        <w:pStyle w:val="a9"/>
        <w:rPr>
          <w:rFonts w:cs="Arial"/>
          <w:kern w:val="2"/>
        </w:rPr>
      </w:pPr>
    </w:p>
    <w:p w14:paraId="3E6113F6" w14:textId="77777777" w:rsidR="005C1834" w:rsidRPr="008F6347" w:rsidRDefault="005C1834" w:rsidP="00445F1F">
      <w:pPr>
        <w:pStyle w:val="a9"/>
        <w:rPr>
          <w:rFonts w:cs="Arial"/>
          <w:kern w:val="2"/>
        </w:rPr>
      </w:pPr>
    </w:p>
    <w:p w14:paraId="2D4793CB" w14:textId="77777777" w:rsidR="005C1834" w:rsidRPr="008F6347" w:rsidRDefault="005C1834" w:rsidP="00445F1F">
      <w:pPr>
        <w:pStyle w:val="a9"/>
        <w:rPr>
          <w:rFonts w:cs="Arial"/>
          <w:kern w:val="2"/>
        </w:rPr>
      </w:pPr>
    </w:p>
    <w:p w14:paraId="2DFD9AE7" w14:textId="77777777" w:rsidR="00660EC5" w:rsidRPr="008F6347" w:rsidRDefault="00660EC5" w:rsidP="00445F1F">
      <w:pPr>
        <w:pStyle w:val="a9"/>
        <w:rPr>
          <w:rFonts w:cs="Arial"/>
          <w:kern w:val="2"/>
        </w:rPr>
      </w:pPr>
    </w:p>
    <w:p w14:paraId="752C66AF" w14:textId="06D8E10E" w:rsidR="00660EC5" w:rsidRPr="008F6347" w:rsidRDefault="00660EC5" w:rsidP="00445F1F">
      <w:pPr>
        <w:pStyle w:val="a9"/>
        <w:rPr>
          <w:rFonts w:cs="Arial"/>
          <w:kern w:val="2"/>
        </w:rPr>
      </w:pPr>
    </w:p>
    <w:p w14:paraId="436C2E73" w14:textId="77777777" w:rsidR="00660EC5" w:rsidRPr="008F6347" w:rsidRDefault="00660EC5" w:rsidP="00445F1F">
      <w:pPr>
        <w:pStyle w:val="a9"/>
        <w:rPr>
          <w:rFonts w:cs="Arial"/>
          <w:kern w:val="2"/>
        </w:rPr>
      </w:pPr>
    </w:p>
    <w:p w14:paraId="283EDAC1" w14:textId="77777777" w:rsidR="00660EC5" w:rsidRPr="008F6347" w:rsidRDefault="00660EC5" w:rsidP="00445F1F">
      <w:pPr>
        <w:pStyle w:val="a9"/>
        <w:rPr>
          <w:rFonts w:cs="Arial"/>
          <w:kern w:val="2"/>
        </w:rPr>
      </w:pPr>
    </w:p>
    <w:p w14:paraId="0E5AE3F3" w14:textId="77777777" w:rsidR="00660EC5" w:rsidRPr="008F6347" w:rsidRDefault="00660EC5" w:rsidP="00445F1F">
      <w:pPr>
        <w:pStyle w:val="a9"/>
        <w:rPr>
          <w:rFonts w:cs="Arial"/>
          <w:kern w:val="2"/>
        </w:rPr>
      </w:pPr>
    </w:p>
    <w:p w14:paraId="4FE79FD8" w14:textId="77777777" w:rsidR="00660EC5" w:rsidRPr="008F6347" w:rsidRDefault="00660EC5" w:rsidP="00445F1F">
      <w:pPr>
        <w:pStyle w:val="a9"/>
        <w:rPr>
          <w:rFonts w:cs="Arial"/>
          <w:kern w:val="2"/>
        </w:rPr>
      </w:pPr>
    </w:p>
    <w:p w14:paraId="03EBEEA6" w14:textId="77777777" w:rsidR="00660EC5" w:rsidRPr="008F6347" w:rsidRDefault="00660EC5" w:rsidP="00445F1F">
      <w:pPr>
        <w:pStyle w:val="a9"/>
        <w:rPr>
          <w:rFonts w:cs="Arial"/>
          <w:kern w:val="2"/>
        </w:rPr>
      </w:pPr>
    </w:p>
    <w:p w14:paraId="0D2F0D3B" w14:textId="0AEAEEA1" w:rsidR="00660EC5" w:rsidRPr="008F6347" w:rsidRDefault="00660EC5" w:rsidP="00445F1F">
      <w:pPr>
        <w:pStyle w:val="a9"/>
        <w:rPr>
          <w:rFonts w:cs="Arial"/>
          <w:kern w:val="2"/>
        </w:rPr>
      </w:pPr>
    </w:p>
    <w:p w14:paraId="611B4961" w14:textId="77777777" w:rsidR="00660EC5" w:rsidRPr="008F6347" w:rsidRDefault="00660EC5" w:rsidP="00445F1F">
      <w:pPr>
        <w:pStyle w:val="a9"/>
        <w:rPr>
          <w:rFonts w:cs="Arial"/>
          <w:kern w:val="2"/>
        </w:rPr>
      </w:pPr>
    </w:p>
    <w:p w14:paraId="6EDAE9E0" w14:textId="77777777" w:rsidR="00FC1B52" w:rsidRPr="008F6347" w:rsidRDefault="00FC1B52" w:rsidP="00FC1B52">
      <w:pPr>
        <w:pStyle w:val="Default"/>
        <w:rPr>
          <w:rFonts w:ascii="Arial" w:hAnsi="Arial" w:cs="Arial"/>
          <w:kern w:val="2"/>
        </w:rPr>
      </w:pPr>
    </w:p>
    <w:p w14:paraId="5F4B15D5" w14:textId="4901A447" w:rsidR="00FC1B52" w:rsidRPr="008F6347" w:rsidRDefault="00FC1B52" w:rsidP="00FC1B52">
      <w:pPr>
        <w:pStyle w:val="Default"/>
        <w:rPr>
          <w:rFonts w:ascii="Arial" w:hAnsi="Arial" w:cs="Arial"/>
          <w:color w:val="auto"/>
          <w:kern w:val="2"/>
        </w:rPr>
      </w:pPr>
    </w:p>
    <w:p w14:paraId="5E91761A" w14:textId="2CF9868D" w:rsidR="00FC1B52" w:rsidRPr="008F6347" w:rsidRDefault="00FC1B52" w:rsidP="00D213AC">
      <w:pPr>
        <w:pStyle w:val="Default"/>
        <w:ind w:left="3686" w:right="-21"/>
        <w:rPr>
          <w:rFonts w:ascii="Arial" w:hAnsi="Arial" w:cs="Arial"/>
          <w:color w:val="FFFFFF"/>
          <w:kern w:val="2"/>
          <w:sz w:val="56"/>
          <w:szCs w:val="56"/>
        </w:rPr>
      </w:pPr>
      <w:r w:rsidRPr="008F6347">
        <w:rPr>
          <w:rFonts w:ascii="Arial" w:hAnsi="Arial"/>
          <w:b/>
          <w:color w:val="FFFFFF"/>
          <w:kern w:val="2"/>
          <w:sz w:val="56"/>
          <w:szCs w:val="56"/>
        </w:rPr>
        <w:t>ПРЕПАРАТ ЕНБРЕЛ</w:t>
      </w:r>
      <w:r w:rsidRPr="008F6347">
        <w:rPr>
          <w:rFonts w:ascii="Arial" w:hAnsi="Arial"/>
          <w:b/>
          <w:color w:val="FFFFFF"/>
          <w:kern w:val="2"/>
          <w:sz w:val="56"/>
          <w:szCs w:val="56"/>
          <w:vertAlign w:val="superscript"/>
        </w:rPr>
        <w:t>®</w:t>
      </w:r>
      <w:r w:rsidRPr="008F6347">
        <w:rPr>
          <w:rFonts w:ascii="Arial" w:hAnsi="Arial"/>
          <w:b/>
          <w:color w:val="FFFFFF"/>
          <w:kern w:val="2"/>
          <w:sz w:val="56"/>
          <w:szCs w:val="56"/>
        </w:rPr>
        <w:t xml:space="preserve"> ДЛЯ ВАШОГО ЖИТТЯ — ЗА ДОПОМОГОЮ МАЙ</w:t>
      </w:r>
      <w:r w:rsidR="00D213AC" w:rsidRPr="008F6347">
        <w:rPr>
          <w:rFonts w:ascii="Arial" w:hAnsi="Arial"/>
          <w:b/>
          <w:color w:val="FFFFFF"/>
          <w:kern w:val="2"/>
          <w:sz w:val="56"/>
          <w:szCs w:val="56"/>
        </w:rPr>
        <w:t> </w:t>
      </w:r>
      <w:r w:rsidRPr="008F6347">
        <w:rPr>
          <w:rFonts w:ascii="Arial" w:hAnsi="Arial"/>
          <w:b/>
          <w:color w:val="FFFFFF"/>
          <w:kern w:val="2"/>
          <w:sz w:val="56"/>
          <w:szCs w:val="56"/>
        </w:rPr>
        <w:t>КЛІК</w:t>
      </w:r>
      <w:r w:rsidRPr="008F6347">
        <w:rPr>
          <w:rFonts w:ascii="Arial" w:hAnsi="Arial"/>
          <w:b/>
          <w:color w:val="FFFFFF"/>
          <w:kern w:val="2"/>
          <w:sz w:val="56"/>
          <w:szCs w:val="56"/>
          <w:vertAlign w:val="superscript"/>
        </w:rPr>
        <w:t>®</w:t>
      </w:r>
    </w:p>
    <w:p w14:paraId="0D6CA89A" w14:textId="77777777" w:rsidR="00FC1B52" w:rsidRPr="008F6347" w:rsidRDefault="00FC1B52" w:rsidP="00D213AC">
      <w:pPr>
        <w:pStyle w:val="a9"/>
        <w:ind w:left="3686" w:right="488"/>
        <w:rPr>
          <w:rFonts w:cs="Arial"/>
          <w:kern w:val="2"/>
          <w:sz w:val="22"/>
        </w:rPr>
      </w:pPr>
    </w:p>
    <w:p w14:paraId="1C8CD7AA" w14:textId="77777777" w:rsidR="00FC1B52" w:rsidRPr="008F6347" w:rsidRDefault="00FC1B52" w:rsidP="00D213AC">
      <w:pPr>
        <w:pStyle w:val="a9"/>
        <w:ind w:left="3686" w:right="488"/>
        <w:rPr>
          <w:rFonts w:cs="Arial"/>
          <w:kern w:val="2"/>
          <w:sz w:val="22"/>
        </w:rPr>
      </w:pPr>
    </w:p>
    <w:p w14:paraId="623A65AE" w14:textId="2364CE42" w:rsidR="005C1834" w:rsidRPr="008F6347" w:rsidRDefault="00FC1B52" w:rsidP="00D213AC">
      <w:pPr>
        <w:pStyle w:val="a9"/>
        <w:ind w:left="3686" w:right="488"/>
        <w:rPr>
          <w:rFonts w:cs="Arial"/>
          <w:b/>
          <w:bCs/>
          <w:color w:val="FFFFFF"/>
          <w:kern w:val="2"/>
          <w:sz w:val="28"/>
          <w:szCs w:val="36"/>
        </w:rPr>
      </w:pPr>
      <w:r w:rsidRPr="008F6347">
        <w:rPr>
          <w:b/>
          <w:color w:val="FFFFFF"/>
          <w:kern w:val="2"/>
          <w:sz w:val="28"/>
        </w:rPr>
        <w:t>Покроковий посібник із користування попередньо наповненою шприц-ручкою з</w:t>
      </w:r>
      <w:r w:rsidR="00D213AC" w:rsidRPr="008F6347">
        <w:rPr>
          <w:b/>
          <w:color w:val="FFFFFF"/>
          <w:kern w:val="2"/>
          <w:sz w:val="28"/>
        </w:rPr>
        <w:t> </w:t>
      </w:r>
      <w:r w:rsidRPr="008F6347">
        <w:rPr>
          <w:b/>
          <w:color w:val="FFFFFF"/>
          <w:kern w:val="2"/>
          <w:sz w:val="28"/>
        </w:rPr>
        <w:t>препаратом ЕНБРЕЛ 50 мг — МАЙ КЛІК</w:t>
      </w:r>
    </w:p>
    <w:p w14:paraId="755BA4A4" w14:textId="1EA1AD21" w:rsidR="005C1834" w:rsidRPr="008F6347" w:rsidRDefault="005C1834" w:rsidP="00445F1F">
      <w:pPr>
        <w:pStyle w:val="a9"/>
        <w:rPr>
          <w:rFonts w:cs="Arial"/>
          <w:kern w:val="2"/>
        </w:rPr>
      </w:pPr>
    </w:p>
    <w:p w14:paraId="57C81F03" w14:textId="77777777" w:rsidR="005C1834" w:rsidRPr="008F6347" w:rsidRDefault="005C1834" w:rsidP="00445F1F">
      <w:pPr>
        <w:pStyle w:val="a9"/>
        <w:rPr>
          <w:rFonts w:cs="Arial"/>
          <w:kern w:val="2"/>
        </w:rPr>
      </w:pPr>
    </w:p>
    <w:p w14:paraId="335AA49C" w14:textId="77777777" w:rsidR="005C1834" w:rsidRPr="008F6347" w:rsidRDefault="005C1834" w:rsidP="00445F1F">
      <w:pPr>
        <w:pStyle w:val="a9"/>
        <w:rPr>
          <w:rFonts w:cs="Arial"/>
          <w:kern w:val="2"/>
        </w:rPr>
      </w:pPr>
    </w:p>
    <w:p w14:paraId="3769CB71" w14:textId="50051AA0" w:rsidR="005C1834" w:rsidRPr="008F6347" w:rsidRDefault="005C1834" w:rsidP="00445F1F">
      <w:pPr>
        <w:pStyle w:val="a9"/>
        <w:rPr>
          <w:rFonts w:cs="Arial"/>
          <w:kern w:val="2"/>
        </w:rPr>
      </w:pPr>
    </w:p>
    <w:p w14:paraId="70AE6E90" w14:textId="77777777" w:rsidR="005C1834" w:rsidRPr="008F6347" w:rsidRDefault="005C1834" w:rsidP="00445F1F">
      <w:pPr>
        <w:pStyle w:val="a9"/>
        <w:rPr>
          <w:rFonts w:cs="Arial"/>
          <w:kern w:val="2"/>
        </w:rPr>
      </w:pPr>
    </w:p>
    <w:p w14:paraId="6ED47336" w14:textId="77777777" w:rsidR="005C1834" w:rsidRPr="008F6347" w:rsidRDefault="005C1834" w:rsidP="00445F1F">
      <w:pPr>
        <w:pStyle w:val="a9"/>
        <w:rPr>
          <w:rFonts w:cs="Arial"/>
          <w:kern w:val="2"/>
        </w:rPr>
      </w:pPr>
    </w:p>
    <w:p w14:paraId="6754C3D8" w14:textId="77777777" w:rsidR="005C1834" w:rsidRPr="008F6347" w:rsidRDefault="005C1834" w:rsidP="00445F1F">
      <w:pPr>
        <w:pStyle w:val="a9"/>
        <w:rPr>
          <w:rFonts w:cs="Arial"/>
          <w:kern w:val="2"/>
        </w:rPr>
      </w:pPr>
    </w:p>
    <w:p w14:paraId="39EA1E98" w14:textId="4669C828" w:rsidR="005C1834" w:rsidRPr="008F6347" w:rsidRDefault="005C1834" w:rsidP="00445F1F">
      <w:pPr>
        <w:pStyle w:val="a9"/>
        <w:rPr>
          <w:rFonts w:cs="Arial"/>
          <w:kern w:val="2"/>
        </w:rPr>
      </w:pPr>
    </w:p>
    <w:p w14:paraId="65A480FD" w14:textId="77777777" w:rsidR="00133E13" w:rsidRPr="008F6347" w:rsidRDefault="00133E13" w:rsidP="00445F1F">
      <w:pPr>
        <w:pStyle w:val="a9"/>
        <w:rPr>
          <w:rFonts w:cs="Arial"/>
          <w:kern w:val="2"/>
        </w:rPr>
      </w:pPr>
    </w:p>
    <w:p w14:paraId="72F54698" w14:textId="1C6225B6" w:rsidR="00133E13" w:rsidRPr="008F6347" w:rsidRDefault="00133E13" w:rsidP="00445F1F">
      <w:pPr>
        <w:pStyle w:val="a9"/>
        <w:rPr>
          <w:rFonts w:cs="Arial"/>
          <w:kern w:val="2"/>
        </w:rPr>
      </w:pPr>
    </w:p>
    <w:p w14:paraId="46A22982" w14:textId="77777777" w:rsidR="00133E13" w:rsidRPr="008F6347" w:rsidRDefault="00133E13" w:rsidP="00445F1F">
      <w:pPr>
        <w:pStyle w:val="a9"/>
        <w:rPr>
          <w:rFonts w:cs="Arial"/>
          <w:kern w:val="2"/>
        </w:rPr>
      </w:pPr>
    </w:p>
    <w:p w14:paraId="561F3678" w14:textId="77777777" w:rsidR="00660EC5" w:rsidRPr="008F6347" w:rsidRDefault="00660EC5" w:rsidP="00445F1F">
      <w:pPr>
        <w:pStyle w:val="a9"/>
        <w:rPr>
          <w:rFonts w:cs="Arial"/>
          <w:kern w:val="2"/>
        </w:rPr>
      </w:pPr>
    </w:p>
    <w:p w14:paraId="0679760F" w14:textId="7ED0EFC0" w:rsidR="00660EC5" w:rsidRPr="008F6347" w:rsidRDefault="00660EC5" w:rsidP="00445F1F">
      <w:pPr>
        <w:pStyle w:val="a9"/>
        <w:rPr>
          <w:rFonts w:cs="Arial"/>
          <w:kern w:val="2"/>
        </w:rPr>
      </w:pPr>
    </w:p>
    <w:p w14:paraId="7CB2D677" w14:textId="77777777" w:rsidR="00660EC5" w:rsidRPr="008F6347" w:rsidRDefault="00660EC5" w:rsidP="00445F1F">
      <w:pPr>
        <w:pStyle w:val="a9"/>
        <w:rPr>
          <w:rFonts w:cs="Arial"/>
          <w:kern w:val="2"/>
        </w:rPr>
      </w:pPr>
    </w:p>
    <w:p w14:paraId="73DA9C32" w14:textId="4E69B8E8" w:rsidR="00660EC5" w:rsidRPr="008F6347" w:rsidRDefault="00660EC5" w:rsidP="00445F1F">
      <w:pPr>
        <w:pStyle w:val="a9"/>
        <w:rPr>
          <w:rFonts w:cs="Arial"/>
          <w:kern w:val="2"/>
        </w:rPr>
      </w:pPr>
    </w:p>
    <w:p w14:paraId="24A72BDE" w14:textId="77777777" w:rsidR="00660EC5" w:rsidRPr="008F6347" w:rsidRDefault="00660EC5" w:rsidP="00445F1F">
      <w:pPr>
        <w:pStyle w:val="a9"/>
        <w:rPr>
          <w:rFonts w:cs="Arial"/>
          <w:kern w:val="2"/>
        </w:rPr>
      </w:pPr>
    </w:p>
    <w:p w14:paraId="3C4AA74F" w14:textId="77777777" w:rsidR="00133E13" w:rsidRPr="008F6347" w:rsidRDefault="00133E13" w:rsidP="00445F1F">
      <w:pPr>
        <w:pStyle w:val="a9"/>
        <w:rPr>
          <w:rFonts w:cs="Arial"/>
          <w:kern w:val="2"/>
        </w:rPr>
      </w:pPr>
    </w:p>
    <w:p w14:paraId="17015C5E" w14:textId="77777777" w:rsidR="00133E13" w:rsidRPr="008F6347" w:rsidRDefault="00133E13" w:rsidP="00445F1F">
      <w:pPr>
        <w:pStyle w:val="a9"/>
        <w:rPr>
          <w:kern w:val="2"/>
        </w:rPr>
      </w:pPr>
    </w:p>
    <w:p w14:paraId="2A412D62" w14:textId="77777777" w:rsidR="00BB59C9" w:rsidRPr="008F6347" w:rsidRDefault="00BB59C9" w:rsidP="00445F1F">
      <w:pPr>
        <w:pStyle w:val="a9"/>
        <w:rPr>
          <w:kern w:val="2"/>
        </w:rPr>
      </w:pPr>
    </w:p>
    <w:p w14:paraId="2176DB06" w14:textId="22B8C739" w:rsidR="00133E13" w:rsidRPr="008F6347" w:rsidRDefault="00133E13" w:rsidP="00133E13">
      <w:pPr>
        <w:autoSpaceDE w:val="0"/>
        <w:autoSpaceDN w:val="0"/>
        <w:adjustRightInd w:val="0"/>
        <w:rPr>
          <w:kern w:val="2"/>
        </w:rPr>
      </w:pPr>
    </w:p>
    <w:p w14:paraId="67BD4786" w14:textId="77777777" w:rsidR="00133E13" w:rsidRPr="008F6347" w:rsidRDefault="00133E13" w:rsidP="00133E13">
      <w:pPr>
        <w:autoSpaceDE w:val="0"/>
        <w:autoSpaceDN w:val="0"/>
        <w:adjustRightInd w:val="0"/>
        <w:rPr>
          <w:kern w:val="2"/>
        </w:rPr>
      </w:pPr>
    </w:p>
    <w:p w14:paraId="636DD16B" w14:textId="77777777" w:rsidR="00133E13" w:rsidRPr="008F6347" w:rsidRDefault="00133E13" w:rsidP="00133E13">
      <w:pPr>
        <w:autoSpaceDE w:val="0"/>
        <w:autoSpaceDN w:val="0"/>
        <w:adjustRightInd w:val="0"/>
        <w:rPr>
          <w:kern w:val="2"/>
        </w:rPr>
      </w:pPr>
    </w:p>
    <w:p w14:paraId="0707EBBD" w14:textId="547BC4BC" w:rsidR="00133E13" w:rsidRPr="008F6347" w:rsidRDefault="00133E13" w:rsidP="00133E13">
      <w:pPr>
        <w:autoSpaceDE w:val="0"/>
        <w:autoSpaceDN w:val="0"/>
        <w:adjustRightInd w:val="0"/>
        <w:rPr>
          <w:kern w:val="2"/>
        </w:rPr>
      </w:pPr>
    </w:p>
    <w:p w14:paraId="55EB5A6C" w14:textId="77777777" w:rsidR="00FD07B7" w:rsidRPr="008F6347" w:rsidRDefault="00FD07B7" w:rsidP="00133E13">
      <w:pPr>
        <w:autoSpaceDE w:val="0"/>
        <w:autoSpaceDN w:val="0"/>
        <w:adjustRightInd w:val="0"/>
        <w:ind w:left="4608"/>
        <w:rPr>
          <w:rFonts w:cs="Arial"/>
          <w:color w:val="FFFFFF"/>
          <w:kern w:val="2"/>
          <w:szCs w:val="18"/>
        </w:rPr>
      </w:pPr>
    </w:p>
    <w:p w14:paraId="40F8B3E1" w14:textId="77777777" w:rsidR="00FD07B7" w:rsidRPr="008F6347" w:rsidRDefault="00FD07B7" w:rsidP="00133E13">
      <w:pPr>
        <w:autoSpaceDE w:val="0"/>
        <w:autoSpaceDN w:val="0"/>
        <w:adjustRightInd w:val="0"/>
        <w:ind w:left="4608"/>
        <w:rPr>
          <w:rFonts w:cs="Arial"/>
          <w:color w:val="FFFFFF"/>
          <w:kern w:val="2"/>
          <w:szCs w:val="18"/>
        </w:rPr>
      </w:pPr>
    </w:p>
    <w:p w14:paraId="1301C04B" w14:textId="3230857B" w:rsidR="00133E13" w:rsidRPr="008F6347" w:rsidRDefault="00133E13" w:rsidP="00133E13">
      <w:pPr>
        <w:autoSpaceDE w:val="0"/>
        <w:autoSpaceDN w:val="0"/>
        <w:adjustRightInd w:val="0"/>
        <w:ind w:left="4608"/>
        <w:rPr>
          <w:rFonts w:cs="Arial"/>
          <w:color w:val="FFFFFF"/>
          <w:kern w:val="2"/>
          <w:sz w:val="20"/>
          <w:szCs w:val="20"/>
        </w:rPr>
      </w:pPr>
    </w:p>
    <w:p w14:paraId="453AA781" w14:textId="08A2043F" w:rsidR="00133E13" w:rsidRPr="00F85E41" w:rsidRDefault="00133E13" w:rsidP="00D213AC">
      <w:pPr>
        <w:pStyle w:val="a9"/>
        <w:ind w:left="4608"/>
        <w:rPr>
          <w:rFonts w:cs="Arial"/>
          <w:color w:val="FFFFFF" w:themeColor="background1"/>
          <w:spacing w:val="-2"/>
          <w:kern w:val="2"/>
          <w:sz w:val="19"/>
          <w:szCs w:val="19"/>
        </w:rPr>
      </w:pPr>
      <w:r w:rsidRPr="008F6347">
        <w:rPr>
          <w:color w:val="FFFFFF"/>
          <w:kern w:val="2"/>
          <w:sz w:val="19"/>
          <w:szCs w:val="19"/>
        </w:rPr>
        <w:t xml:space="preserve">Важлива інформація, з якою слід ознайомитися перед </w:t>
      </w:r>
      <w:r w:rsidRPr="008F6347">
        <w:rPr>
          <w:color w:val="FFFFFF"/>
          <w:spacing w:val="-2"/>
          <w:kern w:val="2"/>
          <w:sz w:val="19"/>
          <w:szCs w:val="19"/>
        </w:rPr>
        <w:t xml:space="preserve">використанням препарату ЕНБРЕЛ, наведена </w:t>
      </w:r>
      <w:r w:rsidRPr="00F85E41">
        <w:rPr>
          <w:color w:val="FFFFFF" w:themeColor="background1"/>
          <w:spacing w:val="-2"/>
          <w:kern w:val="2"/>
          <w:sz w:val="19"/>
          <w:szCs w:val="19"/>
        </w:rPr>
        <w:t xml:space="preserve">в </w:t>
      </w:r>
      <w:r w:rsidR="005C5F28" w:rsidRPr="00F85E41">
        <w:rPr>
          <w:color w:val="FFFFFF" w:themeColor="background1"/>
          <w:spacing w:val="-2"/>
          <w:kern w:val="2"/>
          <w:sz w:val="19"/>
          <w:szCs w:val="19"/>
          <w:lang w:val="ru-RU"/>
        </w:rPr>
        <w:t xml:space="preserve">інструкції </w:t>
      </w:r>
      <w:r w:rsidR="00F85E41" w:rsidRPr="00F85E41">
        <w:rPr>
          <w:color w:val="FFFFFF" w:themeColor="background1"/>
          <w:spacing w:val="-2"/>
          <w:kern w:val="2"/>
          <w:sz w:val="19"/>
          <w:szCs w:val="19"/>
        </w:rPr>
        <w:t xml:space="preserve">для медичного </w:t>
      </w:r>
      <w:r w:rsidR="005C5F28" w:rsidRPr="00F85E41">
        <w:rPr>
          <w:color w:val="FFFFFF" w:themeColor="background1"/>
          <w:spacing w:val="-2"/>
          <w:kern w:val="2"/>
          <w:sz w:val="19"/>
          <w:szCs w:val="19"/>
          <w:lang w:val="ru-RU"/>
        </w:rPr>
        <w:t>застосування</w:t>
      </w:r>
      <w:r w:rsidRPr="00F85E41">
        <w:rPr>
          <w:color w:val="FFFFFF" w:themeColor="background1"/>
          <w:spacing w:val="-2"/>
          <w:kern w:val="2"/>
          <w:sz w:val="19"/>
          <w:szCs w:val="19"/>
          <w:vertAlign w:val="superscript"/>
        </w:rPr>
        <w:t>1</w:t>
      </w:r>
      <w:r w:rsidRPr="00F85E41">
        <w:rPr>
          <w:color w:val="FFFFFF" w:themeColor="background1"/>
          <w:spacing w:val="-2"/>
          <w:kern w:val="2"/>
          <w:sz w:val="19"/>
          <w:szCs w:val="19"/>
        </w:rPr>
        <w:t>.</w:t>
      </w:r>
    </w:p>
    <w:p w14:paraId="7638EAC8" w14:textId="04AD4900" w:rsidR="00133E13" w:rsidRPr="008F6347" w:rsidRDefault="00133E13">
      <w:pPr>
        <w:spacing w:after="200" w:line="276" w:lineRule="auto"/>
        <w:rPr>
          <w:kern w:val="2"/>
        </w:rPr>
      </w:pPr>
      <w:r w:rsidRPr="008F6347">
        <w:rPr>
          <w:kern w:val="2"/>
        </w:rPr>
        <w:br w:type="page"/>
      </w:r>
    </w:p>
    <w:p w14:paraId="00940295" w14:textId="77777777" w:rsidR="00133E13" w:rsidRPr="008F6347" w:rsidRDefault="006836FB" w:rsidP="00445F1F">
      <w:pPr>
        <w:pStyle w:val="a9"/>
        <w:rPr>
          <w:kern w:val="2"/>
        </w:rPr>
      </w:pPr>
      <w:r w:rsidRPr="008F6347">
        <w:rPr>
          <w:noProof/>
          <w:kern w:val="2"/>
          <w:lang w:bidi="ar-SA"/>
        </w:rPr>
        <w:lastRenderedPageBreak/>
        <w:drawing>
          <wp:anchor distT="0" distB="0" distL="114300" distR="114300" simplePos="0" relativeHeight="251637248" behindDoc="1" locked="0" layoutInCell="1" allowOverlap="1" wp14:anchorId="4247EEB8" wp14:editId="5C9DEF62">
            <wp:simplePos x="0" y="0"/>
            <wp:positionH relativeFrom="column">
              <wp:posOffset>-458165</wp:posOffset>
            </wp:positionH>
            <wp:positionV relativeFrom="paragraph">
              <wp:posOffset>88900</wp:posOffset>
            </wp:positionV>
            <wp:extent cx="7589520" cy="930529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a:extLst>
                        <a:ext uri="{28A0092B-C50C-407E-A947-70E740481C1C}">
                          <a14:useLocalDpi xmlns:a14="http://schemas.microsoft.com/office/drawing/2010/main" val="0"/>
                        </a:ext>
                      </a:extLst>
                    </a:blip>
                    <a:srcRect t="7651" b="5539"/>
                    <a:stretch/>
                  </pic:blipFill>
                  <pic:spPr bwMode="auto">
                    <a:xfrm>
                      <a:off x="0" y="0"/>
                      <a:ext cx="7589520" cy="93052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33AE6C" w14:textId="77777777" w:rsidR="00133E13" w:rsidRPr="008F6347" w:rsidRDefault="00133E13" w:rsidP="00445F1F">
      <w:pPr>
        <w:pStyle w:val="a9"/>
        <w:rPr>
          <w:kern w:val="2"/>
        </w:rPr>
      </w:pPr>
    </w:p>
    <w:p w14:paraId="5EB74A16" w14:textId="77777777" w:rsidR="00133E13" w:rsidRPr="008F6347" w:rsidRDefault="00133E13" w:rsidP="00445F1F">
      <w:pPr>
        <w:pStyle w:val="a9"/>
        <w:rPr>
          <w:kern w:val="2"/>
        </w:rPr>
      </w:pPr>
    </w:p>
    <w:p w14:paraId="38A22607" w14:textId="77777777" w:rsidR="00133E13" w:rsidRPr="008F6347" w:rsidRDefault="00133E13" w:rsidP="00445F1F">
      <w:pPr>
        <w:pStyle w:val="a9"/>
        <w:rPr>
          <w:kern w:val="2"/>
        </w:rPr>
      </w:pPr>
    </w:p>
    <w:p w14:paraId="3F99B3EF" w14:textId="77777777" w:rsidR="00133E13" w:rsidRPr="008F6347" w:rsidRDefault="00133E13" w:rsidP="00445F1F">
      <w:pPr>
        <w:pStyle w:val="a9"/>
        <w:rPr>
          <w:rFonts w:cs="Arial"/>
          <w:kern w:val="2"/>
        </w:rPr>
      </w:pPr>
    </w:p>
    <w:p w14:paraId="0698A60E" w14:textId="77777777" w:rsidR="006836FB" w:rsidRPr="008F6347" w:rsidRDefault="006836FB">
      <w:pPr>
        <w:spacing w:after="200" w:line="276" w:lineRule="auto"/>
        <w:rPr>
          <w:rFonts w:cs="Arial"/>
          <w:kern w:val="2"/>
        </w:rPr>
      </w:pPr>
      <w:r w:rsidRPr="008F6347">
        <w:rPr>
          <w:kern w:val="2"/>
        </w:rPr>
        <w:br w:type="page"/>
      </w:r>
    </w:p>
    <w:p w14:paraId="29270C7A" w14:textId="77777777" w:rsidR="00133E13" w:rsidRPr="008F6347" w:rsidRDefault="00133E13" w:rsidP="00445F1F">
      <w:pPr>
        <w:pStyle w:val="a9"/>
        <w:rPr>
          <w:kern w:val="2"/>
        </w:rPr>
      </w:pPr>
    </w:p>
    <w:p w14:paraId="5A16704C" w14:textId="77777777" w:rsidR="00133E13" w:rsidRPr="008F6347" w:rsidRDefault="00133E13" w:rsidP="00445F1F">
      <w:pPr>
        <w:pStyle w:val="a9"/>
        <w:rPr>
          <w:kern w:val="2"/>
        </w:rPr>
      </w:pPr>
    </w:p>
    <w:p w14:paraId="29DEF47E" w14:textId="77777777" w:rsidR="00B55C23" w:rsidRPr="008F6347" w:rsidRDefault="00B55C23" w:rsidP="00445F1F">
      <w:pPr>
        <w:pStyle w:val="a9"/>
        <w:rPr>
          <w:kern w:val="2"/>
        </w:rPr>
      </w:pPr>
    </w:p>
    <w:p w14:paraId="69565A4A" w14:textId="77777777" w:rsidR="00B55C23" w:rsidRPr="008F6347" w:rsidRDefault="00B55C23" w:rsidP="00445F1F">
      <w:pPr>
        <w:pStyle w:val="a9"/>
        <w:rPr>
          <w:kern w:val="2"/>
        </w:rPr>
      </w:pPr>
    </w:p>
    <w:p w14:paraId="30D2C4E4" w14:textId="77777777" w:rsidR="00B55C23" w:rsidRPr="008F6347" w:rsidRDefault="00B55C23" w:rsidP="00445F1F">
      <w:pPr>
        <w:pStyle w:val="a9"/>
        <w:rPr>
          <w:kern w:val="2"/>
        </w:rPr>
      </w:pPr>
    </w:p>
    <w:p w14:paraId="20D829E9" w14:textId="77777777" w:rsidR="00133E13" w:rsidRPr="008F6347" w:rsidRDefault="00133E13" w:rsidP="00445F1F">
      <w:pPr>
        <w:pStyle w:val="a9"/>
        <w:rPr>
          <w:kern w:val="2"/>
        </w:rPr>
      </w:pPr>
    </w:p>
    <w:p w14:paraId="1FCC8346" w14:textId="77777777" w:rsidR="00F37CF5" w:rsidRPr="008F6347" w:rsidRDefault="00F37CF5" w:rsidP="00B55C23">
      <w:pPr>
        <w:pStyle w:val="a9"/>
        <w:ind w:left="738"/>
        <w:rPr>
          <w:rFonts w:cs="Arial"/>
          <w:b/>
          <w:bCs/>
          <w:color w:val="202377"/>
          <w:kern w:val="2"/>
          <w:sz w:val="44"/>
          <w:szCs w:val="44"/>
        </w:rPr>
      </w:pPr>
      <w:r w:rsidRPr="008F6347">
        <w:rPr>
          <w:b/>
          <w:color w:val="202377"/>
          <w:kern w:val="2"/>
          <w:sz w:val="44"/>
        </w:rPr>
        <w:t>ЗМІСТ</w:t>
      </w:r>
    </w:p>
    <w:p w14:paraId="03D4CDAE" w14:textId="77777777" w:rsidR="00F37CF5" w:rsidRPr="008F6347" w:rsidRDefault="00F37CF5" w:rsidP="00B55C23">
      <w:pPr>
        <w:pStyle w:val="a9"/>
        <w:ind w:left="702"/>
        <w:rPr>
          <w:kern w:val="2"/>
          <w:sz w:val="20"/>
        </w:rPr>
      </w:pPr>
    </w:p>
    <w:p w14:paraId="15E336FF" w14:textId="77777777" w:rsidR="00133E13" w:rsidRPr="008F6347" w:rsidRDefault="00133E13" w:rsidP="00B55C23">
      <w:pPr>
        <w:pStyle w:val="a9"/>
        <w:ind w:left="702"/>
        <w:rPr>
          <w:kern w:val="2"/>
          <w:sz w:val="20"/>
        </w:rPr>
      </w:pPr>
    </w:p>
    <w:p w14:paraId="48C1A39C" w14:textId="77777777" w:rsidR="00483442" w:rsidRPr="008F6347" w:rsidRDefault="00483442" w:rsidP="00B55C23">
      <w:pPr>
        <w:pStyle w:val="a9"/>
        <w:ind w:left="702"/>
        <w:rPr>
          <w:kern w:val="2"/>
          <w:sz w:val="20"/>
        </w:rPr>
      </w:pPr>
    </w:p>
    <w:p w14:paraId="47AE82BF" w14:textId="77777777" w:rsidR="00483442" w:rsidRPr="008F6347" w:rsidRDefault="00483442" w:rsidP="00B55C23">
      <w:pPr>
        <w:pStyle w:val="a9"/>
        <w:ind w:left="702"/>
        <w:rPr>
          <w:kern w:val="2"/>
          <w:sz w:val="20"/>
        </w:rPr>
      </w:pPr>
    </w:p>
    <w:p w14:paraId="0CDAA285" w14:textId="0580D89D" w:rsidR="00F8734C" w:rsidRPr="008F6347" w:rsidRDefault="00D964F3">
      <w:pPr>
        <w:pStyle w:val="11"/>
        <w:rPr>
          <w:rFonts w:asciiTheme="minorHAnsi" w:eastAsiaTheme="minorEastAsia" w:hAnsiTheme="minorHAnsi"/>
          <w:b w:val="0"/>
          <w:color w:val="auto"/>
          <w:kern w:val="0"/>
          <w:sz w:val="22"/>
          <w:szCs w:val="22"/>
          <w:lang w:eastAsia="zh-CN" w:bidi="ar-SA"/>
        </w:rPr>
      </w:pPr>
      <w:r w:rsidRPr="008F6347">
        <w:rPr>
          <w:sz w:val="32"/>
          <w:szCs w:val="28"/>
        </w:rPr>
        <w:fldChar w:fldCharType="begin"/>
      </w:r>
      <w:r w:rsidRPr="008F6347">
        <w:rPr>
          <w:sz w:val="32"/>
          <w:szCs w:val="28"/>
        </w:rPr>
        <w:instrText xml:space="preserve"> TOC \h \z \t "h1</w:instrText>
      </w:r>
      <w:r w:rsidR="00D213AC" w:rsidRPr="008F6347">
        <w:rPr>
          <w:sz w:val="32"/>
          <w:szCs w:val="28"/>
        </w:rPr>
        <w:instrText>;</w:instrText>
      </w:r>
      <w:r w:rsidRPr="008F6347">
        <w:rPr>
          <w:sz w:val="32"/>
          <w:szCs w:val="28"/>
        </w:rPr>
        <w:instrText>1</w:instrText>
      </w:r>
      <w:r w:rsidR="00D213AC" w:rsidRPr="008F6347">
        <w:rPr>
          <w:sz w:val="32"/>
          <w:szCs w:val="28"/>
        </w:rPr>
        <w:instrText>;</w:instrText>
      </w:r>
      <w:r w:rsidRPr="008F6347">
        <w:rPr>
          <w:sz w:val="32"/>
          <w:szCs w:val="28"/>
        </w:rPr>
        <w:instrText>h2</w:instrText>
      </w:r>
      <w:r w:rsidR="00D213AC" w:rsidRPr="008F6347">
        <w:rPr>
          <w:sz w:val="32"/>
          <w:szCs w:val="28"/>
        </w:rPr>
        <w:instrText>;</w:instrText>
      </w:r>
      <w:r w:rsidRPr="008F6347">
        <w:rPr>
          <w:sz w:val="32"/>
          <w:szCs w:val="28"/>
        </w:rPr>
        <w:instrText xml:space="preserve">2" </w:instrText>
      </w:r>
      <w:r w:rsidRPr="008F6347">
        <w:rPr>
          <w:sz w:val="32"/>
          <w:szCs w:val="28"/>
        </w:rPr>
        <w:fldChar w:fldCharType="separate"/>
      </w:r>
      <w:hyperlink w:anchor="_Toc508809537" w:history="1">
        <w:r w:rsidR="00F8734C" w:rsidRPr="008F6347">
          <w:rPr>
            <w:rStyle w:val="ae"/>
            <w:spacing w:val="-4"/>
          </w:rPr>
          <w:t>ЗАГАЛЬНА ІНФОРМАЦІЯ ПРО МАЙ КЛІК</w:t>
        </w:r>
        <w:r w:rsidR="00F8734C" w:rsidRPr="008F6347">
          <w:rPr>
            <w:rStyle w:val="ae"/>
            <w:spacing w:val="-4"/>
            <w:vertAlign w:val="superscript"/>
          </w:rPr>
          <w:t>®</w:t>
        </w:r>
        <w:r w:rsidR="00F8734C" w:rsidRPr="008F6347">
          <w:rPr>
            <w:rStyle w:val="ae"/>
            <w:spacing w:val="-4"/>
          </w:rPr>
          <w:t xml:space="preserve"> (РОЗЧИН ПРЕПАРАТУ</w:t>
        </w:r>
        <w:r w:rsidR="00F8734C" w:rsidRPr="008F6347">
          <w:rPr>
            <w:rStyle w:val="ae"/>
          </w:rPr>
          <w:t xml:space="preserve"> ЕНБРЕЛ</w:t>
        </w:r>
        <w:r w:rsidR="00F8734C" w:rsidRPr="008F6347">
          <w:rPr>
            <w:rStyle w:val="ae"/>
            <w:vertAlign w:val="superscript"/>
          </w:rPr>
          <w:t>®</w:t>
        </w:r>
        <w:r w:rsidR="00F8734C" w:rsidRPr="008F6347">
          <w:rPr>
            <w:rStyle w:val="ae"/>
          </w:rPr>
          <w:t xml:space="preserve"> 50 МГ ДЛЯ ІН'ЄКЦІЙ У ПОПЕРЕДНЬО НАПОВНЕНІЙ ШПРИЦ-РУЧЦІ)</w:t>
        </w:r>
        <w:r w:rsidR="00F8734C" w:rsidRPr="008F6347">
          <w:rPr>
            <w:webHidden/>
          </w:rPr>
          <w:tab/>
        </w:r>
        <w:r w:rsidR="00F8734C" w:rsidRPr="008F6347">
          <w:rPr>
            <w:webHidden/>
          </w:rPr>
          <w:fldChar w:fldCharType="begin"/>
        </w:r>
        <w:r w:rsidR="00F8734C" w:rsidRPr="008F6347">
          <w:rPr>
            <w:webHidden/>
          </w:rPr>
          <w:instrText xml:space="preserve"> PAGEREF _Toc508809537 \h </w:instrText>
        </w:r>
        <w:r w:rsidR="00F8734C" w:rsidRPr="008F6347">
          <w:rPr>
            <w:webHidden/>
          </w:rPr>
        </w:r>
        <w:r w:rsidR="00F8734C" w:rsidRPr="008F6347">
          <w:rPr>
            <w:webHidden/>
          </w:rPr>
          <w:fldChar w:fldCharType="separate"/>
        </w:r>
        <w:r w:rsidR="0059757F">
          <w:rPr>
            <w:webHidden/>
          </w:rPr>
          <w:t>4</w:t>
        </w:r>
        <w:r w:rsidR="00F8734C" w:rsidRPr="008F6347">
          <w:rPr>
            <w:webHidden/>
          </w:rPr>
          <w:fldChar w:fldCharType="end"/>
        </w:r>
      </w:hyperlink>
    </w:p>
    <w:p w14:paraId="3A998695" w14:textId="012CEA6B" w:rsidR="00F8734C" w:rsidRPr="008F6347" w:rsidRDefault="00FE135F">
      <w:pPr>
        <w:pStyle w:val="11"/>
        <w:rPr>
          <w:rFonts w:asciiTheme="minorHAnsi" w:eastAsiaTheme="minorEastAsia" w:hAnsiTheme="minorHAnsi"/>
          <w:b w:val="0"/>
          <w:color w:val="auto"/>
          <w:kern w:val="0"/>
          <w:sz w:val="22"/>
          <w:szCs w:val="22"/>
          <w:lang w:eastAsia="zh-CN" w:bidi="ar-SA"/>
        </w:rPr>
      </w:pPr>
      <w:hyperlink w:anchor="_Toc508809538" w:history="1">
        <w:r w:rsidR="00F8734C" w:rsidRPr="008F6347">
          <w:rPr>
            <w:rStyle w:val="ae"/>
          </w:rPr>
          <w:t>ВАЖЛИВА ІНФОРМАЦІЮ, ЯКУ ТРЕБА ЗАПАМ'ЯТАТИ ПЕРЕД ПОЧАТКОМ КОРИСТУВАННЯ</w:t>
        </w:r>
        <w:r w:rsidR="00F8734C" w:rsidRPr="008F6347">
          <w:rPr>
            <w:webHidden/>
          </w:rPr>
          <w:tab/>
        </w:r>
        <w:r w:rsidR="00F8734C" w:rsidRPr="008F6347">
          <w:rPr>
            <w:webHidden/>
          </w:rPr>
          <w:fldChar w:fldCharType="begin"/>
        </w:r>
        <w:r w:rsidR="00F8734C" w:rsidRPr="008F6347">
          <w:rPr>
            <w:webHidden/>
          </w:rPr>
          <w:instrText xml:space="preserve"> PAGEREF _Toc508809538 \h </w:instrText>
        </w:r>
        <w:r w:rsidR="00F8734C" w:rsidRPr="008F6347">
          <w:rPr>
            <w:webHidden/>
          </w:rPr>
        </w:r>
        <w:r w:rsidR="00F8734C" w:rsidRPr="008F6347">
          <w:rPr>
            <w:webHidden/>
          </w:rPr>
          <w:fldChar w:fldCharType="separate"/>
        </w:r>
        <w:r w:rsidR="0059757F">
          <w:rPr>
            <w:webHidden/>
          </w:rPr>
          <w:t>6</w:t>
        </w:r>
        <w:r w:rsidR="00F8734C" w:rsidRPr="008F6347">
          <w:rPr>
            <w:webHidden/>
          </w:rPr>
          <w:fldChar w:fldCharType="end"/>
        </w:r>
      </w:hyperlink>
    </w:p>
    <w:p w14:paraId="2ECCD9CC" w14:textId="4B7E4A8A" w:rsidR="00F8734C" w:rsidRPr="008F6347" w:rsidRDefault="00FE135F">
      <w:pPr>
        <w:pStyle w:val="11"/>
        <w:rPr>
          <w:rFonts w:asciiTheme="minorHAnsi" w:eastAsiaTheme="minorEastAsia" w:hAnsiTheme="minorHAnsi"/>
          <w:b w:val="0"/>
          <w:color w:val="auto"/>
          <w:kern w:val="0"/>
          <w:sz w:val="22"/>
          <w:szCs w:val="22"/>
          <w:lang w:eastAsia="zh-CN" w:bidi="ar-SA"/>
        </w:rPr>
      </w:pPr>
      <w:hyperlink w:anchor="_Toc508809539" w:history="1">
        <w:r w:rsidR="00F8734C" w:rsidRPr="008F6347">
          <w:rPr>
            <w:rStyle w:val="ae"/>
          </w:rPr>
          <w:t>ЯК КОРИСТУВАТИСЯ ШПРИЦ-РУЧКОЮ МАЙ КЛІК</w:t>
        </w:r>
        <w:r w:rsidR="00F8734C" w:rsidRPr="008F6347">
          <w:rPr>
            <w:rStyle w:val="ae"/>
            <w:vertAlign w:val="superscript"/>
          </w:rPr>
          <w:t>®</w:t>
        </w:r>
        <w:r w:rsidR="00F8734C" w:rsidRPr="008F6347">
          <w:rPr>
            <w:webHidden/>
          </w:rPr>
          <w:tab/>
        </w:r>
        <w:r w:rsidR="00F8734C" w:rsidRPr="008F6347">
          <w:rPr>
            <w:webHidden/>
          </w:rPr>
          <w:fldChar w:fldCharType="begin"/>
        </w:r>
        <w:r w:rsidR="00F8734C" w:rsidRPr="008F6347">
          <w:rPr>
            <w:webHidden/>
          </w:rPr>
          <w:instrText xml:space="preserve"> PAGEREF _Toc508809539 \h </w:instrText>
        </w:r>
        <w:r w:rsidR="00F8734C" w:rsidRPr="008F6347">
          <w:rPr>
            <w:webHidden/>
          </w:rPr>
        </w:r>
        <w:r w:rsidR="00F8734C" w:rsidRPr="008F6347">
          <w:rPr>
            <w:webHidden/>
          </w:rPr>
          <w:fldChar w:fldCharType="separate"/>
        </w:r>
        <w:r w:rsidR="0059757F">
          <w:rPr>
            <w:webHidden/>
          </w:rPr>
          <w:t>7</w:t>
        </w:r>
        <w:r w:rsidR="00F8734C" w:rsidRPr="008F6347">
          <w:rPr>
            <w:webHidden/>
          </w:rPr>
          <w:fldChar w:fldCharType="end"/>
        </w:r>
      </w:hyperlink>
    </w:p>
    <w:p w14:paraId="03CC2E85" w14:textId="04D3724E" w:rsidR="00F8734C" w:rsidRPr="008F6347" w:rsidRDefault="00FE135F">
      <w:pPr>
        <w:pStyle w:val="21"/>
        <w:rPr>
          <w:rFonts w:asciiTheme="minorHAnsi" w:eastAsiaTheme="minorEastAsia" w:hAnsiTheme="minorHAnsi"/>
          <w:color w:val="auto"/>
          <w:kern w:val="0"/>
          <w:sz w:val="22"/>
          <w:szCs w:val="22"/>
          <w:lang w:eastAsia="zh-CN" w:bidi="ar-SA"/>
        </w:rPr>
      </w:pPr>
      <w:hyperlink w:anchor="_Toc508809540" w:history="1">
        <w:r w:rsidR="00F8734C" w:rsidRPr="008F6347">
          <w:rPr>
            <w:rStyle w:val="ae"/>
          </w:rPr>
          <w:t>Крок 1. Підготовка до виконання ін'єкції препарату ЕНБРЕЛ</w:t>
        </w:r>
        <w:r w:rsidR="00F8734C" w:rsidRPr="008F6347">
          <w:rPr>
            <w:rStyle w:val="ae"/>
            <w:vertAlign w:val="superscript"/>
          </w:rPr>
          <w:t>1</w:t>
        </w:r>
        <w:r w:rsidR="00F8734C" w:rsidRPr="008F6347">
          <w:rPr>
            <w:webHidden/>
          </w:rPr>
          <w:tab/>
        </w:r>
        <w:r w:rsidR="00F8734C" w:rsidRPr="008F6347">
          <w:rPr>
            <w:webHidden/>
          </w:rPr>
          <w:fldChar w:fldCharType="begin"/>
        </w:r>
        <w:r w:rsidR="00F8734C" w:rsidRPr="008F6347">
          <w:rPr>
            <w:webHidden/>
          </w:rPr>
          <w:instrText xml:space="preserve"> PAGEREF _Toc508809540 \h </w:instrText>
        </w:r>
        <w:r w:rsidR="00F8734C" w:rsidRPr="008F6347">
          <w:rPr>
            <w:webHidden/>
          </w:rPr>
        </w:r>
        <w:r w:rsidR="00F8734C" w:rsidRPr="008F6347">
          <w:rPr>
            <w:webHidden/>
          </w:rPr>
          <w:fldChar w:fldCharType="separate"/>
        </w:r>
        <w:r w:rsidR="0059757F">
          <w:rPr>
            <w:webHidden/>
          </w:rPr>
          <w:t>7</w:t>
        </w:r>
        <w:r w:rsidR="00F8734C" w:rsidRPr="008F6347">
          <w:rPr>
            <w:webHidden/>
          </w:rPr>
          <w:fldChar w:fldCharType="end"/>
        </w:r>
      </w:hyperlink>
    </w:p>
    <w:p w14:paraId="4B215BC3" w14:textId="0C8BE3C0" w:rsidR="00F8734C" w:rsidRPr="008F6347" w:rsidRDefault="00FE135F">
      <w:pPr>
        <w:pStyle w:val="21"/>
        <w:rPr>
          <w:rFonts w:asciiTheme="minorHAnsi" w:eastAsiaTheme="minorEastAsia" w:hAnsiTheme="minorHAnsi"/>
          <w:color w:val="auto"/>
          <w:kern w:val="0"/>
          <w:sz w:val="22"/>
          <w:szCs w:val="22"/>
          <w:lang w:eastAsia="zh-CN" w:bidi="ar-SA"/>
        </w:rPr>
      </w:pPr>
      <w:hyperlink w:anchor="_Toc508809541" w:history="1">
        <w:r w:rsidR="00F8734C" w:rsidRPr="008F6347">
          <w:rPr>
            <w:rStyle w:val="ae"/>
          </w:rPr>
          <w:t>Крок 2. Вибір місця введення ін'єкції</w:t>
        </w:r>
        <w:r w:rsidR="00F8734C" w:rsidRPr="008F6347">
          <w:rPr>
            <w:rStyle w:val="ae"/>
            <w:vertAlign w:val="superscript"/>
          </w:rPr>
          <w:t>1</w:t>
        </w:r>
        <w:r w:rsidR="00F8734C" w:rsidRPr="008F6347">
          <w:rPr>
            <w:webHidden/>
          </w:rPr>
          <w:tab/>
        </w:r>
        <w:r w:rsidR="00F8734C" w:rsidRPr="008F6347">
          <w:rPr>
            <w:webHidden/>
          </w:rPr>
          <w:fldChar w:fldCharType="begin"/>
        </w:r>
        <w:r w:rsidR="00F8734C" w:rsidRPr="008F6347">
          <w:rPr>
            <w:webHidden/>
          </w:rPr>
          <w:instrText xml:space="preserve"> PAGEREF _Toc508809541 \h </w:instrText>
        </w:r>
        <w:r w:rsidR="00F8734C" w:rsidRPr="008F6347">
          <w:rPr>
            <w:webHidden/>
          </w:rPr>
        </w:r>
        <w:r w:rsidR="00F8734C" w:rsidRPr="008F6347">
          <w:rPr>
            <w:webHidden/>
          </w:rPr>
          <w:fldChar w:fldCharType="separate"/>
        </w:r>
        <w:r w:rsidR="0059757F">
          <w:rPr>
            <w:webHidden/>
          </w:rPr>
          <w:t>9</w:t>
        </w:r>
        <w:r w:rsidR="00F8734C" w:rsidRPr="008F6347">
          <w:rPr>
            <w:webHidden/>
          </w:rPr>
          <w:fldChar w:fldCharType="end"/>
        </w:r>
      </w:hyperlink>
    </w:p>
    <w:p w14:paraId="59CA3190" w14:textId="0AEB9042" w:rsidR="00F8734C" w:rsidRPr="008F6347" w:rsidRDefault="00FE135F">
      <w:pPr>
        <w:pStyle w:val="21"/>
        <w:rPr>
          <w:rFonts w:asciiTheme="minorHAnsi" w:eastAsiaTheme="minorEastAsia" w:hAnsiTheme="minorHAnsi"/>
          <w:color w:val="auto"/>
          <w:kern w:val="0"/>
          <w:sz w:val="22"/>
          <w:szCs w:val="22"/>
          <w:lang w:eastAsia="zh-CN" w:bidi="ar-SA"/>
        </w:rPr>
      </w:pPr>
      <w:hyperlink w:anchor="_Toc508809542" w:history="1">
        <w:r w:rsidR="00F8734C" w:rsidRPr="008F6347">
          <w:rPr>
            <w:rStyle w:val="ae"/>
          </w:rPr>
          <w:t>Крок 3. Виконання ін'єкції розчину препарату ЕНБРЕЛ</w:t>
        </w:r>
        <w:r w:rsidR="00F8734C" w:rsidRPr="008F6347">
          <w:rPr>
            <w:rStyle w:val="ae"/>
            <w:vertAlign w:val="superscript"/>
          </w:rPr>
          <w:t>®1</w:t>
        </w:r>
        <w:r w:rsidR="00F8734C" w:rsidRPr="008F6347">
          <w:rPr>
            <w:webHidden/>
          </w:rPr>
          <w:tab/>
        </w:r>
        <w:r w:rsidR="00F8734C" w:rsidRPr="008F6347">
          <w:rPr>
            <w:webHidden/>
          </w:rPr>
          <w:fldChar w:fldCharType="begin"/>
        </w:r>
        <w:r w:rsidR="00F8734C" w:rsidRPr="008F6347">
          <w:rPr>
            <w:webHidden/>
          </w:rPr>
          <w:instrText xml:space="preserve"> PAGEREF _Toc508809542 \h </w:instrText>
        </w:r>
        <w:r w:rsidR="00F8734C" w:rsidRPr="008F6347">
          <w:rPr>
            <w:webHidden/>
          </w:rPr>
        </w:r>
        <w:r w:rsidR="00F8734C" w:rsidRPr="008F6347">
          <w:rPr>
            <w:webHidden/>
          </w:rPr>
          <w:fldChar w:fldCharType="separate"/>
        </w:r>
        <w:r w:rsidR="0059757F">
          <w:rPr>
            <w:webHidden/>
          </w:rPr>
          <w:t>10</w:t>
        </w:r>
        <w:r w:rsidR="00F8734C" w:rsidRPr="008F6347">
          <w:rPr>
            <w:webHidden/>
          </w:rPr>
          <w:fldChar w:fldCharType="end"/>
        </w:r>
      </w:hyperlink>
    </w:p>
    <w:p w14:paraId="3CDC4677" w14:textId="0A5E2893" w:rsidR="00F8734C" w:rsidRPr="008F6347" w:rsidRDefault="00FE135F">
      <w:pPr>
        <w:pStyle w:val="21"/>
        <w:rPr>
          <w:rFonts w:asciiTheme="minorHAnsi" w:eastAsiaTheme="minorEastAsia" w:hAnsiTheme="minorHAnsi"/>
          <w:color w:val="auto"/>
          <w:kern w:val="0"/>
          <w:sz w:val="22"/>
          <w:szCs w:val="22"/>
          <w:lang w:eastAsia="zh-CN" w:bidi="ar-SA"/>
        </w:rPr>
      </w:pPr>
      <w:hyperlink w:anchor="_Toc508809543" w:history="1">
        <w:r w:rsidR="00F8734C" w:rsidRPr="008F6347">
          <w:rPr>
            <w:rStyle w:val="ae"/>
          </w:rPr>
          <w:t>Крок 4. Утилізація використаної шприц-ручки МАЙ КЛІК</w:t>
        </w:r>
        <w:r w:rsidR="00F8734C" w:rsidRPr="008F6347">
          <w:rPr>
            <w:rStyle w:val="ae"/>
            <w:vertAlign w:val="superscript"/>
          </w:rPr>
          <w:t>®1</w:t>
        </w:r>
        <w:r w:rsidR="00F8734C" w:rsidRPr="008F6347">
          <w:rPr>
            <w:webHidden/>
          </w:rPr>
          <w:tab/>
        </w:r>
        <w:r w:rsidR="00F8734C" w:rsidRPr="008F6347">
          <w:rPr>
            <w:webHidden/>
          </w:rPr>
          <w:fldChar w:fldCharType="begin"/>
        </w:r>
        <w:r w:rsidR="00F8734C" w:rsidRPr="008F6347">
          <w:rPr>
            <w:webHidden/>
          </w:rPr>
          <w:instrText xml:space="preserve"> PAGEREF _Toc508809543 \h </w:instrText>
        </w:r>
        <w:r w:rsidR="00F8734C" w:rsidRPr="008F6347">
          <w:rPr>
            <w:webHidden/>
          </w:rPr>
        </w:r>
        <w:r w:rsidR="00F8734C" w:rsidRPr="008F6347">
          <w:rPr>
            <w:webHidden/>
          </w:rPr>
          <w:fldChar w:fldCharType="separate"/>
        </w:r>
        <w:r w:rsidR="0059757F">
          <w:rPr>
            <w:webHidden/>
          </w:rPr>
          <w:t>13</w:t>
        </w:r>
        <w:r w:rsidR="00F8734C" w:rsidRPr="008F6347">
          <w:rPr>
            <w:webHidden/>
          </w:rPr>
          <w:fldChar w:fldCharType="end"/>
        </w:r>
      </w:hyperlink>
    </w:p>
    <w:p w14:paraId="6988254F" w14:textId="446CB388" w:rsidR="00F8734C" w:rsidRPr="008F6347" w:rsidRDefault="00FE135F">
      <w:pPr>
        <w:pStyle w:val="11"/>
        <w:rPr>
          <w:rFonts w:asciiTheme="minorHAnsi" w:eastAsiaTheme="minorEastAsia" w:hAnsiTheme="minorHAnsi"/>
          <w:b w:val="0"/>
          <w:color w:val="auto"/>
          <w:kern w:val="0"/>
          <w:sz w:val="22"/>
          <w:szCs w:val="22"/>
          <w:lang w:eastAsia="zh-CN" w:bidi="ar-SA"/>
        </w:rPr>
      </w:pPr>
      <w:hyperlink w:anchor="_Toc508809544" w:history="1">
        <w:r w:rsidR="00F8734C" w:rsidRPr="008F6347">
          <w:rPr>
            <w:rStyle w:val="ae"/>
          </w:rPr>
          <w:t>Поїздки з препаратом ЕНБРЕЛ</w:t>
        </w:r>
        <w:r w:rsidR="00F8734C" w:rsidRPr="008F6347">
          <w:rPr>
            <w:rStyle w:val="ae"/>
            <w:vertAlign w:val="superscript"/>
          </w:rPr>
          <w:t>®</w:t>
        </w:r>
        <w:r w:rsidR="00F8734C" w:rsidRPr="008F6347">
          <w:rPr>
            <w:webHidden/>
          </w:rPr>
          <w:tab/>
        </w:r>
        <w:r w:rsidR="00F8734C" w:rsidRPr="008F6347">
          <w:rPr>
            <w:webHidden/>
          </w:rPr>
          <w:fldChar w:fldCharType="begin"/>
        </w:r>
        <w:r w:rsidR="00F8734C" w:rsidRPr="008F6347">
          <w:rPr>
            <w:webHidden/>
          </w:rPr>
          <w:instrText xml:space="preserve"> PAGEREF _Toc508809544 \h </w:instrText>
        </w:r>
        <w:r w:rsidR="00F8734C" w:rsidRPr="008F6347">
          <w:rPr>
            <w:webHidden/>
          </w:rPr>
        </w:r>
        <w:r w:rsidR="00F8734C" w:rsidRPr="008F6347">
          <w:rPr>
            <w:webHidden/>
          </w:rPr>
          <w:fldChar w:fldCharType="separate"/>
        </w:r>
        <w:r w:rsidR="0059757F">
          <w:rPr>
            <w:webHidden/>
          </w:rPr>
          <w:t>13</w:t>
        </w:r>
        <w:r w:rsidR="00F8734C" w:rsidRPr="008F6347">
          <w:rPr>
            <w:webHidden/>
          </w:rPr>
          <w:fldChar w:fldCharType="end"/>
        </w:r>
      </w:hyperlink>
    </w:p>
    <w:p w14:paraId="270C3EFD" w14:textId="77777777" w:rsidR="00D964F3" w:rsidRPr="008F6347" w:rsidRDefault="00D964F3" w:rsidP="00F8734C">
      <w:pPr>
        <w:pStyle w:val="11"/>
      </w:pPr>
      <w:r w:rsidRPr="008F6347">
        <w:fldChar w:fldCharType="end"/>
      </w:r>
    </w:p>
    <w:p w14:paraId="1BD929FB" w14:textId="77777777" w:rsidR="00F62AC9" w:rsidRPr="008F6347" w:rsidRDefault="00F62AC9" w:rsidP="00445F1F">
      <w:pPr>
        <w:pStyle w:val="a9"/>
        <w:rPr>
          <w:kern w:val="2"/>
        </w:rPr>
      </w:pPr>
    </w:p>
    <w:p w14:paraId="752C5341" w14:textId="77777777" w:rsidR="00F62AC9" w:rsidRPr="008F6347" w:rsidRDefault="00F62AC9" w:rsidP="00445F1F">
      <w:pPr>
        <w:pStyle w:val="a9"/>
        <w:rPr>
          <w:kern w:val="2"/>
        </w:rPr>
        <w:sectPr w:rsidR="00F62AC9" w:rsidRPr="008F6347" w:rsidSect="006836FB">
          <w:headerReference w:type="even" r:id="rId13"/>
          <w:headerReference w:type="default" r:id="rId14"/>
          <w:footerReference w:type="even" r:id="rId15"/>
          <w:pgSz w:w="11909" w:h="16834" w:code="9"/>
          <w:pgMar w:top="720" w:right="720" w:bottom="720" w:left="720" w:header="288" w:footer="288" w:gutter="0"/>
          <w:cols w:space="720"/>
          <w:titlePg/>
          <w:docGrid w:linePitch="360"/>
        </w:sectPr>
      </w:pPr>
    </w:p>
    <w:p w14:paraId="4082D2FC" w14:textId="77777777" w:rsidR="00F62AC9" w:rsidRPr="008F6347" w:rsidRDefault="00F62AC9" w:rsidP="00445F1F">
      <w:pPr>
        <w:pStyle w:val="a9"/>
        <w:rPr>
          <w:kern w:val="2"/>
        </w:rPr>
      </w:pPr>
    </w:p>
    <w:p w14:paraId="75E4D673" w14:textId="77777777" w:rsidR="008E34E8" w:rsidRPr="008F6347" w:rsidRDefault="008E34E8" w:rsidP="00445F1F">
      <w:pPr>
        <w:pStyle w:val="a9"/>
        <w:rPr>
          <w:kern w:val="2"/>
        </w:rPr>
      </w:pPr>
    </w:p>
    <w:p w14:paraId="6703EFDD" w14:textId="77777777" w:rsidR="004328DF" w:rsidRPr="008F6347" w:rsidRDefault="004328DF" w:rsidP="00445F1F">
      <w:pPr>
        <w:pStyle w:val="a9"/>
        <w:rPr>
          <w:kern w:val="2"/>
        </w:rPr>
      </w:pPr>
    </w:p>
    <w:p w14:paraId="1D15D551" w14:textId="77777777" w:rsidR="004328DF" w:rsidRPr="008F6347" w:rsidRDefault="004328DF" w:rsidP="00445F1F">
      <w:pPr>
        <w:pStyle w:val="a9"/>
        <w:rPr>
          <w:kern w:val="2"/>
        </w:rPr>
      </w:pPr>
    </w:p>
    <w:p w14:paraId="69A54AB5" w14:textId="77777777" w:rsidR="00F62AC9" w:rsidRPr="008F6347" w:rsidRDefault="008E34E8" w:rsidP="00D213AC">
      <w:pPr>
        <w:pStyle w:val="h10"/>
        <w:rPr>
          <w:kern w:val="2"/>
          <w:szCs w:val="34"/>
        </w:rPr>
      </w:pPr>
      <w:bookmarkStart w:id="0" w:name="_Toc508028201"/>
      <w:bookmarkStart w:id="1" w:name="_Toc508809537"/>
      <w:r w:rsidRPr="008F6347">
        <w:rPr>
          <w:spacing w:val="-4"/>
          <w:kern w:val="2"/>
          <w:szCs w:val="34"/>
        </w:rPr>
        <w:t>ЗАГАЛЬНА ІНФОРМАЦІЯ ПРО МАЙ КЛІК</w:t>
      </w:r>
      <w:r w:rsidRPr="008F6347">
        <w:rPr>
          <w:spacing w:val="-4"/>
          <w:kern w:val="2"/>
          <w:szCs w:val="34"/>
          <w:vertAlign w:val="superscript"/>
        </w:rPr>
        <w:t>®</w:t>
      </w:r>
      <w:r w:rsidRPr="008F6347">
        <w:rPr>
          <w:spacing w:val="-4"/>
          <w:kern w:val="2"/>
          <w:szCs w:val="34"/>
        </w:rPr>
        <w:t xml:space="preserve"> (РОЗЧИН ПРЕПАРАТУ</w:t>
      </w:r>
      <w:r w:rsidRPr="008F6347">
        <w:rPr>
          <w:kern w:val="2"/>
          <w:szCs w:val="34"/>
        </w:rPr>
        <w:t xml:space="preserve"> ЕНБРЕЛ</w:t>
      </w:r>
      <w:r w:rsidRPr="008F6347">
        <w:rPr>
          <w:kern w:val="2"/>
          <w:szCs w:val="34"/>
          <w:vertAlign w:val="superscript"/>
        </w:rPr>
        <w:t>®</w:t>
      </w:r>
      <w:r w:rsidRPr="008F6347">
        <w:rPr>
          <w:kern w:val="2"/>
          <w:szCs w:val="34"/>
        </w:rPr>
        <w:t xml:space="preserve"> 50 МГ ДЛЯ ІН'ЄКЦІЙ У ПОПЕРЕДНЬО НАПОВНЕНІЙ ШПРИЦ-РУЧЦІ)</w:t>
      </w:r>
      <w:bookmarkEnd w:id="0"/>
      <w:bookmarkEnd w:id="1"/>
    </w:p>
    <w:p w14:paraId="052FEA22" w14:textId="77777777" w:rsidR="00F62AC9" w:rsidRPr="008F6347" w:rsidRDefault="00F62AC9" w:rsidP="008E34E8">
      <w:pPr>
        <w:pStyle w:val="a9"/>
        <w:rPr>
          <w:kern w:val="2"/>
        </w:rPr>
      </w:pPr>
    </w:p>
    <w:p w14:paraId="1A35CECE" w14:textId="77777777" w:rsidR="008E34E8" w:rsidRPr="008F6347" w:rsidRDefault="008E34E8" w:rsidP="008E34E8">
      <w:pPr>
        <w:pStyle w:val="a9"/>
        <w:rPr>
          <w:kern w:val="2"/>
        </w:rPr>
      </w:pPr>
    </w:p>
    <w:tbl>
      <w:tblPr>
        <w:tblW w:w="0" w:type="auto"/>
        <w:tblLook w:val="04A0" w:firstRow="1" w:lastRow="0" w:firstColumn="1" w:lastColumn="0" w:noHBand="0" w:noVBand="1"/>
      </w:tblPr>
      <w:tblGrid>
        <w:gridCol w:w="2430"/>
        <w:gridCol w:w="8255"/>
      </w:tblGrid>
      <w:tr w:rsidR="008E34E8" w:rsidRPr="00FE135F" w14:paraId="7FC88DD8" w14:textId="77777777" w:rsidTr="008E34E8">
        <w:tc>
          <w:tcPr>
            <w:tcW w:w="2430" w:type="dxa"/>
          </w:tcPr>
          <w:p w14:paraId="1D4B6E02" w14:textId="77777777" w:rsidR="008E34E8" w:rsidRPr="00FE135F" w:rsidRDefault="008E34E8" w:rsidP="008E34E8">
            <w:pPr>
              <w:pStyle w:val="a9"/>
              <w:rPr>
                <w:kern w:val="2"/>
              </w:rPr>
            </w:pPr>
            <w:r w:rsidRPr="00FE135F">
              <w:rPr>
                <w:noProof/>
                <w:kern w:val="2"/>
                <w:lang w:bidi="ar-SA"/>
              </w:rPr>
              <w:drawing>
                <wp:inline distT="0" distB="0" distL="0" distR="0" wp14:anchorId="31F55F5D" wp14:editId="2D5847AE">
                  <wp:extent cx="1371600" cy="1916929"/>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71600" cy="1916929"/>
                          </a:xfrm>
                          <a:prstGeom prst="rect">
                            <a:avLst/>
                          </a:prstGeom>
                          <a:noFill/>
                          <a:ln>
                            <a:noFill/>
                          </a:ln>
                        </pic:spPr>
                      </pic:pic>
                    </a:graphicData>
                  </a:graphic>
                </wp:inline>
              </w:drawing>
            </w:r>
          </w:p>
        </w:tc>
        <w:tc>
          <w:tcPr>
            <w:tcW w:w="8255" w:type="dxa"/>
          </w:tcPr>
          <w:p w14:paraId="71C80CE7" w14:textId="19D52197" w:rsidR="008E34E8" w:rsidRPr="00FE135F" w:rsidRDefault="008E34E8" w:rsidP="00D40B38">
            <w:pPr>
              <w:rPr>
                <w:rFonts w:eastAsia="Arial" w:cs="Arial"/>
                <w:kern w:val="2"/>
                <w:sz w:val="26"/>
                <w:szCs w:val="26"/>
              </w:rPr>
            </w:pPr>
            <w:r w:rsidRPr="00FE135F">
              <w:rPr>
                <w:color w:val="231F20"/>
                <w:kern w:val="2"/>
                <w:sz w:val="26"/>
                <w:szCs w:val="26"/>
              </w:rPr>
              <w:t xml:space="preserve">З новою шприц-ручкою МАЙ КЛІК робити ін'єкції </w:t>
            </w:r>
            <w:r w:rsidR="00247EBC" w:rsidRPr="00FE135F">
              <w:rPr>
                <w:color w:val="231F20"/>
                <w:kern w:val="2"/>
                <w:sz w:val="26"/>
                <w:szCs w:val="26"/>
              </w:rPr>
              <w:t>самостійно</w:t>
            </w:r>
            <w:r w:rsidR="00196305" w:rsidRPr="00FE135F">
              <w:rPr>
                <w:color w:val="231F20"/>
                <w:kern w:val="2"/>
                <w:sz w:val="26"/>
                <w:szCs w:val="26"/>
              </w:rPr>
              <w:t xml:space="preserve"> вашим пацієнтам</w:t>
            </w:r>
            <w:r w:rsidR="00247EBC" w:rsidRPr="00FE135F">
              <w:rPr>
                <w:color w:val="231F20"/>
                <w:kern w:val="2"/>
                <w:sz w:val="26"/>
                <w:szCs w:val="26"/>
              </w:rPr>
              <w:t xml:space="preserve"> </w:t>
            </w:r>
            <w:r w:rsidR="00B23FBB" w:rsidRPr="00FE135F">
              <w:rPr>
                <w:color w:val="231F20"/>
                <w:kern w:val="2"/>
                <w:sz w:val="26"/>
                <w:szCs w:val="26"/>
              </w:rPr>
              <w:t>стало</w:t>
            </w:r>
            <w:r w:rsidRPr="00FE135F">
              <w:rPr>
                <w:color w:val="231F20"/>
                <w:kern w:val="2"/>
                <w:sz w:val="26"/>
                <w:szCs w:val="26"/>
              </w:rPr>
              <w:t xml:space="preserve"> просто, а завдяки </w:t>
            </w:r>
            <w:r w:rsidR="00B23FBB" w:rsidRPr="00FE135F">
              <w:rPr>
                <w:color w:val="231F20"/>
                <w:kern w:val="2"/>
                <w:sz w:val="26"/>
                <w:szCs w:val="26"/>
              </w:rPr>
              <w:t>даному</w:t>
            </w:r>
            <w:r w:rsidRPr="00FE135F">
              <w:rPr>
                <w:color w:val="231F20"/>
                <w:kern w:val="2"/>
                <w:sz w:val="26"/>
                <w:szCs w:val="26"/>
              </w:rPr>
              <w:t xml:space="preserve"> посібнику </w:t>
            </w:r>
            <w:r w:rsidR="00B23FBB" w:rsidRPr="00FE135F">
              <w:rPr>
                <w:color w:val="231F20"/>
                <w:kern w:val="2"/>
                <w:sz w:val="26"/>
                <w:szCs w:val="26"/>
              </w:rPr>
              <w:t>цьому легко</w:t>
            </w:r>
            <w:r w:rsidRPr="00FE135F">
              <w:rPr>
                <w:color w:val="231F20"/>
                <w:kern w:val="2"/>
                <w:sz w:val="26"/>
                <w:szCs w:val="26"/>
              </w:rPr>
              <w:t xml:space="preserve"> </w:t>
            </w:r>
            <w:r w:rsidR="00196305" w:rsidRPr="00FE135F">
              <w:rPr>
                <w:color w:val="231F20"/>
                <w:kern w:val="2"/>
                <w:sz w:val="26"/>
                <w:szCs w:val="26"/>
              </w:rPr>
              <w:t>навчит</w:t>
            </w:r>
            <w:r w:rsidR="00B23FBB" w:rsidRPr="00FE135F">
              <w:rPr>
                <w:color w:val="231F20"/>
                <w:kern w:val="2"/>
                <w:sz w:val="26"/>
                <w:szCs w:val="26"/>
              </w:rPr>
              <w:t>ися</w:t>
            </w:r>
            <w:r w:rsidRPr="00FE135F">
              <w:rPr>
                <w:color w:val="231F20"/>
                <w:kern w:val="2"/>
                <w:sz w:val="26"/>
                <w:szCs w:val="26"/>
              </w:rPr>
              <w:t>.</w:t>
            </w:r>
          </w:p>
          <w:p w14:paraId="22A3F361" w14:textId="77777777" w:rsidR="008E34E8" w:rsidRPr="00FE135F" w:rsidRDefault="008E34E8" w:rsidP="00D40B38">
            <w:pPr>
              <w:rPr>
                <w:kern w:val="2"/>
              </w:rPr>
            </w:pPr>
          </w:p>
          <w:p w14:paraId="06BC94A7" w14:textId="77777777" w:rsidR="008E34E8" w:rsidRPr="00FE135F" w:rsidRDefault="008E34E8" w:rsidP="00D40B38">
            <w:pPr>
              <w:rPr>
                <w:kern w:val="2"/>
              </w:rPr>
            </w:pPr>
          </w:p>
          <w:p w14:paraId="0B9F77EE" w14:textId="4120C231" w:rsidR="008E34E8" w:rsidRPr="00FE135F" w:rsidRDefault="008E34E8" w:rsidP="00196305">
            <w:pPr>
              <w:pStyle w:val="a9"/>
              <w:rPr>
                <w:kern w:val="2"/>
                <w:sz w:val="26"/>
                <w:szCs w:val="26"/>
              </w:rPr>
            </w:pPr>
            <w:r w:rsidRPr="00FE135F">
              <w:rPr>
                <w:color w:val="231F20"/>
                <w:spacing w:val="-2"/>
                <w:kern w:val="2"/>
                <w:sz w:val="26"/>
                <w:szCs w:val="26"/>
              </w:rPr>
              <w:t>Цілком імовірно, що протягом першого навчання правильній техніці</w:t>
            </w:r>
            <w:r w:rsidRPr="00FE135F">
              <w:rPr>
                <w:color w:val="231F20"/>
                <w:kern w:val="2"/>
                <w:sz w:val="26"/>
                <w:szCs w:val="26"/>
              </w:rPr>
              <w:t xml:space="preserve"> виконання ін'єкцій з використанням МАЙ КЛІК </w:t>
            </w:r>
            <w:r w:rsidR="00196305" w:rsidRPr="00FE135F">
              <w:rPr>
                <w:color w:val="231F20"/>
                <w:kern w:val="2"/>
                <w:sz w:val="26"/>
                <w:szCs w:val="26"/>
              </w:rPr>
              <w:t>вашим пацієнтам буде здаватися</w:t>
            </w:r>
            <w:r w:rsidRPr="00FE135F">
              <w:rPr>
                <w:color w:val="231F20"/>
                <w:kern w:val="2"/>
                <w:sz w:val="26"/>
                <w:szCs w:val="26"/>
              </w:rPr>
              <w:t xml:space="preserve">, що </w:t>
            </w:r>
            <w:r w:rsidR="00C61D78" w:rsidRPr="00FE135F">
              <w:rPr>
                <w:color w:val="231F20"/>
                <w:kern w:val="2"/>
                <w:sz w:val="26"/>
                <w:szCs w:val="26"/>
              </w:rPr>
              <w:t xml:space="preserve">лікарю або медсестрі було дуже легко </w:t>
            </w:r>
            <w:r w:rsidRPr="00FE135F">
              <w:rPr>
                <w:color w:val="231F20"/>
                <w:kern w:val="2"/>
                <w:sz w:val="26"/>
                <w:szCs w:val="26"/>
              </w:rPr>
              <w:t xml:space="preserve">робити </w:t>
            </w:r>
            <w:r w:rsidR="00CA2098" w:rsidRPr="00FE135F">
              <w:rPr>
                <w:color w:val="231F20"/>
                <w:kern w:val="2"/>
                <w:sz w:val="26"/>
                <w:szCs w:val="26"/>
              </w:rPr>
              <w:t>ін’єкцію</w:t>
            </w:r>
            <w:r w:rsidRPr="00FE135F">
              <w:rPr>
                <w:color w:val="231F20"/>
                <w:kern w:val="2"/>
                <w:sz w:val="26"/>
                <w:szCs w:val="26"/>
              </w:rPr>
              <w:t> — тому щ</w:t>
            </w:r>
            <w:r w:rsidR="007D31C8" w:rsidRPr="00FE135F">
              <w:rPr>
                <w:color w:val="231F20"/>
                <w:kern w:val="2"/>
                <w:sz w:val="26"/>
                <w:szCs w:val="26"/>
              </w:rPr>
              <w:t>о</w:t>
            </w:r>
            <w:r w:rsidRPr="00FE135F">
              <w:rPr>
                <w:color w:val="231F20"/>
                <w:kern w:val="2"/>
                <w:sz w:val="26"/>
                <w:szCs w:val="26"/>
              </w:rPr>
              <w:t xml:space="preserve"> це так і є. Але якщо думка про введення ін'єкції собі примушує </w:t>
            </w:r>
            <w:r w:rsidRPr="00FE135F">
              <w:rPr>
                <w:color w:val="231F20"/>
                <w:spacing w:val="-6"/>
                <w:kern w:val="2"/>
                <w:sz w:val="26"/>
                <w:szCs w:val="26"/>
              </w:rPr>
              <w:t>нервувати</w:t>
            </w:r>
            <w:r w:rsidR="00196305" w:rsidRPr="00FE135F">
              <w:rPr>
                <w:color w:val="231F20"/>
                <w:spacing w:val="-6"/>
                <w:kern w:val="2"/>
                <w:sz w:val="26"/>
                <w:szCs w:val="26"/>
              </w:rPr>
              <w:t xml:space="preserve"> ваших пацієнтів</w:t>
            </w:r>
            <w:r w:rsidRPr="00FE135F">
              <w:rPr>
                <w:color w:val="231F20"/>
                <w:spacing w:val="-6"/>
                <w:kern w:val="2"/>
                <w:sz w:val="26"/>
                <w:szCs w:val="26"/>
              </w:rPr>
              <w:t xml:space="preserve">, тоді вам допоможе ця брошура. Можливо, </w:t>
            </w:r>
            <w:r w:rsidR="00196305" w:rsidRPr="00FE135F">
              <w:rPr>
                <w:color w:val="231F20"/>
                <w:spacing w:val="-6"/>
                <w:kern w:val="2"/>
                <w:sz w:val="26"/>
                <w:szCs w:val="26"/>
              </w:rPr>
              <w:t>ваших пацієнтів</w:t>
            </w:r>
            <w:r w:rsidRPr="00FE135F">
              <w:rPr>
                <w:color w:val="231F20"/>
                <w:spacing w:val="-6"/>
                <w:kern w:val="2"/>
                <w:sz w:val="26"/>
                <w:szCs w:val="26"/>
              </w:rPr>
              <w:t xml:space="preserve"> заспокоїть</w:t>
            </w:r>
            <w:r w:rsidRPr="00FE135F">
              <w:rPr>
                <w:color w:val="231F20"/>
                <w:kern w:val="2"/>
                <w:sz w:val="26"/>
                <w:szCs w:val="26"/>
              </w:rPr>
              <w:t xml:space="preserve"> той факт, що попередньо наповнена шприц-ручка МАЙ КЛІК </w:t>
            </w:r>
            <w:r w:rsidRPr="00FE135F">
              <w:rPr>
                <w:color w:val="231F20"/>
                <w:spacing w:val="-2"/>
                <w:kern w:val="2"/>
                <w:sz w:val="26"/>
                <w:szCs w:val="26"/>
              </w:rPr>
              <w:t>пройшла ретельну оцінку в людей, які виконують ін'єкції препарату</w:t>
            </w:r>
            <w:r w:rsidRPr="00FE135F">
              <w:rPr>
                <w:color w:val="231F20"/>
                <w:kern w:val="2"/>
                <w:sz w:val="26"/>
                <w:szCs w:val="26"/>
              </w:rPr>
              <w:t xml:space="preserve"> ЕНБРЕЛ. Протягом цієї оцінки був зроблений висновок, що всі показники, такі як легкість виконання ін'єкції, простота навчання </w:t>
            </w:r>
            <w:r w:rsidRPr="00FE135F">
              <w:rPr>
                <w:color w:val="231F20"/>
                <w:spacing w:val="-4"/>
                <w:kern w:val="2"/>
                <w:sz w:val="26"/>
                <w:szCs w:val="26"/>
              </w:rPr>
              <w:t>процедурі користування шприц-ручкою, упевненість у правильному</w:t>
            </w:r>
            <w:r w:rsidRPr="00FE135F">
              <w:rPr>
                <w:color w:val="231F20"/>
                <w:kern w:val="2"/>
                <w:sz w:val="26"/>
                <w:szCs w:val="26"/>
              </w:rPr>
              <w:t xml:space="preserve"> </w:t>
            </w:r>
            <w:r w:rsidRPr="00FE135F">
              <w:rPr>
                <w:color w:val="231F20"/>
                <w:spacing w:val="-4"/>
                <w:kern w:val="2"/>
                <w:sz w:val="26"/>
                <w:szCs w:val="26"/>
              </w:rPr>
              <w:t>виконанні ін'єкції та загальна задоволеність пацієнта, були кращими</w:t>
            </w:r>
            <w:r w:rsidRPr="00FE135F">
              <w:rPr>
                <w:color w:val="231F20"/>
                <w:kern w:val="2"/>
                <w:sz w:val="26"/>
                <w:szCs w:val="26"/>
              </w:rPr>
              <w:t xml:space="preserve"> порівняно з виконанням ін'єкції препарату ЕНБРЕЛ за допомогою звичайного шприца</w:t>
            </w:r>
            <w:r w:rsidRPr="00FE135F">
              <w:rPr>
                <w:color w:val="231F20"/>
                <w:kern w:val="2"/>
                <w:sz w:val="26"/>
                <w:szCs w:val="26"/>
                <w:vertAlign w:val="superscript"/>
              </w:rPr>
              <w:t>2</w:t>
            </w:r>
            <w:r w:rsidRPr="00FE135F">
              <w:rPr>
                <w:color w:val="231F20"/>
                <w:kern w:val="2"/>
                <w:sz w:val="26"/>
                <w:szCs w:val="26"/>
              </w:rPr>
              <w:t>.</w:t>
            </w:r>
          </w:p>
        </w:tc>
      </w:tr>
    </w:tbl>
    <w:p w14:paraId="4BF69400" w14:textId="77777777" w:rsidR="008E34E8" w:rsidRPr="00FE135F" w:rsidRDefault="008E34E8" w:rsidP="008E34E8">
      <w:pPr>
        <w:rPr>
          <w:kern w:val="2"/>
        </w:rPr>
      </w:pPr>
    </w:p>
    <w:p w14:paraId="4D9899A4" w14:textId="77777777" w:rsidR="008E34E8" w:rsidRPr="00FE135F" w:rsidRDefault="008E34E8" w:rsidP="008E34E8">
      <w:pPr>
        <w:rPr>
          <w:kern w:val="2"/>
        </w:rPr>
      </w:pPr>
    </w:p>
    <w:p w14:paraId="724B1A04" w14:textId="576C9563" w:rsidR="008E34E8" w:rsidRPr="00FE135F" w:rsidRDefault="008E34E8" w:rsidP="00D40B38">
      <w:pPr>
        <w:rPr>
          <w:rFonts w:eastAsia="Arial" w:cs="Arial"/>
          <w:kern w:val="2"/>
          <w:sz w:val="26"/>
          <w:szCs w:val="26"/>
        </w:rPr>
      </w:pPr>
      <w:r w:rsidRPr="00FE135F">
        <w:rPr>
          <w:color w:val="231F20"/>
          <w:kern w:val="2"/>
          <w:sz w:val="26"/>
          <w:szCs w:val="26"/>
        </w:rPr>
        <w:t xml:space="preserve">Мета цієї брошури — допомогти </w:t>
      </w:r>
      <w:r w:rsidR="00196305" w:rsidRPr="00FE135F">
        <w:rPr>
          <w:color w:val="231F20"/>
          <w:kern w:val="2"/>
          <w:sz w:val="26"/>
          <w:szCs w:val="26"/>
        </w:rPr>
        <w:t>вашим пацієнтам</w:t>
      </w:r>
      <w:r w:rsidRPr="00FE135F">
        <w:rPr>
          <w:color w:val="231F20"/>
          <w:kern w:val="2"/>
          <w:sz w:val="26"/>
          <w:szCs w:val="26"/>
        </w:rPr>
        <w:t xml:space="preserve"> відчувати себе впевненіше під час використання МАЙ КЛІК для виконання ін'єкції препарату ЕНБРЕЛ. Вона крок за кроком розкриє </w:t>
      </w:r>
      <w:r w:rsidRPr="00FE135F">
        <w:rPr>
          <w:color w:val="231F20"/>
          <w:spacing w:val="-2"/>
          <w:kern w:val="2"/>
          <w:sz w:val="26"/>
          <w:szCs w:val="26"/>
        </w:rPr>
        <w:t xml:space="preserve">процес </w:t>
      </w:r>
      <w:r w:rsidR="00247EBC" w:rsidRPr="00FE135F">
        <w:rPr>
          <w:color w:val="231F20"/>
          <w:spacing w:val="-2"/>
          <w:kern w:val="2"/>
          <w:sz w:val="26"/>
          <w:szCs w:val="26"/>
        </w:rPr>
        <w:t xml:space="preserve">самостійного </w:t>
      </w:r>
      <w:r w:rsidRPr="00FE135F">
        <w:rPr>
          <w:color w:val="231F20"/>
          <w:spacing w:val="-2"/>
          <w:kern w:val="2"/>
          <w:sz w:val="26"/>
          <w:szCs w:val="26"/>
        </w:rPr>
        <w:t>виконання</w:t>
      </w:r>
      <w:r w:rsidR="00247EBC" w:rsidRPr="00FE135F">
        <w:rPr>
          <w:color w:val="231F20"/>
          <w:spacing w:val="-2"/>
          <w:kern w:val="2"/>
          <w:sz w:val="26"/>
          <w:szCs w:val="26"/>
        </w:rPr>
        <w:t xml:space="preserve"> </w:t>
      </w:r>
      <w:r w:rsidRPr="00FE135F">
        <w:rPr>
          <w:color w:val="231F20"/>
          <w:spacing w:val="-2"/>
          <w:kern w:val="2"/>
          <w:sz w:val="26"/>
          <w:szCs w:val="26"/>
        </w:rPr>
        <w:t>ін'єкцій</w:t>
      </w:r>
      <w:r w:rsidR="00196305" w:rsidRPr="00FE135F">
        <w:rPr>
          <w:color w:val="231F20"/>
          <w:spacing w:val="-2"/>
          <w:kern w:val="2"/>
          <w:sz w:val="26"/>
          <w:szCs w:val="26"/>
        </w:rPr>
        <w:t xml:space="preserve"> вашим пацієнтам</w:t>
      </w:r>
      <w:r w:rsidRPr="00FE135F">
        <w:rPr>
          <w:color w:val="231F20"/>
          <w:spacing w:val="-2"/>
          <w:kern w:val="2"/>
          <w:sz w:val="26"/>
          <w:szCs w:val="26"/>
        </w:rPr>
        <w:t xml:space="preserve"> і покаже, як з практикою введення препарату</w:t>
      </w:r>
      <w:r w:rsidRPr="00FE135F">
        <w:rPr>
          <w:color w:val="231F20"/>
          <w:kern w:val="2"/>
          <w:sz w:val="26"/>
          <w:szCs w:val="26"/>
        </w:rPr>
        <w:t xml:space="preserve"> ЕНБРЕЛ може стати простою та звичною частиною </w:t>
      </w:r>
      <w:r w:rsidR="00196305" w:rsidRPr="00FE135F">
        <w:rPr>
          <w:color w:val="231F20"/>
          <w:kern w:val="2"/>
          <w:sz w:val="26"/>
          <w:szCs w:val="26"/>
        </w:rPr>
        <w:t>їхнього</w:t>
      </w:r>
      <w:r w:rsidRPr="00FE135F">
        <w:rPr>
          <w:color w:val="231F20"/>
          <w:kern w:val="2"/>
          <w:sz w:val="26"/>
          <w:szCs w:val="26"/>
        </w:rPr>
        <w:t xml:space="preserve"> життя. </w:t>
      </w:r>
      <w:r w:rsidR="00A22F8E" w:rsidRPr="00FE135F">
        <w:rPr>
          <w:color w:val="231F20"/>
          <w:kern w:val="2"/>
          <w:sz w:val="26"/>
          <w:szCs w:val="26"/>
        </w:rPr>
        <w:t>Брошура містить таку інформацію.</w:t>
      </w:r>
    </w:p>
    <w:p w14:paraId="46320BCE" w14:textId="77777777" w:rsidR="008E34E8" w:rsidRPr="00FE135F" w:rsidRDefault="008E34E8" w:rsidP="008E34E8">
      <w:pPr>
        <w:rPr>
          <w:kern w:val="2"/>
        </w:rPr>
      </w:pPr>
    </w:p>
    <w:p w14:paraId="08FBBD86" w14:textId="77777777" w:rsidR="008E34E8" w:rsidRPr="00FE135F" w:rsidRDefault="008E34E8" w:rsidP="008E34E8">
      <w:pPr>
        <w:rPr>
          <w:kern w:val="2"/>
        </w:rPr>
      </w:pPr>
    </w:p>
    <w:p w14:paraId="3CA26F6F" w14:textId="77777777" w:rsidR="008E34E8" w:rsidRPr="00FE135F" w:rsidRDefault="008E34E8" w:rsidP="008E34E8">
      <w:pPr>
        <w:rPr>
          <w:rFonts w:eastAsia="Arial" w:cs="Arial"/>
          <w:kern w:val="2"/>
          <w:sz w:val="26"/>
          <w:szCs w:val="26"/>
          <w:lang w:val="ru-RU"/>
        </w:rPr>
      </w:pPr>
      <w:r w:rsidRPr="00FE135F">
        <w:rPr>
          <w:b/>
          <w:color w:val="448F9C"/>
          <w:kern w:val="2"/>
          <w:sz w:val="26"/>
          <w:szCs w:val="26"/>
        </w:rPr>
        <w:t xml:space="preserve">1. </w:t>
      </w:r>
      <w:r w:rsidRPr="00FE135F">
        <w:rPr>
          <w:color w:val="231F20"/>
          <w:kern w:val="2"/>
          <w:sz w:val="26"/>
          <w:szCs w:val="26"/>
        </w:rPr>
        <w:t>Підготовка до виконання ін'єкції препарату ЕНБРЕЛ</w:t>
      </w:r>
      <w:r w:rsidR="00E4433A" w:rsidRPr="00FE135F">
        <w:rPr>
          <w:color w:val="231F20"/>
          <w:kern w:val="2"/>
          <w:sz w:val="26"/>
          <w:szCs w:val="26"/>
          <w:lang w:val="ru-RU"/>
        </w:rPr>
        <w:t>.</w:t>
      </w:r>
    </w:p>
    <w:p w14:paraId="3E99C02E" w14:textId="77777777" w:rsidR="008E34E8" w:rsidRPr="00FE135F" w:rsidRDefault="008E34E8" w:rsidP="008E34E8">
      <w:pPr>
        <w:rPr>
          <w:rFonts w:eastAsia="Arial" w:cs="Arial"/>
          <w:kern w:val="2"/>
          <w:sz w:val="26"/>
          <w:szCs w:val="26"/>
          <w:lang w:val="ru-RU"/>
        </w:rPr>
      </w:pPr>
      <w:r w:rsidRPr="00FE135F">
        <w:rPr>
          <w:b/>
          <w:color w:val="448F9C"/>
          <w:kern w:val="2"/>
          <w:sz w:val="26"/>
          <w:szCs w:val="26"/>
        </w:rPr>
        <w:t xml:space="preserve">2. </w:t>
      </w:r>
      <w:r w:rsidRPr="00FE135F">
        <w:rPr>
          <w:color w:val="231F20"/>
          <w:kern w:val="2"/>
          <w:sz w:val="26"/>
          <w:szCs w:val="26"/>
        </w:rPr>
        <w:t>Вибір місця введення ін'єкції</w:t>
      </w:r>
      <w:r w:rsidR="00E4433A" w:rsidRPr="00FE135F">
        <w:rPr>
          <w:color w:val="231F20"/>
          <w:kern w:val="2"/>
          <w:sz w:val="26"/>
          <w:szCs w:val="26"/>
          <w:lang w:val="ru-RU"/>
        </w:rPr>
        <w:t>.</w:t>
      </w:r>
    </w:p>
    <w:p w14:paraId="2B6E69CC" w14:textId="77777777" w:rsidR="008E34E8" w:rsidRPr="00FE135F" w:rsidRDefault="008E34E8" w:rsidP="008E34E8">
      <w:pPr>
        <w:rPr>
          <w:rFonts w:eastAsia="Arial" w:cs="Arial"/>
          <w:kern w:val="2"/>
          <w:sz w:val="26"/>
          <w:szCs w:val="26"/>
          <w:lang w:val="ru-RU"/>
        </w:rPr>
      </w:pPr>
      <w:r w:rsidRPr="00FE135F">
        <w:rPr>
          <w:b/>
          <w:color w:val="448F9C"/>
          <w:kern w:val="2"/>
          <w:sz w:val="26"/>
          <w:szCs w:val="26"/>
        </w:rPr>
        <w:t xml:space="preserve">3. </w:t>
      </w:r>
      <w:r w:rsidRPr="00FE135F">
        <w:rPr>
          <w:color w:val="231F20"/>
          <w:kern w:val="2"/>
          <w:sz w:val="26"/>
          <w:szCs w:val="26"/>
        </w:rPr>
        <w:t>Виконання ін'єкції розчину препарату ЕНБРЕЛ</w:t>
      </w:r>
      <w:r w:rsidR="00E4433A" w:rsidRPr="00FE135F">
        <w:rPr>
          <w:color w:val="231F20"/>
          <w:kern w:val="2"/>
          <w:sz w:val="26"/>
          <w:szCs w:val="26"/>
          <w:lang w:val="ru-RU"/>
        </w:rPr>
        <w:t>.</w:t>
      </w:r>
    </w:p>
    <w:p w14:paraId="45DD7CB8" w14:textId="77777777" w:rsidR="008E34E8" w:rsidRPr="00FE135F" w:rsidRDefault="008E34E8" w:rsidP="008E34E8">
      <w:pPr>
        <w:rPr>
          <w:rFonts w:eastAsia="Arial" w:cs="Arial"/>
          <w:kern w:val="2"/>
          <w:sz w:val="26"/>
          <w:szCs w:val="26"/>
          <w:lang w:val="ru-RU"/>
        </w:rPr>
      </w:pPr>
      <w:r w:rsidRPr="00FE135F">
        <w:rPr>
          <w:b/>
          <w:color w:val="448F9C"/>
          <w:kern w:val="2"/>
          <w:sz w:val="26"/>
          <w:szCs w:val="26"/>
        </w:rPr>
        <w:t xml:space="preserve">4. </w:t>
      </w:r>
      <w:r w:rsidRPr="00FE135F">
        <w:rPr>
          <w:color w:val="231F20"/>
          <w:kern w:val="2"/>
          <w:sz w:val="26"/>
          <w:szCs w:val="26"/>
        </w:rPr>
        <w:t>Утилізація використаної шприц-ручки МАЙ КЛІК</w:t>
      </w:r>
      <w:r w:rsidR="00E4433A" w:rsidRPr="00FE135F">
        <w:rPr>
          <w:color w:val="231F20"/>
          <w:kern w:val="2"/>
          <w:sz w:val="26"/>
          <w:szCs w:val="26"/>
          <w:lang w:val="ru-RU"/>
        </w:rPr>
        <w:t>.</w:t>
      </w:r>
    </w:p>
    <w:p w14:paraId="5D066EDE" w14:textId="77777777" w:rsidR="008E34E8" w:rsidRPr="00FE135F" w:rsidRDefault="008E34E8" w:rsidP="008E34E8">
      <w:pPr>
        <w:rPr>
          <w:rFonts w:eastAsia="Arial" w:cs="Arial"/>
          <w:color w:val="231F20"/>
          <w:kern w:val="2"/>
          <w:sz w:val="26"/>
          <w:szCs w:val="26"/>
          <w:lang w:val="ru-RU"/>
        </w:rPr>
      </w:pPr>
      <w:r w:rsidRPr="00FE135F">
        <w:rPr>
          <w:b/>
          <w:color w:val="448F9C"/>
          <w:kern w:val="2"/>
          <w:sz w:val="26"/>
          <w:szCs w:val="26"/>
        </w:rPr>
        <w:t xml:space="preserve">5. </w:t>
      </w:r>
      <w:r w:rsidRPr="00FE135F">
        <w:rPr>
          <w:color w:val="231F20"/>
          <w:kern w:val="2"/>
          <w:sz w:val="26"/>
          <w:szCs w:val="26"/>
        </w:rPr>
        <w:t>Додаткова інформація, така як поїздки з препаратом ЕНБРЕЛ</w:t>
      </w:r>
      <w:r w:rsidR="00E4433A" w:rsidRPr="00FE135F">
        <w:rPr>
          <w:color w:val="231F20"/>
          <w:kern w:val="2"/>
          <w:sz w:val="26"/>
          <w:szCs w:val="26"/>
          <w:lang w:val="ru-RU"/>
        </w:rPr>
        <w:t>.</w:t>
      </w:r>
    </w:p>
    <w:p w14:paraId="5AD81430" w14:textId="77777777" w:rsidR="008E34E8" w:rsidRPr="00FE135F" w:rsidRDefault="008E34E8" w:rsidP="008E34E8">
      <w:pPr>
        <w:rPr>
          <w:rFonts w:eastAsia="Arial" w:cs="Arial"/>
          <w:color w:val="231F20"/>
          <w:kern w:val="2"/>
          <w:sz w:val="24"/>
          <w:szCs w:val="28"/>
        </w:rPr>
      </w:pPr>
    </w:p>
    <w:p w14:paraId="2E8B519A" w14:textId="77777777" w:rsidR="008E34E8" w:rsidRPr="00FE135F" w:rsidRDefault="008E34E8" w:rsidP="00D213AC">
      <w:pPr>
        <w:rPr>
          <w:rFonts w:eastAsia="Arial" w:cs="Arial"/>
          <w:spacing w:val="-2"/>
          <w:kern w:val="2"/>
          <w:sz w:val="26"/>
          <w:szCs w:val="26"/>
        </w:rPr>
      </w:pPr>
      <w:r w:rsidRPr="00FE135F">
        <w:rPr>
          <w:color w:val="231F20"/>
          <w:spacing w:val="-2"/>
          <w:kern w:val="2"/>
          <w:sz w:val="26"/>
          <w:szCs w:val="26"/>
        </w:rPr>
        <w:t>Перш ніж розпочати використання шприц-ручки, необхідно ознайомитися з усіма інструкціями.</w:t>
      </w:r>
    </w:p>
    <w:p w14:paraId="31C64475" w14:textId="77777777" w:rsidR="008E34E8" w:rsidRPr="00FE135F" w:rsidRDefault="008E34E8" w:rsidP="008E34E8">
      <w:pPr>
        <w:rPr>
          <w:kern w:val="2"/>
          <w:sz w:val="24"/>
          <w:szCs w:val="28"/>
        </w:rPr>
      </w:pPr>
    </w:p>
    <w:p w14:paraId="1E3D093C" w14:textId="77777777" w:rsidR="008E34E8" w:rsidRPr="00FE135F" w:rsidRDefault="008E34E8" w:rsidP="008E34E8">
      <w:pPr>
        <w:rPr>
          <w:kern w:val="2"/>
          <w:sz w:val="24"/>
          <w:szCs w:val="28"/>
        </w:rPr>
      </w:pPr>
    </w:p>
    <w:p w14:paraId="2ECFAD1A" w14:textId="45B5BE73" w:rsidR="00F62AC9" w:rsidRPr="008F6347" w:rsidRDefault="008E34E8" w:rsidP="008E34E8">
      <w:pPr>
        <w:pStyle w:val="a9"/>
        <w:rPr>
          <w:kern w:val="2"/>
          <w:sz w:val="26"/>
          <w:szCs w:val="26"/>
        </w:rPr>
      </w:pPr>
      <w:r w:rsidRPr="00FE135F">
        <w:rPr>
          <w:color w:val="231F20"/>
          <w:kern w:val="2"/>
          <w:sz w:val="26"/>
          <w:szCs w:val="26"/>
        </w:rPr>
        <w:t xml:space="preserve">Якщо після розгляду цього посібника </w:t>
      </w:r>
      <w:r w:rsidR="00196305" w:rsidRPr="00FE135F">
        <w:rPr>
          <w:color w:val="231F20"/>
          <w:kern w:val="2"/>
          <w:sz w:val="26"/>
          <w:szCs w:val="26"/>
        </w:rPr>
        <w:t>ваші пацієнти</w:t>
      </w:r>
      <w:r w:rsidRPr="00FE135F">
        <w:rPr>
          <w:color w:val="231F20"/>
          <w:kern w:val="2"/>
          <w:sz w:val="26"/>
          <w:szCs w:val="26"/>
        </w:rPr>
        <w:t xml:space="preserve"> все ще матим</w:t>
      </w:r>
      <w:r w:rsidR="00196305" w:rsidRPr="00FE135F">
        <w:rPr>
          <w:color w:val="231F20"/>
          <w:kern w:val="2"/>
          <w:sz w:val="26"/>
          <w:szCs w:val="26"/>
        </w:rPr>
        <w:t>уть</w:t>
      </w:r>
      <w:r w:rsidRPr="00FE135F">
        <w:rPr>
          <w:color w:val="231F20"/>
          <w:kern w:val="2"/>
          <w:sz w:val="26"/>
          <w:szCs w:val="26"/>
        </w:rPr>
        <w:t xml:space="preserve"> будь-які запитання щодо підготовки та виконання ін'єкції препарату ЕНБРЕЛ, ви можете </w:t>
      </w:r>
      <w:r w:rsidR="00196305" w:rsidRPr="00FE135F">
        <w:rPr>
          <w:color w:val="231F20"/>
          <w:kern w:val="2"/>
          <w:sz w:val="26"/>
          <w:szCs w:val="26"/>
        </w:rPr>
        <w:t xml:space="preserve">порекомендувати їм </w:t>
      </w:r>
      <w:r w:rsidRPr="00FE135F">
        <w:rPr>
          <w:color w:val="231F20"/>
          <w:kern w:val="2"/>
          <w:sz w:val="26"/>
          <w:szCs w:val="26"/>
        </w:rPr>
        <w:t>отримати допомогу ві</w:t>
      </w:r>
      <w:r w:rsidR="00196305" w:rsidRPr="00FE135F">
        <w:rPr>
          <w:color w:val="231F20"/>
          <w:kern w:val="2"/>
          <w:sz w:val="26"/>
          <w:szCs w:val="26"/>
        </w:rPr>
        <w:t>д підготовленого медпрацівника.</w:t>
      </w:r>
    </w:p>
    <w:p w14:paraId="703097D5" w14:textId="77777777" w:rsidR="008E34E8" w:rsidRPr="008F6347" w:rsidRDefault="008E34E8" w:rsidP="00445F1F">
      <w:pPr>
        <w:pStyle w:val="a9"/>
        <w:rPr>
          <w:kern w:val="2"/>
          <w:sz w:val="24"/>
          <w:szCs w:val="28"/>
        </w:rPr>
      </w:pPr>
    </w:p>
    <w:p w14:paraId="133DBAF8" w14:textId="77777777" w:rsidR="008E34E8" w:rsidRPr="008F6347" w:rsidRDefault="008E34E8" w:rsidP="00445F1F">
      <w:pPr>
        <w:pStyle w:val="a9"/>
        <w:rPr>
          <w:kern w:val="2"/>
          <w:sz w:val="24"/>
          <w:szCs w:val="28"/>
        </w:rPr>
      </w:pPr>
    </w:p>
    <w:p w14:paraId="423A87D9" w14:textId="77777777" w:rsidR="00F62AC9" w:rsidRPr="008F6347" w:rsidRDefault="00F62AC9">
      <w:pPr>
        <w:spacing w:after="200" w:line="276" w:lineRule="auto"/>
        <w:rPr>
          <w:kern w:val="2"/>
        </w:rPr>
      </w:pPr>
      <w:r w:rsidRPr="008F6347">
        <w:rPr>
          <w:kern w:val="2"/>
        </w:rPr>
        <w:br w:type="page"/>
      </w:r>
    </w:p>
    <w:p w14:paraId="5A7A5BCF" w14:textId="77777777" w:rsidR="00445F1F" w:rsidRPr="008F6347" w:rsidRDefault="00445F1F" w:rsidP="00445F1F">
      <w:pPr>
        <w:pStyle w:val="a9"/>
        <w:rPr>
          <w:kern w:val="2"/>
        </w:rPr>
      </w:pPr>
    </w:p>
    <w:p w14:paraId="2320F515" w14:textId="77777777" w:rsidR="008E34E8" w:rsidRPr="008F6347" w:rsidRDefault="008E34E8" w:rsidP="00445F1F">
      <w:pPr>
        <w:pStyle w:val="a9"/>
        <w:rPr>
          <w:kern w:val="2"/>
        </w:rPr>
      </w:pPr>
    </w:p>
    <w:p w14:paraId="4266FB26" w14:textId="77777777" w:rsidR="008E34E8" w:rsidRPr="008F6347" w:rsidRDefault="008E34E8" w:rsidP="00445F1F">
      <w:pPr>
        <w:pStyle w:val="a9"/>
        <w:rPr>
          <w:kern w:val="2"/>
        </w:rPr>
      </w:pPr>
    </w:p>
    <w:p w14:paraId="03BDB674" w14:textId="6C23A049" w:rsidR="008E34E8" w:rsidRPr="008F6347" w:rsidRDefault="008E34E8" w:rsidP="00E81B7D">
      <w:pPr>
        <w:pStyle w:val="h10"/>
        <w:ind w:right="2247"/>
        <w:rPr>
          <w:kern w:val="2"/>
        </w:rPr>
      </w:pPr>
      <w:bookmarkStart w:id="2" w:name="_Toc508028202"/>
      <w:bookmarkStart w:id="3" w:name="_Toc508809538"/>
      <w:r w:rsidRPr="008F6347">
        <w:rPr>
          <w:kern w:val="2"/>
        </w:rPr>
        <w:t xml:space="preserve">ВАЖЛИВА </w:t>
      </w:r>
      <w:r w:rsidR="0049768C" w:rsidRPr="0049768C">
        <w:rPr>
          <w:kern w:val="2"/>
        </w:rPr>
        <w:t>ІНФОРМАЦІ</w:t>
      </w:r>
      <w:r w:rsidR="0049768C">
        <w:rPr>
          <w:kern w:val="2"/>
        </w:rPr>
        <w:t>Я</w:t>
      </w:r>
      <w:r w:rsidRPr="008F6347">
        <w:rPr>
          <w:kern w:val="2"/>
        </w:rPr>
        <w:t>, ЯКУ ТРЕБА ЗАПАМ'ЯТАТИ ПЕРЕД ПОЧАТКОМ КОРИСТУВАННЯ</w:t>
      </w:r>
      <w:bookmarkEnd w:id="2"/>
      <w:bookmarkEnd w:id="3"/>
    </w:p>
    <w:p w14:paraId="200D24DC" w14:textId="77777777" w:rsidR="008E34E8" w:rsidRPr="008F6347" w:rsidRDefault="008E34E8" w:rsidP="008E34E8">
      <w:pPr>
        <w:spacing w:before="2" w:line="170" w:lineRule="exact"/>
        <w:rPr>
          <w:kern w:val="2"/>
          <w:sz w:val="17"/>
          <w:szCs w:val="17"/>
        </w:rPr>
      </w:pPr>
    </w:p>
    <w:p w14:paraId="334BBF8C" w14:textId="4AFBD75C" w:rsidR="008E34E8" w:rsidRPr="00FE135F" w:rsidRDefault="008E34E8" w:rsidP="008E34E8">
      <w:pPr>
        <w:pStyle w:val="a9"/>
        <w:ind w:right="1676"/>
        <w:rPr>
          <w:kern w:val="2"/>
          <w:sz w:val="24"/>
          <w:szCs w:val="28"/>
        </w:rPr>
      </w:pPr>
      <w:r w:rsidRPr="00FE135F">
        <w:rPr>
          <w:b/>
          <w:color w:val="222478"/>
          <w:kern w:val="2"/>
          <w:sz w:val="24"/>
        </w:rPr>
        <w:t xml:space="preserve">Нижче наведено кілька корисних порад, які допоможуть </w:t>
      </w:r>
      <w:r w:rsidR="000F2E6D" w:rsidRPr="00FE135F">
        <w:rPr>
          <w:b/>
          <w:color w:val="222478"/>
          <w:kern w:val="2"/>
          <w:sz w:val="24"/>
        </w:rPr>
        <w:t>вашим пацієнтам</w:t>
      </w:r>
      <w:r w:rsidRPr="00FE135F">
        <w:rPr>
          <w:b/>
          <w:color w:val="222478"/>
          <w:kern w:val="2"/>
          <w:sz w:val="24"/>
        </w:rPr>
        <w:t xml:space="preserve"> розпочати успішно вводити препарат ЕНБРЕЛ</w:t>
      </w:r>
      <w:r w:rsidRPr="00FE135F">
        <w:rPr>
          <w:b/>
          <w:color w:val="222478"/>
          <w:kern w:val="2"/>
          <w:sz w:val="24"/>
          <w:vertAlign w:val="superscript"/>
        </w:rPr>
        <w:t>®</w:t>
      </w:r>
      <w:r w:rsidRPr="00FE135F">
        <w:rPr>
          <w:b/>
          <w:color w:val="222478"/>
          <w:kern w:val="2"/>
          <w:sz w:val="24"/>
        </w:rPr>
        <w:t>.</w:t>
      </w:r>
      <w:r w:rsidR="000F2E6D" w:rsidRPr="00FE135F">
        <w:rPr>
          <w:b/>
          <w:color w:val="222478"/>
          <w:kern w:val="2"/>
          <w:sz w:val="24"/>
        </w:rPr>
        <w:t xml:space="preserve"> </w:t>
      </w:r>
    </w:p>
    <w:p w14:paraId="7C003D77" w14:textId="77777777" w:rsidR="008E34E8" w:rsidRPr="00FE135F" w:rsidRDefault="008E34E8" w:rsidP="00445F1F">
      <w:pPr>
        <w:pStyle w:val="a9"/>
        <w:rPr>
          <w:kern w:val="2"/>
        </w:rPr>
      </w:pPr>
    </w:p>
    <w:p w14:paraId="3042F5BE" w14:textId="77777777" w:rsidR="008E34E8" w:rsidRPr="00FE135F" w:rsidRDefault="008E34E8" w:rsidP="00445F1F">
      <w:pPr>
        <w:pStyle w:val="a9"/>
        <w:rPr>
          <w:kern w:val="2"/>
        </w:rPr>
      </w:pPr>
    </w:p>
    <w:p w14:paraId="13DA4913" w14:textId="5706156C" w:rsidR="008E34E8" w:rsidRPr="008F6347" w:rsidRDefault="000F2E6D" w:rsidP="00445F1F">
      <w:pPr>
        <w:pStyle w:val="a9"/>
        <w:rPr>
          <w:kern w:val="2"/>
        </w:rPr>
      </w:pPr>
      <w:r w:rsidRPr="00FE135F">
        <w:rPr>
          <w:noProof/>
          <w:kern w:val="2"/>
          <w:lang w:bidi="ar-SA"/>
        </w:rPr>
        <mc:AlternateContent>
          <mc:Choice Requires="wps">
            <w:drawing>
              <wp:anchor distT="0" distB="0" distL="114300" distR="114300" simplePos="0" relativeHeight="251641344" behindDoc="0" locked="0" layoutInCell="1" allowOverlap="1" wp14:anchorId="7195994F" wp14:editId="6226A5CF">
                <wp:simplePos x="0" y="0"/>
                <wp:positionH relativeFrom="column">
                  <wp:posOffset>441325</wp:posOffset>
                </wp:positionH>
                <wp:positionV relativeFrom="paragraph">
                  <wp:posOffset>3526790</wp:posOffset>
                </wp:positionV>
                <wp:extent cx="3669665" cy="718820"/>
                <wp:effectExtent l="0" t="0" r="6985" b="508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9665" cy="718820"/>
                        </a:xfrm>
                        <a:prstGeom prst="rect">
                          <a:avLst/>
                        </a:prstGeom>
                        <a:noFill/>
                        <a:ln w="9525">
                          <a:noFill/>
                          <a:miter lim="800000"/>
                          <a:headEnd/>
                          <a:tailEnd/>
                        </a:ln>
                      </wps:spPr>
                      <wps:txbx>
                        <w:txbxContent>
                          <w:p w14:paraId="3678F17F" w14:textId="39662406" w:rsidR="00FE289C" w:rsidRPr="00E81B7D" w:rsidRDefault="00FE289C" w:rsidP="008E34E8">
                            <w:pPr>
                              <w:jc w:val="right"/>
                              <w:rPr>
                                <w:sz w:val="20"/>
                                <w:szCs w:val="20"/>
                              </w:rPr>
                            </w:pPr>
                            <w:r w:rsidRPr="00FE135F">
                              <w:rPr>
                                <w:sz w:val="20"/>
                                <w:szCs w:val="20"/>
                              </w:rPr>
                              <w:t>Завести традицію: визначити конкретні дні та час для виконання ін'єкції. Вашим пацієнтам може стати в пригоді щоденник, щоб стежити за дотриманням розкладу виконання</w:t>
                            </w:r>
                            <w:r w:rsidRPr="00E81B7D">
                              <w:rPr>
                                <w:sz w:val="20"/>
                                <w:szCs w:val="20"/>
                              </w:rPr>
                              <w:t xml:space="preserve"> ін'єкцій.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95994F" id="_x0000_t202" coordsize="21600,21600" o:spt="202" path="m,l,21600r21600,l21600,xe">
                <v:stroke joinstyle="miter"/>
                <v:path gradientshapeok="t" o:connecttype="rect"/>
              </v:shapetype>
              <v:shape id="Text Box 2" o:spid="_x0000_s1026" type="#_x0000_t202" style="position:absolute;margin-left:34.75pt;margin-top:277.7pt;width:288.95pt;height:56.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" filled="f" stroked="f">
                <v:textbox inset="0,0,0,0">
                  <w:txbxContent>
                    <w:p w14:paraId="3678F17F" w14:textId="39662406" w:rsidR="00FE289C" w:rsidRPr="00E81B7D" w:rsidRDefault="00FE289C" w:rsidP="008E34E8">
                      <w:pPr>
                        <w:jc w:val="right"/>
                        <w:rPr>
                          <w:sz w:val="20"/>
                          <w:szCs w:val="20"/>
                        </w:rPr>
                      </w:pPr>
                      <w:r w:rsidRPr="00FE135F">
                        <w:rPr>
                          <w:sz w:val="20"/>
                          <w:szCs w:val="20"/>
                        </w:rPr>
                        <w:t>Завести традицію: визначити конкретні дні та час для виконання ін'єкції. Вашим пацієнтам може стати в пригоді щоденник, щоб стежити за дотриманням розкладу виконання</w:t>
                      </w:r>
                      <w:r w:rsidRPr="00E81B7D">
                        <w:rPr>
                          <w:sz w:val="20"/>
                          <w:szCs w:val="20"/>
                        </w:rPr>
                        <w:t xml:space="preserve"> ін'єкцій.</w:t>
                      </w:r>
                    </w:p>
                  </w:txbxContent>
                </v:textbox>
              </v:shape>
            </w:pict>
          </mc:Fallback>
        </mc:AlternateContent>
      </w:r>
      <w:r w:rsidR="00E81B7D" w:rsidRPr="00FE135F">
        <w:rPr>
          <w:noProof/>
          <w:kern w:val="2"/>
          <w:lang w:bidi="ar-SA"/>
        </w:rPr>
        <mc:AlternateContent>
          <mc:Choice Requires="wps">
            <w:drawing>
              <wp:anchor distT="0" distB="0" distL="114300" distR="114300" simplePos="0" relativeHeight="251643392" behindDoc="0" locked="0" layoutInCell="1" allowOverlap="1" wp14:anchorId="2EC2B055" wp14:editId="7DF389B6">
                <wp:simplePos x="0" y="0"/>
                <wp:positionH relativeFrom="column">
                  <wp:posOffset>1311910</wp:posOffset>
                </wp:positionH>
                <wp:positionV relativeFrom="paragraph">
                  <wp:posOffset>5708650</wp:posOffset>
                </wp:positionV>
                <wp:extent cx="2776855" cy="408940"/>
                <wp:effectExtent l="0" t="0" r="4445" b="1016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6855" cy="408940"/>
                        </a:xfrm>
                        <a:prstGeom prst="rect">
                          <a:avLst/>
                        </a:prstGeom>
                        <a:noFill/>
                        <a:ln w="9525">
                          <a:noFill/>
                          <a:miter lim="800000"/>
                          <a:headEnd/>
                          <a:tailEnd/>
                        </a:ln>
                      </wps:spPr>
                      <wps:txbx>
                        <w:txbxContent>
                          <w:p w14:paraId="3DDF05E8" w14:textId="574A2FFE" w:rsidR="00FE289C" w:rsidRPr="00E81B7D" w:rsidRDefault="00FE289C" w:rsidP="008E34E8">
                            <w:pPr>
                              <w:jc w:val="right"/>
                              <w:rPr>
                                <w:sz w:val="20"/>
                                <w:szCs w:val="20"/>
                              </w:rPr>
                            </w:pPr>
                            <w:r w:rsidRPr="00FE135F">
                              <w:rPr>
                                <w:sz w:val="20"/>
                                <w:szCs w:val="20"/>
                              </w:rPr>
                              <w:t>Утилізувати МАЙ КЛІК згідно з інструкціями лікаря, медсестри чи фармацевта</w:t>
                            </w:r>
                            <w:r w:rsidRPr="00FE135F">
                              <w:rPr>
                                <w:sz w:val="20"/>
                                <w:szCs w:val="20"/>
                                <w:vertAlign w:val="superscript"/>
                              </w:rPr>
                              <w:t>1</w:t>
                            </w:r>
                            <w:r w:rsidRPr="00E81B7D">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2B055" id="_x0000_s1027" type="#_x0000_t202" style="position:absolute;margin-left:103.3pt;margin-top:449.5pt;width:218.65pt;height:32.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" filled="f" stroked="f">
                <v:textbox inset="0,0,0,0">
                  <w:txbxContent>
                    <w:p w14:paraId="3DDF05E8" w14:textId="574A2FFE" w:rsidR="00FE289C" w:rsidRPr="00E81B7D" w:rsidRDefault="00FE289C" w:rsidP="008E34E8">
                      <w:pPr>
                        <w:jc w:val="right"/>
                        <w:rPr>
                          <w:sz w:val="20"/>
                          <w:szCs w:val="20"/>
                        </w:rPr>
                      </w:pPr>
                      <w:r w:rsidRPr="00FE135F">
                        <w:rPr>
                          <w:sz w:val="20"/>
                          <w:szCs w:val="20"/>
                        </w:rPr>
                        <w:t>Утилізувати МАЙ КЛІК згідно з інструкціями лікаря, медсестри чи фармацевта</w:t>
                      </w:r>
                      <w:r w:rsidRPr="00FE135F">
                        <w:rPr>
                          <w:sz w:val="20"/>
                          <w:szCs w:val="20"/>
                          <w:vertAlign w:val="superscript"/>
                        </w:rPr>
                        <w:t>1</w:t>
                      </w:r>
                      <w:r w:rsidRPr="00E81B7D">
                        <w:rPr>
                          <w:sz w:val="20"/>
                          <w:szCs w:val="20"/>
                        </w:rPr>
                        <w:t>.</w:t>
                      </w:r>
                    </w:p>
                  </w:txbxContent>
                </v:textbox>
              </v:shape>
            </w:pict>
          </mc:Fallback>
        </mc:AlternateContent>
      </w:r>
      <w:r w:rsidR="00E81B7D" w:rsidRPr="00FE135F">
        <w:rPr>
          <w:noProof/>
          <w:kern w:val="2"/>
          <w:lang w:bidi="ar-SA"/>
        </w:rPr>
        <mc:AlternateContent>
          <mc:Choice Requires="wps">
            <w:drawing>
              <wp:anchor distT="0" distB="0" distL="114300" distR="114300" simplePos="0" relativeHeight="251642368" behindDoc="0" locked="0" layoutInCell="1" allowOverlap="1" wp14:anchorId="02F70D59" wp14:editId="5AC7B71E">
                <wp:simplePos x="0" y="0"/>
                <wp:positionH relativeFrom="column">
                  <wp:posOffset>1312223</wp:posOffset>
                </wp:positionH>
                <wp:positionV relativeFrom="paragraph">
                  <wp:posOffset>4521166</wp:posOffset>
                </wp:positionV>
                <wp:extent cx="3083560" cy="653143"/>
                <wp:effectExtent l="0" t="0" r="2540" b="1397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560" cy="653143"/>
                        </a:xfrm>
                        <a:prstGeom prst="rect">
                          <a:avLst/>
                        </a:prstGeom>
                        <a:noFill/>
                        <a:ln w="9525">
                          <a:noFill/>
                          <a:miter lim="800000"/>
                          <a:headEnd/>
                          <a:tailEnd/>
                        </a:ln>
                      </wps:spPr>
                      <wps:txbx>
                        <w:txbxContent>
                          <w:p w14:paraId="005C03EF" w14:textId="0546C6A2" w:rsidR="00FE289C" w:rsidRPr="00E81B7D" w:rsidRDefault="00FE289C" w:rsidP="008E34E8">
                            <w:pPr>
                              <w:rPr>
                                <w:sz w:val="20"/>
                                <w:szCs w:val="20"/>
                              </w:rPr>
                            </w:pPr>
                            <w:r w:rsidRPr="00FE135F">
                              <w:rPr>
                                <w:sz w:val="20"/>
                                <w:szCs w:val="20"/>
                              </w:rPr>
                              <w:t>Ніколи повторно не використовувати МАЙ КЛІК або інші матеріали, які мають відношення до виконання ін'єкції. НЕ намагатися надіти ковпачок на використану шприц-ручку</w:t>
                            </w:r>
                            <w:r w:rsidRPr="00FE135F">
                              <w:rPr>
                                <w:sz w:val="20"/>
                                <w:szCs w:val="20"/>
                                <w:vertAlign w:val="superscript"/>
                              </w:rPr>
                              <w:t>1</w:t>
                            </w:r>
                            <w:r w:rsidRPr="00FE135F">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70D59" id="_x0000_s1028" type="#_x0000_t202" style="position:absolute;margin-left:103.3pt;margin-top:356pt;width:242.8pt;height:51.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" filled="f" stroked="f">
                <v:textbox inset="0,0,0,0">
                  <w:txbxContent>
                    <w:p w14:paraId="005C03EF" w14:textId="0546C6A2" w:rsidR="00FE289C" w:rsidRPr="00E81B7D" w:rsidRDefault="00FE289C" w:rsidP="008E34E8">
                      <w:pPr>
                        <w:rPr>
                          <w:sz w:val="20"/>
                          <w:szCs w:val="20"/>
                        </w:rPr>
                      </w:pPr>
                      <w:r w:rsidRPr="00FE135F">
                        <w:rPr>
                          <w:sz w:val="20"/>
                          <w:szCs w:val="20"/>
                        </w:rPr>
                        <w:t>Ніколи повторно не використовувати МАЙ КЛІК або інші матеріали, які мають відношення до виконання ін'єкції. НЕ намагатися надіти ковпачок на використану шприц-ручку</w:t>
                      </w:r>
                      <w:r w:rsidRPr="00FE135F">
                        <w:rPr>
                          <w:sz w:val="20"/>
                          <w:szCs w:val="20"/>
                          <w:vertAlign w:val="superscript"/>
                        </w:rPr>
                        <w:t>1</w:t>
                      </w:r>
                      <w:r w:rsidRPr="00FE135F">
                        <w:rPr>
                          <w:sz w:val="20"/>
                          <w:szCs w:val="20"/>
                        </w:rPr>
                        <w:t>.</w:t>
                      </w:r>
                    </w:p>
                  </w:txbxContent>
                </v:textbox>
              </v:shape>
            </w:pict>
          </mc:Fallback>
        </mc:AlternateContent>
      </w:r>
      <w:r w:rsidR="00E81B7D" w:rsidRPr="00FE135F">
        <w:rPr>
          <w:noProof/>
          <w:kern w:val="2"/>
          <w:lang w:bidi="ar-SA"/>
        </w:rPr>
        <mc:AlternateContent>
          <mc:Choice Requires="wps">
            <w:drawing>
              <wp:anchor distT="0" distB="0" distL="114300" distR="114300" simplePos="0" relativeHeight="251640320" behindDoc="0" locked="0" layoutInCell="1" allowOverlap="1" wp14:anchorId="3AC8E50D" wp14:editId="4807E476">
                <wp:simplePos x="0" y="0"/>
                <wp:positionH relativeFrom="column">
                  <wp:posOffset>1264285</wp:posOffset>
                </wp:positionH>
                <wp:positionV relativeFrom="paragraph">
                  <wp:posOffset>2513965</wp:posOffset>
                </wp:positionV>
                <wp:extent cx="3445510" cy="498475"/>
                <wp:effectExtent l="0" t="0" r="254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5510" cy="498475"/>
                        </a:xfrm>
                        <a:prstGeom prst="rect">
                          <a:avLst/>
                        </a:prstGeom>
                        <a:noFill/>
                        <a:ln w="9525">
                          <a:noFill/>
                          <a:miter lim="800000"/>
                          <a:headEnd/>
                          <a:tailEnd/>
                        </a:ln>
                      </wps:spPr>
                      <wps:txbx>
                        <w:txbxContent>
                          <w:p w14:paraId="205BA674" w14:textId="21C7B3BB" w:rsidR="00FE289C" w:rsidRPr="00E81B7D" w:rsidRDefault="00FE289C" w:rsidP="008E34E8">
                            <w:pPr>
                              <w:rPr>
                                <w:sz w:val="20"/>
                                <w:szCs w:val="20"/>
                              </w:rPr>
                            </w:pPr>
                            <w:r w:rsidRPr="00FE135F">
                              <w:rPr>
                                <w:sz w:val="20"/>
                                <w:szCs w:val="20"/>
                              </w:rPr>
                              <w:t>Намагатися зберігати ділянку введення ін'єкції та речі, потрібні для виконання ін'єкції, максимально чистими та стерильними.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8E50D" id="_x0000_s1029" type="#_x0000_t202" style="position:absolute;margin-left:99.55pt;margin-top:197.95pt;width:271.3pt;height:39.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" filled="f" stroked="f">
                <v:textbox inset="0,0,0,0">
                  <w:txbxContent>
                    <w:p w14:paraId="205BA674" w14:textId="21C7B3BB" w:rsidR="00FE289C" w:rsidRPr="00E81B7D" w:rsidRDefault="00FE289C" w:rsidP="008E34E8">
                      <w:pPr>
                        <w:rPr>
                          <w:sz w:val="20"/>
                          <w:szCs w:val="20"/>
                        </w:rPr>
                      </w:pPr>
                      <w:r w:rsidRPr="00FE135F">
                        <w:rPr>
                          <w:sz w:val="20"/>
                          <w:szCs w:val="20"/>
                        </w:rPr>
                        <w:t>Намагатися зберігати ділянку введення ін'єкції та речі, потрібні для виконання ін'єкції, максимально чистими та стерильними.</w:t>
                      </w:r>
                    </w:p>
                  </w:txbxContent>
                </v:textbox>
              </v:shape>
            </w:pict>
          </mc:Fallback>
        </mc:AlternateContent>
      </w:r>
      <w:r w:rsidR="00E81B7D" w:rsidRPr="00FE135F">
        <w:rPr>
          <w:noProof/>
          <w:kern w:val="2"/>
          <w:lang w:bidi="ar-SA"/>
        </w:rPr>
        <mc:AlternateContent>
          <mc:Choice Requires="wps">
            <w:drawing>
              <wp:anchor distT="0" distB="0" distL="114300" distR="114300" simplePos="0" relativeHeight="251639296" behindDoc="0" locked="0" layoutInCell="1" allowOverlap="1" wp14:anchorId="71D45A4E" wp14:editId="7A996190">
                <wp:simplePos x="0" y="0"/>
                <wp:positionH relativeFrom="column">
                  <wp:posOffset>1074420</wp:posOffset>
                </wp:positionH>
                <wp:positionV relativeFrom="paragraph">
                  <wp:posOffset>1433195</wp:posOffset>
                </wp:positionV>
                <wp:extent cx="3024505" cy="504825"/>
                <wp:effectExtent l="0" t="0" r="4445" b="952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505" cy="504825"/>
                        </a:xfrm>
                        <a:prstGeom prst="rect">
                          <a:avLst/>
                        </a:prstGeom>
                        <a:noFill/>
                        <a:ln w="9525">
                          <a:noFill/>
                          <a:miter lim="800000"/>
                          <a:headEnd/>
                          <a:tailEnd/>
                        </a:ln>
                      </wps:spPr>
                      <wps:txbx>
                        <w:txbxContent>
                          <w:p w14:paraId="5A56F7AD" w14:textId="37E3307B" w:rsidR="00FE289C" w:rsidRPr="00E81B7D" w:rsidRDefault="00FE289C" w:rsidP="008E34E8">
                            <w:pPr>
                              <w:jc w:val="right"/>
                              <w:rPr>
                                <w:sz w:val="20"/>
                                <w:szCs w:val="20"/>
                              </w:rPr>
                            </w:pPr>
                            <w:r w:rsidRPr="00FE135F">
                              <w:rPr>
                                <w:sz w:val="20"/>
                                <w:szCs w:val="20"/>
                              </w:rPr>
                              <w:t>Зберігати МАЙ КЛІК у холодильнику за температури 2–8 °C.</w:t>
                            </w:r>
                            <w:r w:rsidRPr="00FE135F">
                              <w:rPr>
                                <w:sz w:val="20"/>
                                <w:szCs w:val="20"/>
                                <w:vertAlign w:val="superscript"/>
                              </w:rPr>
                              <w:t>1</w:t>
                            </w:r>
                            <w:r w:rsidRPr="00FE135F">
                              <w:rPr>
                                <w:sz w:val="20"/>
                                <w:szCs w:val="20"/>
                              </w:rPr>
                              <w:t xml:space="preserve"> Не заморожувати</w:t>
                            </w:r>
                            <w:r w:rsidRPr="00FE135F">
                              <w:rPr>
                                <w:sz w:val="20"/>
                                <w:szCs w:val="20"/>
                                <w:lang w:val="ru-RU"/>
                              </w:rPr>
                              <w:br/>
                            </w:r>
                            <w:r w:rsidRPr="00FE135F">
                              <w:rPr>
                                <w:sz w:val="20"/>
                                <w:szCs w:val="20"/>
                              </w:rPr>
                              <w:t>шприц-ручку</w:t>
                            </w:r>
                            <w:r w:rsidRPr="00FE135F">
                              <w:rPr>
                                <w:sz w:val="20"/>
                                <w:szCs w:val="20"/>
                                <w:vertAlign w:val="superscript"/>
                              </w:rPr>
                              <w:t>1</w:t>
                            </w:r>
                            <w:r w:rsidRPr="00E81B7D">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45A4E" id="_x0000_s1030" type="#_x0000_t202" style="position:absolute;margin-left:84.6pt;margin-top:112.85pt;width:238.15pt;height:39.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" filled="f" stroked="f">
                <v:textbox inset="0,0,0,0">
                  <w:txbxContent>
                    <w:p w14:paraId="5A56F7AD" w14:textId="37E3307B" w:rsidR="00FE289C" w:rsidRPr="00E81B7D" w:rsidRDefault="00FE289C" w:rsidP="008E34E8">
                      <w:pPr>
                        <w:jc w:val="right"/>
                        <w:rPr>
                          <w:sz w:val="20"/>
                          <w:szCs w:val="20"/>
                        </w:rPr>
                      </w:pPr>
                      <w:r w:rsidRPr="00FE135F">
                        <w:rPr>
                          <w:sz w:val="20"/>
                          <w:szCs w:val="20"/>
                        </w:rPr>
                        <w:t>Зберігати МАЙ КЛІК у холодильнику за температури 2–8 °C.</w:t>
                      </w:r>
                      <w:r w:rsidRPr="00FE135F">
                        <w:rPr>
                          <w:sz w:val="20"/>
                          <w:szCs w:val="20"/>
                          <w:vertAlign w:val="superscript"/>
                        </w:rPr>
                        <w:t>1</w:t>
                      </w:r>
                      <w:r w:rsidRPr="00FE135F">
                        <w:rPr>
                          <w:sz w:val="20"/>
                          <w:szCs w:val="20"/>
                        </w:rPr>
                        <w:t xml:space="preserve"> Не заморожувати</w:t>
                      </w:r>
                      <w:r w:rsidRPr="00FE135F">
                        <w:rPr>
                          <w:sz w:val="20"/>
                          <w:szCs w:val="20"/>
                          <w:lang w:val="ru-RU"/>
                        </w:rPr>
                        <w:br/>
                      </w:r>
                      <w:r w:rsidRPr="00FE135F">
                        <w:rPr>
                          <w:sz w:val="20"/>
                          <w:szCs w:val="20"/>
                        </w:rPr>
                        <w:t>шприц-ручку</w:t>
                      </w:r>
                      <w:r w:rsidRPr="00FE135F">
                        <w:rPr>
                          <w:sz w:val="20"/>
                          <w:szCs w:val="20"/>
                          <w:vertAlign w:val="superscript"/>
                        </w:rPr>
                        <w:t>1</w:t>
                      </w:r>
                      <w:r w:rsidRPr="00E81B7D">
                        <w:rPr>
                          <w:sz w:val="20"/>
                          <w:szCs w:val="20"/>
                        </w:rPr>
                        <w:t>.</w:t>
                      </w:r>
                    </w:p>
                  </w:txbxContent>
                </v:textbox>
              </v:shape>
            </w:pict>
          </mc:Fallback>
        </mc:AlternateContent>
      </w:r>
      <w:r w:rsidR="00E81B7D" w:rsidRPr="00FE135F">
        <w:rPr>
          <w:noProof/>
          <w:kern w:val="2"/>
          <w:lang w:bidi="ar-SA"/>
        </w:rPr>
        <mc:AlternateContent>
          <mc:Choice Requires="wps">
            <w:drawing>
              <wp:anchor distT="0" distB="0" distL="114300" distR="114300" simplePos="0" relativeHeight="251638272" behindDoc="0" locked="0" layoutInCell="1" allowOverlap="1" wp14:anchorId="6940BBA2" wp14:editId="1F70C1C1">
                <wp:simplePos x="0" y="0"/>
                <wp:positionH relativeFrom="column">
                  <wp:posOffset>1311910</wp:posOffset>
                </wp:positionH>
                <wp:positionV relativeFrom="paragraph">
                  <wp:posOffset>198120</wp:posOffset>
                </wp:positionV>
                <wp:extent cx="3823335" cy="770890"/>
                <wp:effectExtent l="0" t="0" r="5715" b="1016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335" cy="770890"/>
                        </a:xfrm>
                        <a:prstGeom prst="rect">
                          <a:avLst/>
                        </a:prstGeom>
                        <a:noFill/>
                        <a:ln w="9525">
                          <a:noFill/>
                          <a:miter lim="800000"/>
                          <a:headEnd/>
                          <a:tailEnd/>
                        </a:ln>
                      </wps:spPr>
                      <wps:txbx>
                        <w:txbxContent>
                          <w:p w14:paraId="298E1D35" w14:textId="226FD8F7" w:rsidR="00FE289C" w:rsidRPr="00E81B7D" w:rsidRDefault="00FE289C" w:rsidP="00E81B7D">
                            <w:pPr>
                              <w:rPr>
                                <w:sz w:val="20"/>
                                <w:szCs w:val="20"/>
                              </w:rPr>
                            </w:pPr>
                            <w:r w:rsidRPr="00E81B7D">
                              <w:rPr>
                                <w:spacing w:val="-2"/>
                                <w:sz w:val="20"/>
                                <w:szCs w:val="20"/>
                              </w:rPr>
                              <w:t xml:space="preserve">Завжди </w:t>
                            </w:r>
                            <w:r w:rsidRPr="00FE135F">
                              <w:rPr>
                                <w:spacing w:val="-2"/>
                                <w:sz w:val="20"/>
                                <w:szCs w:val="20"/>
                              </w:rPr>
                              <w:t>перевіряти термін придатності (місяць і рік), зазначений</w:t>
                            </w:r>
                            <w:r w:rsidRPr="00FE135F">
                              <w:rPr>
                                <w:sz w:val="20"/>
                                <w:szCs w:val="20"/>
                              </w:rPr>
                              <w:t xml:space="preserve"> на картонній упаковці та на шприц-ручці. Якщо він скінчився, не</w:t>
                            </w:r>
                            <w:r w:rsidRPr="00FE135F">
                              <w:rPr>
                                <w:sz w:val="20"/>
                                <w:szCs w:val="20"/>
                                <w:lang w:val="en-US"/>
                              </w:rPr>
                              <w:t> </w:t>
                            </w:r>
                            <w:r w:rsidRPr="00FE135F">
                              <w:rPr>
                                <w:sz w:val="20"/>
                                <w:szCs w:val="20"/>
                              </w:rPr>
                              <w:t>використовувати шприц-ручку й звернутися до фармацевта за допомогою. Зберігати МАЙ КЛІК у недоступному й непомітному для дітей місці</w:t>
                            </w:r>
                            <w:r w:rsidRPr="00FE135F">
                              <w:rPr>
                                <w:sz w:val="20"/>
                                <w:szCs w:val="20"/>
                                <w:vertAlign w:val="superscript"/>
                              </w:rPr>
                              <w:t>1</w:t>
                            </w:r>
                            <w:r w:rsidRPr="00FE135F">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0BBA2" id="_x0000_s1031" type="#_x0000_t202" style="position:absolute;margin-left:103.3pt;margin-top:15.6pt;width:301.05pt;height:60.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" filled="f" stroked="f">
                <v:textbox inset="0,0,0,0">
                  <w:txbxContent>
                    <w:p w14:paraId="298E1D35" w14:textId="226FD8F7" w:rsidR="00FE289C" w:rsidRPr="00E81B7D" w:rsidRDefault="00FE289C" w:rsidP="00E81B7D">
                      <w:pPr>
                        <w:rPr>
                          <w:sz w:val="20"/>
                          <w:szCs w:val="20"/>
                        </w:rPr>
                      </w:pPr>
                      <w:r w:rsidRPr="00E81B7D">
                        <w:rPr>
                          <w:spacing w:val="-2"/>
                          <w:sz w:val="20"/>
                          <w:szCs w:val="20"/>
                        </w:rPr>
                        <w:t xml:space="preserve">Завжди </w:t>
                      </w:r>
                      <w:r w:rsidRPr="00FE135F">
                        <w:rPr>
                          <w:spacing w:val="-2"/>
                          <w:sz w:val="20"/>
                          <w:szCs w:val="20"/>
                        </w:rPr>
                        <w:t>перевіряти термін придатності (місяць і рік), зазначений</w:t>
                      </w:r>
                      <w:r w:rsidRPr="00FE135F">
                        <w:rPr>
                          <w:sz w:val="20"/>
                          <w:szCs w:val="20"/>
                        </w:rPr>
                        <w:t xml:space="preserve"> на картонній упаковці та на шприц-ручці. Якщо він скінчився, не</w:t>
                      </w:r>
                      <w:r w:rsidRPr="00FE135F">
                        <w:rPr>
                          <w:sz w:val="20"/>
                          <w:szCs w:val="20"/>
                          <w:lang w:val="en-US"/>
                        </w:rPr>
                        <w:t> </w:t>
                      </w:r>
                      <w:r w:rsidRPr="00FE135F">
                        <w:rPr>
                          <w:sz w:val="20"/>
                          <w:szCs w:val="20"/>
                        </w:rPr>
                        <w:t>використовувати шприц-ручку й звернутися до фармацевта за допомогою. Зберігати МАЙ КЛІК у недоступному й непомітному для дітей місці</w:t>
                      </w:r>
                      <w:r w:rsidRPr="00FE135F">
                        <w:rPr>
                          <w:sz w:val="20"/>
                          <w:szCs w:val="20"/>
                          <w:vertAlign w:val="superscript"/>
                        </w:rPr>
                        <w:t>1</w:t>
                      </w:r>
                      <w:r w:rsidRPr="00FE135F">
                        <w:rPr>
                          <w:sz w:val="20"/>
                          <w:szCs w:val="20"/>
                        </w:rPr>
                        <w:t>.</w:t>
                      </w:r>
                    </w:p>
                  </w:txbxContent>
                </v:textbox>
              </v:shape>
            </w:pict>
          </mc:Fallback>
        </mc:AlternateContent>
      </w:r>
      <w:r w:rsidR="00BB59C9" w:rsidRPr="00FE135F">
        <w:rPr>
          <w:noProof/>
          <w:kern w:val="2"/>
          <w:lang w:bidi="ar-SA"/>
        </w:rPr>
        <w:drawing>
          <wp:inline distT="0" distB="0" distL="0" distR="0" wp14:anchorId="68E7DFBC" wp14:editId="227F168D">
            <wp:extent cx="5577840" cy="6448687"/>
            <wp:effectExtent l="0" t="0" r="381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a:extLst>
                        <a:ext uri="{28A0092B-C50C-407E-A947-70E740481C1C}">
                          <a14:useLocalDpi xmlns:a14="http://schemas.microsoft.com/office/drawing/2010/main" val="0"/>
                        </a:ext>
                      </a:extLst>
                    </a:blip>
                    <a:srcRect l="7318" t="23935" r="20085" b="16734"/>
                    <a:stretch/>
                  </pic:blipFill>
                  <pic:spPr bwMode="auto">
                    <a:xfrm>
                      <a:off x="0" y="0"/>
                      <a:ext cx="5577840" cy="6448687"/>
                    </a:xfrm>
                    <a:prstGeom prst="rect">
                      <a:avLst/>
                    </a:prstGeom>
                    <a:noFill/>
                    <a:ln>
                      <a:noFill/>
                    </a:ln>
                    <a:extLst>
                      <a:ext uri="{53640926-AAD7-44D8-BBD7-CCE9431645EC}">
                        <a14:shadowObscured xmlns:a14="http://schemas.microsoft.com/office/drawing/2010/main"/>
                      </a:ext>
                    </a:extLst>
                  </pic:spPr>
                </pic:pic>
              </a:graphicData>
            </a:graphic>
          </wp:inline>
        </w:drawing>
      </w:r>
    </w:p>
    <w:p w14:paraId="38322995" w14:textId="77777777" w:rsidR="008E34E8" w:rsidRPr="008F6347" w:rsidRDefault="008E34E8" w:rsidP="00445F1F">
      <w:pPr>
        <w:pStyle w:val="a9"/>
        <w:rPr>
          <w:kern w:val="2"/>
        </w:rPr>
      </w:pPr>
    </w:p>
    <w:p w14:paraId="7771FE23" w14:textId="77777777" w:rsidR="008E34E8" w:rsidRPr="008F6347" w:rsidRDefault="008E34E8" w:rsidP="00445F1F">
      <w:pPr>
        <w:pStyle w:val="a9"/>
        <w:rPr>
          <w:kern w:val="2"/>
        </w:rPr>
      </w:pPr>
    </w:p>
    <w:p w14:paraId="6B2F69B7" w14:textId="77777777" w:rsidR="008E34E8" w:rsidRPr="008F6347" w:rsidRDefault="008E34E8" w:rsidP="008E34E8">
      <w:pPr>
        <w:pStyle w:val="Pa8"/>
        <w:rPr>
          <w:rFonts w:ascii="Arial" w:hAnsi="Arial" w:cs="Arial"/>
          <w:color w:val="202377"/>
          <w:kern w:val="2"/>
          <w:sz w:val="21"/>
          <w:szCs w:val="21"/>
        </w:rPr>
      </w:pPr>
      <w:r w:rsidRPr="008F6347">
        <w:rPr>
          <w:rFonts w:ascii="Arial" w:hAnsi="Arial"/>
          <w:b/>
          <w:color w:val="202377"/>
          <w:kern w:val="2"/>
          <w:sz w:val="21"/>
          <w:szCs w:val="21"/>
        </w:rPr>
        <w:t xml:space="preserve">Перед виконанням ін'єкції препарату ЕНБРЕЛ: </w:t>
      </w:r>
    </w:p>
    <w:p w14:paraId="14F78BFE" w14:textId="2647770D" w:rsidR="008E34E8" w:rsidRPr="008F6347" w:rsidRDefault="008E34E8" w:rsidP="00E81B7D">
      <w:pPr>
        <w:pStyle w:val="a9"/>
        <w:ind w:right="2531"/>
        <w:rPr>
          <w:rFonts w:cs="Arial"/>
          <w:kern w:val="2"/>
          <w:sz w:val="21"/>
          <w:szCs w:val="21"/>
        </w:rPr>
      </w:pPr>
      <w:r w:rsidRPr="00FE135F">
        <w:rPr>
          <w:b/>
          <w:color w:val="428F9D"/>
          <w:kern w:val="2"/>
          <w:sz w:val="21"/>
          <w:szCs w:val="21"/>
        </w:rPr>
        <w:t xml:space="preserve">у картонній упаковці МАЙ КЛІК знаходиться </w:t>
      </w:r>
      <w:r w:rsidR="00DB04A5" w:rsidRPr="00FE135F">
        <w:rPr>
          <w:b/>
          <w:color w:val="428F9D"/>
          <w:kern w:val="2"/>
          <w:sz w:val="21"/>
          <w:szCs w:val="21"/>
        </w:rPr>
        <w:t xml:space="preserve">інструкція </w:t>
      </w:r>
      <w:r w:rsidR="00420162" w:rsidRPr="00FE135F">
        <w:rPr>
          <w:b/>
          <w:color w:val="428F9D"/>
          <w:kern w:val="2"/>
          <w:sz w:val="21"/>
          <w:szCs w:val="21"/>
        </w:rPr>
        <w:t xml:space="preserve">для медичного </w:t>
      </w:r>
      <w:r w:rsidR="00DB04A5" w:rsidRPr="00FE135F">
        <w:rPr>
          <w:b/>
          <w:color w:val="428F9D"/>
          <w:kern w:val="2"/>
          <w:sz w:val="21"/>
          <w:szCs w:val="21"/>
        </w:rPr>
        <w:t>застосування</w:t>
      </w:r>
      <w:r w:rsidRPr="00FE135F">
        <w:rPr>
          <w:b/>
          <w:color w:val="428F9D"/>
          <w:kern w:val="2"/>
          <w:sz w:val="21"/>
          <w:szCs w:val="21"/>
        </w:rPr>
        <w:t xml:space="preserve"> із важливою інформацією, яку необхідно прочитати перед використанням препарату ЕНБРЕЛ: відомості про можливі алергічні реакції, побічні ефекти (тяжкі або інші) та обставини, за яких препарат ЕНБРЕЛ не слід використовувати.</w:t>
      </w:r>
    </w:p>
    <w:p w14:paraId="77C24226" w14:textId="77777777" w:rsidR="008E34E8" w:rsidRPr="008F6347" w:rsidRDefault="008E34E8">
      <w:pPr>
        <w:spacing w:after="200" w:line="276" w:lineRule="auto"/>
        <w:rPr>
          <w:kern w:val="2"/>
        </w:rPr>
      </w:pPr>
      <w:r w:rsidRPr="008F6347">
        <w:rPr>
          <w:kern w:val="2"/>
        </w:rPr>
        <w:br w:type="page"/>
      </w:r>
    </w:p>
    <w:p w14:paraId="72709274" w14:textId="77777777" w:rsidR="008E34E8" w:rsidRPr="008F6347" w:rsidRDefault="008E34E8" w:rsidP="00445F1F">
      <w:pPr>
        <w:pStyle w:val="a9"/>
        <w:rPr>
          <w:kern w:val="2"/>
        </w:rPr>
      </w:pPr>
    </w:p>
    <w:p w14:paraId="63AF66A6" w14:textId="77777777" w:rsidR="00A80783" w:rsidRPr="008F6347" w:rsidRDefault="00A80783" w:rsidP="00445F1F">
      <w:pPr>
        <w:pStyle w:val="a9"/>
        <w:rPr>
          <w:kern w:val="2"/>
        </w:rPr>
      </w:pPr>
    </w:p>
    <w:p w14:paraId="5B01C78B" w14:textId="77777777" w:rsidR="004328DF" w:rsidRPr="008F6347" w:rsidRDefault="004328DF" w:rsidP="00445F1F">
      <w:pPr>
        <w:pStyle w:val="a9"/>
        <w:rPr>
          <w:kern w:val="2"/>
        </w:rPr>
      </w:pPr>
    </w:p>
    <w:p w14:paraId="6E510625" w14:textId="77777777" w:rsidR="004328DF" w:rsidRPr="008F6347" w:rsidRDefault="004328DF" w:rsidP="00445F1F">
      <w:pPr>
        <w:pStyle w:val="a9"/>
        <w:rPr>
          <w:kern w:val="2"/>
        </w:rPr>
      </w:pPr>
    </w:p>
    <w:p w14:paraId="3565B3CD" w14:textId="77777777" w:rsidR="004328DF" w:rsidRPr="008F6347" w:rsidRDefault="004328DF" w:rsidP="00445F1F">
      <w:pPr>
        <w:pStyle w:val="a9"/>
        <w:rPr>
          <w:kern w:val="2"/>
        </w:rPr>
      </w:pPr>
    </w:p>
    <w:p w14:paraId="19AF8AC7" w14:textId="77777777" w:rsidR="00A80783" w:rsidRPr="008F6347" w:rsidRDefault="00A80783" w:rsidP="00840F6F">
      <w:pPr>
        <w:pStyle w:val="h10"/>
        <w:rPr>
          <w:kern w:val="2"/>
        </w:rPr>
      </w:pPr>
      <w:bookmarkStart w:id="4" w:name="_Toc508028203"/>
      <w:bookmarkStart w:id="5" w:name="_Toc508809539"/>
      <w:r w:rsidRPr="008F6347">
        <w:rPr>
          <w:kern w:val="2"/>
        </w:rPr>
        <w:t>ЯК КОРИСТУВАТИСЯ ШПРИЦ-РУЧКОЮ МАЙ КЛІК</w:t>
      </w:r>
      <w:r w:rsidRPr="008F6347">
        <w:rPr>
          <w:kern w:val="2"/>
          <w:vertAlign w:val="superscript"/>
        </w:rPr>
        <w:t>®</w:t>
      </w:r>
      <w:bookmarkEnd w:id="4"/>
      <w:bookmarkEnd w:id="5"/>
    </w:p>
    <w:p w14:paraId="7E6BBCD2" w14:textId="77777777" w:rsidR="00A80783" w:rsidRPr="008F6347" w:rsidRDefault="00A80783" w:rsidP="00A80783">
      <w:pPr>
        <w:pStyle w:val="a9"/>
        <w:rPr>
          <w:rFonts w:cs="Arial"/>
          <w:kern w:val="2"/>
        </w:rPr>
      </w:pPr>
    </w:p>
    <w:p w14:paraId="0637BDE7" w14:textId="77777777" w:rsidR="00A80783" w:rsidRPr="008F6347" w:rsidRDefault="00A80783" w:rsidP="00A80783">
      <w:pPr>
        <w:pStyle w:val="a9"/>
        <w:rPr>
          <w:rFonts w:cs="Arial"/>
          <w:kern w:val="2"/>
        </w:rPr>
      </w:pPr>
    </w:p>
    <w:p w14:paraId="237CF2E7" w14:textId="77777777" w:rsidR="00A80783" w:rsidRPr="00FE135F" w:rsidRDefault="00A80783" w:rsidP="00D40B38">
      <w:pPr>
        <w:pStyle w:val="Pa7"/>
        <w:spacing w:line="240" w:lineRule="auto"/>
        <w:ind w:right="398"/>
        <w:rPr>
          <w:rStyle w:val="A80"/>
          <w:rFonts w:ascii="Arial" w:hAnsi="Arial" w:cs="Arial"/>
          <w:kern w:val="2"/>
          <w:sz w:val="26"/>
          <w:szCs w:val="26"/>
        </w:rPr>
      </w:pPr>
      <w:r w:rsidRPr="00FE135F">
        <w:rPr>
          <w:rFonts w:ascii="Arial" w:hAnsi="Arial"/>
          <w:b/>
          <w:color w:val="202377"/>
          <w:kern w:val="2"/>
          <w:sz w:val="26"/>
          <w:szCs w:val="26"/>
        </w:rPr>
        <w:t>Наведені нижче інструкції пояснюють, як користуватися шприц-ручкою МАЙ КЛІК для виконання ін'єкції препарату ЕНБРЕЛ</w:t>
      </w:r>
      <w:r w:rsidRPr="00FE135F">
        <w:rPr>
          <w:rFonts w:ascii="Arial" w:hAnsi="Arial"/>
          <w:b/>
          <w:color w:val="202377"/>
          <w:kern w:val="2"/>
          <w:sz w:val="26"/>
          <w:szCs w:val="26"/>
          <w:vertAlign w:val="superscript"/>
        </w:rPr>
        <w:t>®</w:t>
      </w:r>
      <w:r w:rsidRPr="00FE135F">
        <w:rPr>
          <w:rStyle w:val="A80"/>
          <w:rFonts w:ascii="Arial" w:hAnsi="Arial"/>
          <w:kern w:val="2"/>
          <w:sz w:val="26"/>
          <w:szCs w:val="26"/>
          <w:vertAlign w:val="superscript"/>
        </w:rPr>
        <w:t>1</w:t>
      </w:r>
      <w:r w:rsidRPr="00FE135F">
        <w:rPr>
          <w:kern w:val="2"/>
          <w:sz w:val="26"/>
          <w:szCs w:val="26"/>
        </w:rPr>
        <w:t>.</w:t>
      </w:r>
    </w:p>
    <w:p w14:paraId="0B7F534D" w14:textId="202996C2" w:rsidR="00A80783" w:rsidRPr="00FE135F" w:rsidRDefault="00A80783" w:rsidP="00D40B38">
      <w:pPr>
        <w:pStyle w:val="Pa7"/>
        <w:spacing w:line="240" w:lineRule="auto"/>
        <w:ind w:right="404"/>
        <w:rPr>
          <w:rFonts w:ascii="Arial" w:hAnsi="Arial" w:cs="Arial"/>
          <w:b/>
          <w:bCs/>
          <w:color w:val="202377"/>
          <w:kern w:val="2"/>
          <w:sz w:val="26"/>
          <w:szCs w:val="26"/>
        </w:rPr>
      </w:pPr>
      <w:r w:rsidRPr="00FE135F">
        <w:rPr>
          <w:rFonts w:ascii="Arial" w:hAnsi="Arial"/>
          <w:b/>
          <w:color w:val="202377"/>
          <w:kern w:val="2"/>
          <w:sz w:val="26"/>
          <w:szCs w:val="26"/>
        </w:rPr>
        <w:t xml:space="preserve">Уважно прочитайте інструкції й </w:t>
      </w:r>
      <w:r w:rsidR="00522ED0" w:rsidRPr="00FE135F">
        <w:rPr>
          <w:rFonts w:ascii="Arial" w:hAnsi="Arial"/>
          <w:b/>
          <w:color w:val="202377"/>
          <w:kern w:val="2"/>
          <w:sz w:val="26"/>
          <w:szCs w:val="26"/>
        </w:rPr>
        <w:t>навч</w:t>
      </w:r>
      <w:r w:rsidR="001D6A6D" w:rsidRPr="00FE135F">
        <w:rPr>
          <w:rFonts w:ascii="Arial" w:hAnsi="Arial"/>
          <w:b/>
          <w:color w:val="202377"/>
          <w:kern w:val="2"/>
          <w:sz w:val="26"/>
          <w:szCs w:val="26"/>
        </w:rPr>
        <w:t>і</w:t>
      </w:r>
      <w:r w:rsidR="00522ED0" w:rsidRPr="00FE135F">
        <w:rPr>
          <w:rFonts w:ascii="Arial" w:hAnsi="Arial"/>
          <w:b/>
          <w:color w:val="202377"/>
          <w:kern w:val="2"/>
          <w:sz w:val="26"/>
          <w:szCs w:val="26"/>
        </w:rPr>
        <w:t xml:space="preserve">ть ваших пацієнтів </w:t>
      </w:r>
      <w:r w:rsidRPr="00FE135F">
        <w:rPr>
          <w:rFonts w:ascii="Arial" w:hAnsi="Arial"/>
          <w:b/>
          <w:color w:val="202377"/>
          <w:kern w:val="2"/>
          <w:sz w:val="26"/>
          <w:szCs w:val="26"/>
        </w:rPr>
        <w:t>покроково їх викону</w:t>
      </w:r>
      <w:r w:rsidR="00522ED0" w:rsidRPr="00FE135F">
        <w:rPr>
          <w:rFonts w:ascii="Arial" w:hAnsi="Arial"/>
          <w:b/>
          <w:color w:val="202377"/>
          <w:kern w:val="2"/>
          <w:sz w:val="26"/>
          <w:szCs w:val="26"/>
        </w:rPr>
        <w:t>вати</w:t>
      </w:r>
      <w:r w:rsidRPr="00FE135F">
        <w:rPr>
          <w:rFonts w:ascii="Arial" w:hAnsi="Arial"/>
          <w:b/>
          <w:color w:val="202377"/>
          <w:kern w:val="2"/>
          <w:sz w:val="26"/>
          <w:szCs w:val="26"/>
        </w:rPr>
        <w:t xml:space="preserve">. </w:t>
      </w:r>
      <w:r w:rsidR="00894044" w:rsidRPr="00FE135F">
        <w:rPr>
          <w:rFonts w:ascii="Arial" w:hAnsi="Arial"/>
          <w:b/>
          <w:color w:val="202377"/>
          <w:kern w:val="2"/>
          <w:sz w:val="26"/>
          <w:szCs w:val="26"/>
        </w:rPr>
        <w:t>П</w:t>
      </w:r>
      <w:r w:rsidRPr="00FE135F">
        <w:rPr>
          <w:rFonts w:ascii="Arial" w:hAnsi="Arial"/>
          <w:b/>
          <w:color w:val="202377"/>
          <w:kern w:val="2"/>
          <w:sz w:val="26"/>
          <w:szCs w:val="26"/>
        </w:rPr>
        <w:t>родемонстру</w:t>
      </w:r>
      <w:r w:rsidR="00894044" w:rsidRPr="00FE135F">
        <w:rPr>
          <w:rFonts w:ascii="Arial" w:hAnsi="Arial"/>
          <w:b/>
          <w:color w:val="202377"/>
          <w:kern w:val="2"/>
          <w:sz w:val="26"/>
          <w:szCs w:val="26"/>
        </w:rPr>
        <w:t>йте</w:t>
      </w:r>
      <w:r w:rsidRPr="00FE135F">
        <w:rPr>
          <w:rFonts w:ascii="Arial" w:hAnsi="Arial"/>
          <w:b/>
          <w:color w:val="202377"/>
          <w:kern w:val="2"/>
          <w:sz w:val="26"/>
          <w:szCs w:val="26"/>
        </w:rPr>
        <w:t xml:space="preserve"> </w:t>
      </w:r>
      <w:r w:rsidR="00894044" w:rsidRPr="00FE135F">
        <w:rPr>
          <w:rFonts w:ascii="Arial" w:hAnsi="Arial"/>
          <w:b/>
          <w:color w:val="202377"/>
          <w:kern w:val="2"/>
          <w:sz w:val="26"/>
          <w:szCs w:val="26"/>
        </w:rPr>
        <w:t>вашим пацієнтам</w:t>
      </w:r>
      <w:r w:rsidRPr="00FE135F">
        <w:rPr>
          <w:rFonts w:ascii="Arial" w:hAnsi="Arial"/>
          <w:b/>
          <w:color w:val="202377"/>
          <w:kern w:val="2"/>
          <w:sz w:val="26"/>
          <w:szCs w:val="26"/>
        </w:rPr>
        <w:t>, як виконувати ін'єкції препарату ЕНБРЕЛ.</w:t>
      </w:r>
    </w:p>
    <w:p w14:paraId="2EAB5A1C" w14:textId="77777777" w:rsidR="00A80783" w:rsidRPr="00FE135F" w:rsidRDefault="00A80783" w:rsidP="00A80783">
      <w:pPr>
        <w:rPr>
          <w:rFonts w:cs="Arial"/>
          <w:kern w:val="2"/>
        </w:rPr>
      </w:pPr>
    </w:p>
    <w:p w14:paraId="7EACB34B" w14:textId="1DF3ABA3" w:rsidR="00A80783" w:rsidRPr="00FE135F" w:rsidRDefault="00894044" w:rsidP="00D40B38">
      <w:pPr>
        <w:pStyle w:val="Pa7"/>
        <w:spacing w:line="240" w:lineRule="auto"/>
        <w:rPr>
          <w:rFonts w:ascii="Arial" w:hAnsi="Arial" w:cs="Arial"/>
          <w:b/>
          <w:bCs/>
          <w:color w:val="202377"/>
          <w:spacing w:val="-4"/>
          <w:kern w:val="2"/>
          <w:sz w:val="26"/>
          <w:szCs w:val="26"/>
        </w:rPr>
      </w:pPr>
      <w:r w:rsidRPr="00FE135F">
        <w:rPr>
          <w:rFonts w:ascii="Arial" w:hAnsi="Arial"/>
          <w:b/>
          <w:color w:val="202377"/>
          <w:kern w:val="2"/>
          <w:sz w:val="26"/>
          <w:szCs w:val="26"/>
        </w:rPr>
        <w:t>Порекомендуйте н</w:t>
      </w:r>
      <w:r w:rsidR="00A80783" w:rsidRPr="00FE135F">
        <w:rPr>
          <w:rFonts w:ascii="Arial" w:hAnsi="Arial"/>
          <w:b/>
          <w:color w:val="202377"/>
          <w:kern w:val="2"/>
          <w:sz w:val="26"/>
          <w:szCs w:val="26"/>
        </w:rPr>
        <w:t xml:space="preserve">е </w:t>
      </w:r>
      <w:r w:rsidRPr="00FE135F">
        <w:rPr>
          <w:rFonts w:ascii="Arial" w:hAnsi="Arial"/>
          <w:b/>
          <w:color w:val="202377"/>
          <w:kern w:val="2"/>
          <w:sz w:val="26"/>
          <w:szCs w:val="26"/>
        </w:rPr>
        <w:t>намага</w:t>
      </w:r>
      <w:r w:rsidR="00A80783" w:rsidRPr="00FE135F">
        <w:rPr>
          <w:rFonts w:ascii="Arial" w:hAnsi="Arial"/>
          <w:b/>
          <w:color w:val="202377"/>
          <w:kern w:val="2"/>
          <w:sz w:val="26"/>
          <w:szCs w:val="26"/>
        </w:rPr>
        <w:t>т</w:t>
      </w:r>
      <w:r w:rsidRPr="00FE135F">
        <w:rPr>
          <w:rFonts w:ascii="Arial" w:hAnsi="Arial"/>
          <w:b/>
          <w:color w:val="202377"/>
          <w:kern w:val="2"/>
          <w:sz w:val="26"/>
          <w:szCs w:val="26"/>
        </w:rPr>
        <w:t>и</w:t>
      </w:r>
      <w:r w:rsidR="00A80783" w:rsidRPr="00FE135F">
        <w:rPr>
          <w:rFonts w:ascii="Arial" w:hAnsi="Arial"/>
          <w:b/>
          <w:color w:val="202377"/>
          <w:kern w:val="2"/>
          <w:sz w:val="26"/>
          <w:szCs w:val="26"/>
        </w:rPr>
        <w:t xml:space="preserve">ся виконати ін'єкцію, поки </w:t>
      </w:r>
      <w:r w:rsidRPr="00FE135F">
        <w:rPr>
          <w:rFonts w:ascii="Arial" w:hAnsi="Arial"/>
          <w:b/>
          <w:color w:val="202377"/>
          <w:kern w:val="2"/>
          <w:sz w:val="26"/>
          <w:szCs w:val="26"/>
        </w:rPr>
        <w:t xml:space="preserve">пацієнт </w:t>
      </w:r>
      <w:r w:rsidR="00A80783" w:rsidRPr="00FE135F">
        <w:rPr>
          <w:rFonts w:ascii="Arial" w:hAnsi="Arial"/>
          <w:b/>
          <w:color w:val="202377"/>
          <w:kern w:val="2"/>
          <w:sz w:val="26"/>
          <w:szCs w:val="26"/>
        </w:rPr>
        <w:t>не перекона</w:t>
      </w:r>
      <w:r w:rsidR="00420162" w:rsidRPr="00FE135F">
        <w:rPr>
          <w:rFonts w:ascii="Arial" w:hAnsi="Arial"/>
          <w:b/>
          <w:color w:val="202377"/>
          <w:kern w:val="2"/>
          <w:sz w:val="26"/>
          <w:szCs w:val="26"/>
        </w:rPr>
        <w:t>в</w:t>
      </w:r>
      <w:r w:rsidR="00A80783" w:rsidRPr="00FE135F">
        <w:rPr>
          <w:rFonts w:ascii="Arial" w:hAnsi="Arial"/>
          <w:b/>
          <w:color w:val="202377"/>
          <w:kern w:val="2"/>
          <w:sz w:val="26"/>
          <w:szCs w:val="26"/>
        </w:rPr>
        <w:t>ся в тому, що зрозум</w:t>
      </w:r>
      <w:r w:rsidRPr="00FE135F">
        <w:rPr>
          <w:rFonts w:ascii="Arial" w:hAnsi="Arial"/>
          <w:b/>
          <w:color w:val="202377"/>
          <w:kern w:val="2"/>
          <w:sz w:val="26"/>
          <w:szCs w:val="26"/>
        </w:rPr>
        <w:t>ів</w:t>
      </w:r>
      <w:r w:rsidR="00A80783" w:rsidRPr="00FE135F">
        <w:rPr>
          <w:rFonts w:ascii="Arial" w:hAnsi="Arial"/>
          <w:b/>
          <w:color w:val="202377"/>
          <w:kern w:val="2"/>
          <w:sz w:val="26"/>
          <w:szCs w:val="26"/>
        </w:rPr>
        <w:t>, як</w:t>
      </w:r>
      <w:r w:rsidR="00E81B7D" w:rsidRPr="00FE135F">
        <w:rPr>
          <w:rFonts w:ascii="Arial" w:hAnsi="Arial"/>
          <w:b/>
          <w:color w:val="202377"/>
          <w:kern w:val="2"/>
          <w:sz w:val="26"/>
          <w:szCs w:val="26"/>
        </w:rPr>
        <w:t> </w:t>
      </w:r>
      <w:r w:rsidR="00A80783" w:rsidRPr="00FE135F">
        <w:rPr>
          <w:rFonts w:ascii="Arial" w:hAnsi="Arial"/>
          <w:b/>
          <w:color w:val="202377"/>
          <w:kern w:val="2"/>
          <w:sz w:val="26"/>
          <w:szCs w:val="26"/>
        </w:rPr>
        <w:t>правильно користуватися шприц-ручкою МА</w:t>
      </w:r>
      <w:r w:rsidR="00CA2098" w:rsidRPr="00FE135F">
        <w:rPr>
          <w:rFonts w:ascii="Arial" w:hAnsi="Arial"/>
          <w:b/>
          <w:color w:val="202377"/>
          <w:kern w:val="2"/>
          <w:sz w:val="26"/>
          <w:szCs w:val="26"/>
        </w:rPr>
        <w:t>Й</w:t>
      </w:r>
      <w:r w:rsidR="00A80783" w:rsidRPr="00FE135F">
        <w:rPr>
          <w:rFonts w:ascii="Arial" w:hAnsi="Arial"/>
          <w:b/>
          <w:color w:val="202377"/>
          <w:kern w:val="2"/>
          <w:sz w:val="26"/>
          <w:szCs w:val="26"/>
        </w:rPr>
        <w:t xml:space="preserve"> КЛІК. Якщо у </w:t>
      </w:r>
      <w:r w:rsidRPr="00FE135F">
        <w:rPr>
          <w:rFonts w:ascii="Arial" w:hAnsi="Arial"/>
          <w:b/>
          <w:color w:val="202377"/>
          <w:kern w:val="2"/>
          <w:sz w:val="26"/>
          <w:szCs w:val="26"/>
        </w:rPr>
        <w:t>пацієнта</w:t>
      </w:r>
      <w:r w:rsidR="00A80783" w:rsidRPr="00FE135F">
        <w:rPr>
          <w:rFonts w:ascii="Arial" w:hAnsi="Arial"/>
          <w:b/>
          <w:color w:val="202377"/>
          <w:kern w:val="2"/>
          <w:sz w:val="26"/>
          <w:szCs w:val="26"/>
        </w:rPr>
        <w:t xml:space="preserve"> є запитання </w:t>
      </w:r>
      <w:r w:rsidR="00A80783" w:rsidRPr="00FE135F">
        <w:rPr>
          <w:rFonts w:ascii="Arial" w:hAnsi="Arial"/>
          <w:b/>
          <w:color w:val="202377"/>
          <w:spacing w:val="-4"/>
          <w:kern w:val="2"/>
          <w:sz w:val="26"/>
          <w:szCs w:val="26"/>
        </w:rPr>
        <w:t xml:space="preserve">щодо техніки виконання ін'єкції, </w:t>
      </w:r>
      <w:r w:rsidRPr="00FE135F">
        <w:rPr>
          <w:rFonts w:ascii="Arial" w:hAnsi="Arial"/>
          <w:b/>
          <w:color w:val="202377"/>
          <w:spacing w:val="-4"/>
          <w:kern w:val="2"/>
          <w:sz w:val="26"/>
          <w:szCs w:val="26"/>
        </w:rPr>
        <w:t>порекомендуйте звернути</w:t>
      </w:r>
      <w:r w:rsidR="00A80783" w:rsidRPr="00FE135F">
        <w:rPr>
          <w:rFonts w:ascii="Arial" w:hAnsi="Arial"/>
          <w:b/>
          <w:color w:val="202377"/>
          <w:spacing w:val="-4"/>
          <w:kern w:val="2"/>
          <w:sz w:val="26"/>
          <w:szCs w:val="26"/>
        </w:rPr>
        <w:t xml:space="preserve">ся до лікаря або медсестри </w:t>
      </w:r>
      <w:r w:rsidR="00420162" w:rsidRPr="00FE135F">
        <w:rPr>
          <w:rFonts w:ascii="Arial" w:hAnsi="Arial"/>
          <w:b/>
          <w:color w:val="202377"/>
          <w:spacing w:val="-4"/>
          <w:kern w:val="2"/>
          <w:sz w:val="26"/>
          <w:szCs w:val="26"/>
        </w:rPr>
        <w:t>за</w:t>
      </w:r>
      <w:r w:rsidR="00A80783" w:rsidRPr="00FE135F">
        <w:rPr>
          <w:rFonts w:ascii="Arial" w:hAnsi="Arial"/>
          <w:b/>
          <w:color w:val="202377"/>
          <w:spacing w:val="-4"/>
          <w:kern w:val="2"/>
          <w:sz w:val="26"/>
          <w:szCs w:val="26"/>
        </w:rPr>
        <w:t xml:space="preserve"> допомог</w:t>
      </w:r>
      <w:r w:rsidR="00420162" w:rsidRPr="00FE135F">
        <w:rPr>
          <w:rFonts w:ascii="Arial" w:hAnsi="Arial"/>
          <w:b/>
          <w:color w:val="202377"/>
          <w:spacing w:val="-4"/>
          <w:kern w:val="2"/>
          <w:sz w:val="26"/>
          <w:szCs w:val="26"/>
        </w:rPr>
        <w:t>ою</w:t>
      </w:r>
      <w:r w:rsidR="00A80783" w:rsidRPr="00FE135F">
        <w:rPr>
          <w:rFonts w:ascii="Arial" w:hAnsi="Arial"/>
          <w:b/>
          <w:color w:val="202377"/>
          <w:spacing w:val="-4"/>
          <w:kern w:val="2"/>
          <w:sz w:val="26"/>
          <w:szCs w:val="26"/>
        </w:rPr>
        <w:t>.</w:t>
      </w:r>
    </w:p>
    <w:p w14:paraId="42673D41" w14:textId="77777777" w:rsidR="00A80783" w:rsidRPr="00FE135F" w:rsidRDefault="00A80783" w:rsidP="00A80783">
      <w:pPr>
        <w:pStyle w:val="a9"/>
        <w:rPr>
          <w:rFonts w:cs="Arial"/>
          <w:kern w:val="2"/>
        </w:rPr>
      </w:pPr>
    </w:p>
    <w:p w14:paraId="0DA5CDF1" w14:textId="3FE6C065" w:rsidR="00A80783" w:rsidRPr="00FE135F" w:rsidRDefault="00A80783" w:rsidP="00A80783">
      <w:pPr>
        <w:pStyle w:val="Pa7"/>
        <w:spacing w:line="240" w:lineRule="auto"/>
        <w:rPr>
          <w:rFonts w:ascii="Arial" w:hAnsi="Arial" w:cs="Arial"/>
          <w:b/>
          <w:bCs/>
          <w:color w:val="202377"/>
          <w:kern w:val="2"/>
          <w:sz w:val="26"/>
          <w:szCs w:val="26"/>
        </w:rPr>
      </w:pPr>
      <w:r w:rsidRPr="00FE135F">
        <w:rPr>
          <w:rFonts w:ascii="Arial" w:hAnsi="Arial"/>
          <w:b/>
          <w:color w:val="202377"/>
          <w:kern w:val="2"/>
          <w:sz w:val="26"/>
          <w:szCs w:val="26"/>
        </w:rPr>
        <w:t xml:space="preserve">Цю ін'єкцію не можна </w:t>
      </w:r>
      <w:r w:rsidR="000919FB" w:rsidRPr="00FE135F">
        <w:rPr>
          <w:rFonts w:ascii="Arial" w:hAnsi="Arial"/>
          <w:b/>
          <w:color w:val="202377"/>
          <w:kern w:val="2"/>
          <w:sz w:val="26"/>
          <w:szCs w:val="26"/>
        </w:rPr>
        <w:t>змішувати з будь-яким іншим препаратом</w:t>
      </w:r>
      <w:r w:rsidRPr="00FE135F">
        <w:rPr>
          <w:rFonts w:ascii="Arial" w:hAnsi="Arial"/>
          <w:b/>
          <w:color w:val="202377"/>
          <w:kern w:val="2"/>
          <w:sz w:val="26"/>
          <w:szCs w:val="26"/>
        </w:rPr>
        <w:t>.</w:t>
      </w:r>
      <w:r w:rsidR="003C0CA9" w:rsidRPr="00FE135F">
        <w:rPr>
          <w:rFonts w:ascii="Arial" w:hAnsi="Arial"/>
          <w:b/>
          <w:color w:val="202377"/>
          <w:kern w:val="2"/>
          <w:sz w:val="26"/>
          <w:szCs w:val="26"/>
        </w:rPr>
        <w:t xml:space="preserve"> Нижче наведена покрокова інструкція </w:t>
      </w:r>
      <w:r w:rsidR="00420162" w:rsidRPr="00FE135F">
        <w:rPr>
          <w:rFonts w:ascii="Arial" w:hAnsi="Arial"/>
          <w:b/>
          <w:color w:val="202377"/>
          <w:kern w:val="2"/>
          <w:sz w:val="26"/>
          <w:szCs w:val="26"/>
        </w:rPr>
        <w:t>і</w:t>
      </w:r>
      <w:r w:rsidR="003C0CA9" w:rsidRPr="00FE135F">
        <w:rPr>
          <w:rFonts w:ascii="Arial" w:hAnsi="Arial"/>
          <w:b/>
          <w:color w:val="202377"/>
          <w:kern w:val="2"/>
          <w:sz w:val="26"/>
          <w:szCs w:val="26"/>
        </w:rPr>
        <w:t xml:space="preserve">з введення </w:t>
      </w:r>
      <w:r w:rsidR="00420162" w:rsidRPr="00FE135F">
        <w:rPr>
          <w:rFonts w:ascii="Arial" w:hAnsi="Arial"/>
          <w:b/>
          <w:color w:val="202377"/>
          <w:kern w:val="2"/>
          <w:sz w:val="26"/>
          <w:szCs w:val="26"/>
        </w:rPr>
        <w:t xml:space="preserve">препарату </w:t>
      </w:r>
      <w:r w:rsidR="003C0CA9" w:rsidRPr="00FE135F">
        <w:rPr>
          <w:rFonts w:ascii="Arial" w:hAnsi="Arial"/>
          <w:b/>
          <w:caps/>
          <w:color w:val="202377"/>
          <w:kern w:val="2"/>
          <w:sz w:val="26"/>
          <w:szCs w:val="26"/>
        </w:rPr>
        <w:t>Енбрел.</w:t>
      </w:r>
    </w:p>
    <w:p w14:paraId="2CDA5C89" w14:textId="77777777" w:rsidR="00A80783" w:rsidRPr="00FE135F" w:rsidRDefault="00A80783" w:rsidP="00A80783">
      <w:pPr>
        <w:rPr>
          <w:rFonts w:cs="Arial"/>
          <w:kern w:val="2"/>
        </w:rPr>
      </w:pPr>
    </w:p>
    <w:p w14:paraId="501CC045" w14:textId="77777777" w:rsidR="00A80783" w:rsidRPr="00FE135F" w:rsidRDefault="00A80783" w:rsidP="00840F6F">
      <w:pPr>
        <w:pStyle w:val="h2"/>
        <w:rPr>
          <w:color w:val="202377"/>
          <w:kern w:val="2"/>
          <w:sz w:val="26"/>
          <w:szCs w:val="26"/>
          <w:vertAlign w:val="superscript"/>
        </w:rPr>
      </w:pPr>
      <w:bookmarkStart w:id="6" w:name="_Toc508028204"/>
      <w:bookmarkStart w:id="7" w:name="_Toc508809540"/>
      <w:r w:rsidRPr="00FE135F">
        <w:rPr>
          <w:kern w:val="2"/>
          <w:sz w:val="26"/>
          <w:szCs w:val="26"/>
        </w:rPr>
        <w:t xml:space="preserve">Крок 1. </w:t>
      </w:r>
      <w:r w:rsidRPr="00FE135F">
        <w:rPr>
          <w:color w:val="202377"/>
          <w:kern w:val="2"/>
          <w:sz w:val="26"/>
          <w:szCs w:val="26"/>
        </w:rPr>
        <w:t>Підготовка до виконання ін'єкції препарату ЕНБРЕЛ</w:t>
      </w:r>
      <w:r w:rsidRPr="00FE135F">
        <w:rPr>
          <w:color w:val="202377"/>
          <w:kern w:val="2"/>
          <w:sz w:val="26"/>
          <w:szCs w:val="26"/>
          <w:vertAlign w:val="superscript"/>
        </w:rPr>
        <w:t>1</w:t>
      </w:r>
      <w:bookmarkEnd w:id="6"/>
      <w:bookmarkEnd w:id="7"/>
    </w:p>
    <w:p w14:paraId="7A09025C" w14:textId="77777777" w:rsidR="00BB59C9" w:rsidRPr="00FE135F" w:rsidRDefault="00BB59C9" w:rsidP="00840F6F">
      <w:pPr>
        <w:pStyle w:val="h2"/>
        <w:rPr>
          <w:rStyle w:val="A12"/>
          <w:rFonts w:cs="Arial"/>
          <w:kern w:val="2"/>
          <w:sz w:val="20"/>
          <w:szCs w:val="28"/>
        </w:rPr>
      </w:pPr>
    </w:p>
    <w:p w14:paraId="46AC87D2" w14:textId="77777777" w:rsidR="00A80783" w:rsidRPr="00FE135F" w:rsidRDefault="00A80783" w:rsidP="00A80783">
      <w:pPr>
        <w:pStyle w:val="Pa7"/>
        <w:spacing w:line="240" w:lineRule="auto"/>
        <w:ind w:left="288" w:hanging="288"/>
        <w:rPr>
          <w:rStyle w:val="A80"/>
          <w:rFonts w:ascii="Arial" w:hAnsi="Arial" w:cs="Arial"/>
          <w:b w:val="0"/>
          <w:bCs w:val="0"/>
          <w:color w:val="211D1E"/>
          <w:kern w:val="2"/>
          <w:sz w:val="26"/>
          <w:szCs w:val="26"/>
          <w:vertAlign w:val="superscript"/>
        </w:rPr>
      </w:pPr>
      <w:r w:rsidRPr="00FE135F">
        <w:rPr>
          <w:rStyle w:val="A12"/>
          <w:rFonts w:ascii="Arial" w:hAnsi="Arial"/>
          <w:kern w:val="2"/>
          <w:sz w:val="26"/>
          <w:szCs w:val="26"/>
        </w:rPr>
        <w:t>›</w:t>
      </w:r>
      <w:r w:rsidRPr="00FE135F">
        <w:rPr>
          <w:kern w:val="2"/>
          <w:sz w:val="26"/>
          <w:szCs w:val="26"/>
        </w:rPr>
        <w:tab/>
      </w:r>
      <w:r w:rsidRPr="00FE135F">
        <w:rPr>
          <w:rFonts w:ascii="Arial" w:hAnsi="Arial"/>
          <w:color w:val="211D1E"/>
          <w:kern w:val="2"/>
          <w:sz w:val="26"/>
          <w:szCs w:val="26"/>
        </w:rPr>
        <w:t>Виберіть чисту, добре освітлену й рівну робочу поверхню</w:t>
      </w:r>
      <w:r w:rsidRPr="00FE135F">
        <w:rPr>
          <w:rStyle w:val="A80"/>
          <w:rFonts w:ascii="Arial" w:hAnsi="Arial"/>
          <w:b w:val="0"/>
          <w:color w:val="211D1E"/>
          <w:kern w:val="2"/>
          <w:sz w:val="26"/>
          <w:szCs w:val="26"/>
          <w:vertAlign w:val="superscript"/>
        </w:rPr>
        <w:t>1</w:t>
      </w:r>
      <w:r w:rsidRPr="00FE135F">
        <w:rPr>
          <w:kern w:val="2"/>
          <w:sz w:val="26"/>
          <w:szCs w:val="26"/>
        </w:rPr>
        <w:t>.</w:t>
      </w:r>
    </w:p>
    <w:p w14:paraId="63E35BA1" w14:textId="77777777" w:rsidR="006E3C83" w:rsidRPr="00FE135F" w:rsidRDefault="006E3C83" w:rsidP="006E3C83">
      <w:pPr>
        <w:pStyle w:val="a9"/>
        <w:rPr>
          <w:kern w:val="2"/>
          <w:sz w:val="10"/>
        </w:rPr>
      </w:pPr>
    </w:p>
    <w:p w14:paraId="243F0F40" w14:textId="77777777" w:rsidR="00A80783" w:rsidRPr="008F6347" w:rsidRDefault="00A80783" w:rsidP="00D40B38">
      <w:pPr>
        <w:pStyle w:val="Pa7"/>
        <w:spacing w:line="240" w:lineRule="auto"/>
        <w:ind w:left="288" w:right="2531" w:hanging="288"/>
        <w:rPr>
          <w:rFonts w:asciiTheme="minorHAnsi" w:hAnsiTheme="minorHAnsi" w:cs="Arial"/>
          <w:color w:val="211D1E"/>
          <w:kern w:val="2"/>
          <w:sz w:val="26"/>
          <w:szCs w:val="26"/>
        </w:rPr>
      </w:pPr>
      <w:r w:rsidRPr="00FE135F">
        <w:rPr>
          <w:rStyle w:val="A12"/>
          <w:rFonts w:ascii="Arial" w:hAnsi="Arial"/>
          <w:kern w:val="2"/>
          <w:sz w:val="26"/>
          <w:szCs w:val="26"/>
        </w:rPr>
        <w:t>›</w:t>
      </w:r>
      <w:r w:rsidRPr="00FE135F">
        <w:rPr>
          <w:kern w:val="2"/>
          <w:sz w:val="26"/>
          <w:szCs w:val="26"/>
        </w:rPr>
        <w:tab/>
      </w:r>
      <w:r w:rsidRPr="00FE135F">
        <w:rPr>
          <w:rFonts w:ascii="Arial" w:hAnsi="Arial"/>
          <w:color w:val="000000"/>
          <w:kern w:val="2"/>
          <w:sz w:val="26"/>
          <w:szCs w:val="26"/>
        </w:rPr>
        <w:t xml:space="preserve">Зберіть предмети, які вам знадобляться для виконання ін'єкції, </w:t>
      </w:r>
      <w:r w:rsidRPr="00FE135F">
        <w:rPr>
          <w:rFonts w:ascii="Arial" w:hAnsi="Arial"/>
          <w:color w:val="211D1E"/>
          <w:kern w:val="2"/>
          <w:sz w:val="26"/>
          <w:szCs w:val="26"/>
        </w:rPr>
        <w:t>і покладіть їх на вибрану поверхн</w:t>
      </w:r>
      <w:r w:rsidRPr="008F6347">
        <w:rPr>
          <w:rFonts w:ascii="Arial" w:hAnsi="Arial"/>
          <w:color w:val="211D1E"/>
          <w:kern w:val="2"/>
          <w:sz w:val="26"/>
          <w:szCs w:val="26"/>
        </w:rPr>
        <w:t>ю</w:t>
      </w:r>
      <w:r w:rsidRPr="008F6347">
        <w:rPr>
          <w:rStyle w:val="A80"/>
          <w:rFonts w:ascii="Arial" w:hAnsi="Arial"/>
          <w:b w:val="0"/>
          <w:color w:val="211D1E"/>
          <w:kern w:val="2"/>
          <w:sz w:val="26"/>
          <w:szCs w:val="26"/>
          <w:vertAlign w:val="superscript"/>
        </w:rPr>
        <w:t>1</w:t>
      </w:r>
      <w:r w:rsidR="00A22F8E" w:rsidRPr="008F6347">
        <w:rPr>
          <w:rFonts w:asciiTheme="minorHAnsi" w:hAnsiTheme="minorHAnsi"/>
          <w:kern w:val="2"/>
          <w:sz w:val="26"/>
          <w:szCs w:val="26"/>
        </w:rPr>
        <w:t>.</w:t>
      </w:r>
    </w:p>
    <w:p w14:paraId="2238C2F9" w14:textId="77777777" w:rsidR="00A80783" w:rsidRPr="008F6347" w:rsidRDefault="00A80783" w:rsidP="00A80783">
      <w:pPr>
        <w:rPr>
          <w:rFonts w:cs="Arial"/>
          <w:kern w:val="2"/>
          <w:sz w:val="26"/>
          <w:szCs w:val="26"/>
        </w:rPr>
      </w:pPr>
    </w:p>
    <w:p w14:paraId="769C9130" w14:textId="77777777" w:rsidR="00A80783" w:rsidRPr="008F6347" w:rsidRDefault="00A80783" w:rsidP="00A80783">
      <w:pPr>
        <w:pStyle w:val="Default"/>
        <w:ind w:left="720" w:hanging="432"/>
        <w:rPr>
          <w:rFonts w:ascii="Arial" w:hAnsi="Arial" w:cs="Arial"/>
          <w:b/>
          <w:bCs/>
          <w:color w:val="428F9D"/>
          <w:kern w:val="2"/>
          <w:sz w:val="26"/>
          <w:szCs w:val="26"/>
        </w:rPr>
      </w:pPr>
      <w:r w:rsidRPr="008F6347">
        <w:rPr>
          <w:rFonts w:ascii="Arial" w:hAnsi="Arial"/>
          <w:b/>
          <w:color w:val="428F9D"/>
          <w:kern w:val="2"/>
          <w:sz w:val="26"/>
          <w:szCs w:val="26"/>
        </w:rPr>
        <w:t>a.</w:t>
      </w:r>
      <w:r w:rsidRPr="008F6347">
        <w:rPr>
          <w:kern w:val="2"/>
          <w:sz w:val="26"/>
          <w:szCs w:val="26"/>
        </w:rPr>
        <w:tab/>
      </w:r>
      <w:r w:rsidRPr="008F6347">
        <w:rPr>
          <w:rFonts w:ascii="Arial" w:hAnsi="Arial"/>
          <w:b/>
          <w:color w:val="428F9D"/>
          <w:kern w:val="2"/>
          <w:sz w:val="26"/>
          <w:szCs w:val="26"/>
        </w:rPr>
        <w:t>Одна попередньо наповнена шприц-ручка МАЙ КЛІК та одна спиртова серветка</w:t>
      </w:r>
    </w:p>
    <w:p w14:paraId="6F7ACA42" w14:textId="77777777" w:rsidR="00A80783" w:rsidRPr="008F6347" w:rsidRDefault="00A80783" w:rsidP="00A80783">
      <w:pPr>
        <w:pStyle w:val="Default"/>
        <w:ind w:left="720"/>
        <w:rPr>
          <w:rStyle w:val="A80"/>
          <w:rFonts w:ascii="Arial" w:hAnsi="Arial" w:cs="Arial"/>
          <w:b w:val="0"/>
          <w:bCs w:val="0"/>
          <w:color w:val="211D1E"/>
          <w:kern w:val="2"/>
          <w:sz w:val="26"/>
          <w:szCs w:val="26"/>
        </w:rPr>
      </w:pPr>
      <w:r w:rsidRPr="008F6347">
        <w:rPr>
          <w:rFonts w:ascii="Arial" w:hAnsi="Arial"/>
          <w:color w:val="211D1E"/>
          <w:kern w:val="2"/>
          <w:sz w:val="26"/>
          <w:szCs w:val="26"/>
        </w:rPr>
        <w:t>(Візьміть їх із картонної упаковки зі шприц-ручками, які ви зберігаєте в</w:t>
      </w:r>
      <w:r w:rsidR="00D40B38" w:rsidRPr="008F6347">
        <w:rPr>
          <w:rFonts w:ascii="Arial" w:hAnsi="Arial"/>
          <w:color w:val="211D1E"/>
          <w:kern w:val="2"/>
          <w:sz w:val="26"/>
          <w:szCs w:val="26"/>
        </w:rPr>
        <w:t> </w:t>
      </w:r>
      <w:r w:rsidRPr="008F6347">
        <w:rPr>
          <w:rFonts w:ascii="Arial" w:hAnsi="Arial"/>
          <w:color w:val="211D1E"/>
          <w:kern w:val="2"/>
          <w:sz w:val="26"/>
          <w:szCs w:val="26"/>
        </w:rPr>
        <w:t>холодильнику.)</w:t>
      </w:r>
      <w:r w:rsidRPr="008F6347">
        <w:rPr>
          <w:rStyle w:val="A80"/>
          <w:rFonts w:ascii="Arial" w:hAnsi="Arial"/>
          <w:b w:val="0"/>
          <w:color w:val="211D1E"/>
          <w:kern w:val="2"/>
          <w:sz w:val="26"/>
          <w:szCs w:val="26"/>
          <w:vertAlign w:val="superscript"/>
        </w:rPr>
        <w:t>1</w:t>
      </w:r>
    </w:p>
    <w:p w14:paraId="54AE2E80" w14:textId="77777777" w:rsidR="00A80783" w:rsidRPr="008F6347" w:rsidRDefault="00A80783" w:rsidP="00A80783">
      <w:pPr>
        <w:pStyle w:val="Default"/>
        <w:ind w:left="720"/>
        <w:rPr>
          <w:rStyle w:val="A80"/>
          <w:rFonts w:ascii="Arial" w:hAnsi="Arial" w:cs="Arial"/>
          <w:b w:val="0"/>
          <w:bCs w:val="0"/>
          <w:color w:val="211D1E"/>
          <w:kern w:val="2"/>
          <w:sz w:val="26"/>
          <w:szCs w:val="26"/>
        </w:rPr>
      </w:pPr>
      <w:r w:rsidRPr="008F6347">
        <w:rPr>
          <w:rFonts w:ascii="Arial" w:hAnsi="Arial"/>
          <w:color w:val="211D1E"/>
          <w:kern w:val="2"/>
          <w:sz w:val="26"/>
          <w:szCs w:val="26"/>
        </w:rPr>
        <w:t>Не струшуйте шприц-</w:t>
      </w:r>
      <w:r w:rsidRPr="0049768C">
        <w:rPr>
          <w:rFonts w:ascii="Arial" w:hAnsi="Arial"/>
          <w:color w:val="211D1E"/>
          <w:kern w:val="2"/>
          <w:sz w:val="26"/>
          <w:szCs w:val="26"/>
        </w:rPr>
        <w:t>ручку</w:t>
      </w:r>
      <w:r w:rsidRPr="003C0345">
        <w:rPr>
          <w:rStyle w:val="A80"/>
          <w:rFonts w:ascii="Arial" w:hAnsi="Arial"/>
          <w:b w:val="0"/>
          <w:color w:val="211D1E"/>
          <w:kern w:val="2"/>
          <w:sz w:val="26"/>
          <w:szCs w:val="26"/>
          <w:vertAlign w:val="superscript"/>
        </w:rPr>
        <w:t>1</w:t>
      </w:r>
      <w:r w:rsidRPr="0049768C">
        <w:rPr>
          <w:rFonts w:ascii="Arial" w:hAnsi="Arial"/>
          <w:color w:val="211D1E"/>
          <w:kern w:val="2"/>
          <w:sz w:val="26"/>
          <w:szCs w:val="26"/>
        </w:rPr>
        <w:t>.</w:t>
      </w:r>
      <w:r w:rsidRPr="008F6347">
        <w:rPr>
          <w:rStyle w:val="A80"/>
          <w:rFonts w:ascii="Arial" w:hAnsi="Arial"/>
          <w:b w:val="0"/>
          <w:color w:val="211D1E"/>
          <w:kern w:val="2"/>
          <w:sz w:val="26"/>
          <w:szCs w:val="26"/>
        </w:rPr>
        <w:t xml:space="preserve"> </w:t>
      </w:r>
    </w:p>
    <w:p w14:paraId="393ACD53" w14:textId="77777777" w:rsidR="00BB59C9" w:rsidRPr="008F6347" w:rsidRDefault="00BB59C9" w:rsidP="00A80783">
      <w:pPr>
        <w:pStyle w:val="Default"/>
        <w:ind w:left="720"/>
        <w:rPr>
          <w:rFonts w:ascii="Arial" w:hAnsi="Arial" w:cs="Arial"/>
          <w:color w:val="211D1E"/>
          <w:kern w:val="2"/>
          <w:sz w:val="26"/>
          <w:szCs w:val="26"/>
        </w:rPr>
      </w:pPr>
    </w:p>
    <w:p w14:paraId="1FE3C76A" w14:textId="77777777" w:rsidR="00A80783" w:rsidRPr="008F6347" w:rsidRDefault="00A80783" w:rsidP="00A80783">
      <w:pPr>
        <w:pStyle w:val="Default"/>
        <w:ind w:left="720" w:hanging="432"/>
        <w:rPr>
          <w:rFonts w:ascii="Arial" w:hAnsi="Arial" w:cs="Arial"/>
          <w:color w:val="428F9D"/>
          <w:kern w:val="2"/>
          <w:sz w:val="26"/>
          <w:szCs w:val="26"/>
        </w:rPr>
      </w:pPr>
      <w:r w:rsidRPr="008F6347">
        <w:rPr>
          <w:rFonts w:ascii="Arial" w:hAnsi="Arial"/>
          <w:b/>
          <w:color w:val="428F9D"/>
          <w:kern w:val="2"/>
          <w:sz w:val="26"/>
          <w:szCs w:val="26"/>
        </w:rPr>
        <w:t>б.</w:t>
      </w:r>
      <w:r w:rsidRPr="008F6347">
        <w:rPr>
          <w:kern w:val="2"/>
          <w:sz w:val="26"/>
          <w:szCs w:val="26"/>
        </w:rPr>
        <w:tab/>
      </w:r>
      <w:r w:rsidRPr="008F6347">
        <w:rPr>
          <w:rFonts w:ascii="Arial" w:hAnsi="Arial"/>
          <w:b/>
          <w:color w:val="428F9D"/>
          <w:kern w:val="2"/>
          <w:sz w:val="26"/>
          <w:szCs w:val="26"/>
        </w:rPr>
        <w:t xml:space="preserve">Один ватний або марлевий </w:t>
      </w:r>
      <w:r w:rsidRPr="0049768C">
        <w:rPr>
          <w:rFonts w:ascii="Arial" w:hAnsi="Arial"/>
          <w:b/>
          <w:color w:val="428F9D"/>
          <w:kern w:val="2"/>
          <w:sz w:val="26"/>
          <w:szCs w:val="26"/>
        </w:rPr>
        <w:t>тампон</w:t>
      </w:r>
      <w:r w:rsidRPr="003C0345">
        <w:rPr>
          <w:rStyle w:val="A80"/>
          <w:rFonts w:ascii="Arial" w:hAnsi="Arial"/>
          <w:color w:val="428F9D"/>
          <w:kern w:val="2"/>
          <w:sz w:val="26"/>
          <w:szCs w:val="26"/>
          <w:vertAlign w:val="superscript"/>
        </w:rPr>
        <w:t>1</w:t>
      </w:r>
      <w:r w:rsidRPr="0049768C">
        <w:rPr>
          <w:kern w:val="2"/>
          <w:sz w:val="26"/>
          <w:szCs w:val="26"/>
        </w:rPr>
        <w:t>.</w:t>
      </w:r>
      <w:r w:rsidRPr="008F6347">
        <w:rPr>
          <w:rStyle w:val="A80"/>
          <w:rFonts w:ascii="Arial" w:hAnsi="Arial"/>
          <w:color w:val="428F9D"/>
          <w:kern w:val="2"/>
          <w:sz w:val="26"/>
          <w:szCs w:val="26"/>
        </w:rPr>
        <w:t xml:space="preserve"> </w:t>
      </w:r>
    </w:p>
    <w:p w14:paraId="0065F452" w14:textId="77777777" w:rsidR="00A80783" w:rsidRPr="008F6347" w:rsidRDefault="00A80783" w:rsidP="00A80783">
      <w:pPr>
        <w:pStyle w:val="a9"/>
        <w:rPr>
          <w:kern w:val="2"/>
        </w:rPr>
      </w:pPr>
    </w:p>
    <w:p w14:paraId="625A93DA" w14:textId="77777777" w:rsidR="00A80783" w:rsidRPr="008F6347" w:rsidRDefault="00A80783" w:rsidP="00A80783">
      <w:pPr>
        <w:pStyle w:val="a9"/>
        <w:rPr>
          <w:kern w:val="2"/>
        </w:rPr>
      </w:pPr>
    </w:p>
    <w:p w14:paraId="47E6F687" w14:textId="77777777" w:rsidR="00A80783" w:rsidRPr="008F6347" w:rsidRDefault="00A80783" w:rsidP="00CD70E6">
      <w:pPr>
        <w:pStyle w:val="a9"/>
        <w:shd w:val="clear" w:color="auto" w:fill="F2F2F2" w:themeFill="background1" w:themeFillShade="F2"/>
        <w:rPr>
          <w:rFonts w:cs="Arial"/>
          <w:kern w:val="2"/>
          <w:sz w:val="26"/>
          <w:szCs w:val="26"/>
        </w:rPr>
      </w:pPr>
      <w:r w:rsidRPr="008F6347">
        <w:rPr>
          <w:b/>
          <w:color w:val="428F9D"/>
          <w:kern w:val="2"/>
          <w:sz w:val="26"/>
          <w:szCs w:val="26"/>
        </w:rPr>
        <w:t>Ілюстрація 1</w:t>
      </w:r>
    </w:p>
    <w:p w14:paraId="028C633A" w14:textId="77777777" w:rsidR="00A80783" w:rsidRPr="008F6347" w:rsidRDefault="00A80783" w:rsidP="00445F1F">
      <w:pPr>
        <w:pStyle w:val="a9"/>
        <w:rPr>
          <w:rFonts w:cs="Arial"/>
          <w:kern w:val="2"/>
        </w:rPr>
      </w:pPr>
    </w:p>
    <w:p w14:paraId="5EC754CD" w14:textId="77777777" w:rsidR="00CD70E6" w:rsidRPr="008F6347" w:rsidRDefault="00CD70E6" w:rsidP="00445F1F">
      <w:pPr>
        <w:pStyle w:val="a9"/>
        <w:rPr>
          <w:kern w:val="2"/>
        </w:rPr>
      </w:pPr>
      <w:r w:rsidRPr="008F6347">
        <w:rPr>
          <w:noProof/>
          <w:kern w:val="2"/>
          <w:lang w:bidi="ar-SA"/>
        </w:rPr>
        <mc:AlternateContent>
          <mc:Choice Requires="wpg">
            <w:drawing>
              <wp:anchor distT="0" distB="0" distL="114300" distR="114300" simplePos="0" relativeHeight="251644416" behindDoc="0" locked="0" layoutInCell="1" allowOverlap="1" wp14:anchorId="0090DE3E" wp14:editId="50AA9AC8">
                <wp:simplePos x="0" y="0"/>
                <wp:positionH relativeFrom="column">
                  <wp:posOffset>11927</wp:posOffset>
                </wp:positionH>
                <wp:positionV relativeFrom="paragraph">
                  <wp:posOffset>60573</wp:posOffset>
                </wp:positionV>
                <wp:extent cx="6615800" cy="2751152"/>
                <wp:effectExtent l="0" t="0" r="0" b="0"/>
                <wp:wrapNone/>
                <wp:docPr id="289" name="Group 289"/>
                <wp:cNvGraphicFramePr/>
                <a:graphic xmlns:a="http://schemas.openxmlformats.org/drawingml/2006/main">
                  <a:graphicData uri="http://schemas.microsoft.com/office/word/2010/wordprocessingGroup">
                    <wpg:wgp>
                      <wpg:cNvGrpSpPr/>
                      <wpg:grpSpPr>
                        <a:xfrm>
                          <a:off x="0" y="0"/>
                          <a:ext cx="6615800" cy="2751152"/>
                          <a:chOff x="0" y="0"/>
                          <a:chExt cx="6615800" cy="2751152"/>
                        </a:xfrm>
                      </wpg:grpSpPr>
                      <wps:wsp>
                        <wps:cNvPr id="29" name="Text Box 2"/>
                        <wps:cNvSpPr txBox="1">
                          <a:spLocks noChangeArrowheads="1"/>
                        </wps:cNvSpPr>
                        <wps:spPr bwMode="auto">
                          <a:xfrm>
                            <a:off x="0" y="127221"/>
                            <a:ext cx="3204376" cy="230588"/>
                          </a:xfrm>
                          <a:prstGeom prst="rect">
                            <a:avLst/>
                          </a:prstGeom>
                          <a:solidFill>
                            <a:srgbClr val="FFFFFF"/>
                          </a:solidFill>
                          <a:ln w="9525">
                            <a:noFill/>
                            <a:miter lim="800000"/>
                            <a:headEnd/>
                            <a:tailEnd/>
                          </a:ln>
                        </wps:spPr>
                        <wps:txbx>
                          <w:txbxContent>
                            <w:p w14:paraId="0C911B35" w14:textId="77777777" w:rsidR="00FE289C" w:rsidRPr="00CD70E6" w:rsidRDefault="00FE289C">
                              <w:pPr>
                                <w:rPr>
                                  <w:rFonts w:cs="Arial"/>
                                  <w:i/>
                                  <w:iCs/>
                                  <w:color w:val="211D1E"/>
                                  <w:sz w:val="22"/>
                                </w:rPr>
                              </w:pPr>
                              <w:r>
                                <w:rPr>
                                  <w:i/>
                                  <w:color w:val="211D1E"/>
                                  <w:sz w:val="22"/>
                                </w:rPr>
                                <w:t>Зелена пускова кнопка</w:t>
                              </w:r>
                            </w:p>
                          </w:txbxContent>
                        </wps:txbx>
                        <wps:bodyPr rot="0" vert="horz" wrap="square" lIns="0" tIns="0" rIns="0" bIns="0" anchor="t" anchorCtr="0">
                          <a:noAutofit/>
                        </wps:bodyPr>
                      </wps:wsp>
                      <wps:wsp>
                        <wps:cNvPr id="30" name="Text Box 2"/>
                        <wps:cNvSpPr txBox="1">
                          <a:spLocks noChangeArrowheads="1"/>
                        </wps:cNvSpPr>
                        <wps:spPr bwMode="auto">
                          <a:xfrm>
                            <a:off x="2019631" y="2520564"/>
                            <a:ext cx="2528515" cy="230588"/>
                          </a:xfrm>
                          <a:prstGeom prst="rect">
                            <a:avLst/>
                          </a:prstGeom>
                          <a:solidFill>
                            <a:srgbClr val="FFFFFF"/>
                          </a:solidFill>
                          <a:ln w="9525">
                            <a:noFill/>
                            <a:miter lim="800000"/>
                            <a:headEnd/>
                            <a:tailEnd/>
                          </a:ln>
                        </wps:spPr>
                        <wps:txbx>
                          <w:txbxContent>
                            <w:p w14:paraId="24EC2979" w14:textId="77777777" w:rsidR="00FE289C" w:rsidRPr="00CD70E6" w:rsidRDefault="00FE289C">
                              <w:pPr>
                                <w:rPr>
                                  <w:rFonts w:cs="Arial"/>
                                  <w:i/>
                                  <w:iCs/>
                                  <w:color w:val="211D1E"/>
                                  <w:sz w:val="22"/>
                                </w:rPr>
                              </w:pPr>
                              <w:r>
                                <w:rPr>
                                  <w:i/>
                                  <w:color w:val="211D1E"/>
                                  <w:sz w:val="22"/>
                                </w:rPr>
                                <w:t>Термін придатності</w:t>
                              </w:r>
                            </w:p>
                          </w:txbxContent>
                        </wps:txbx>
                        <wps:bodyPr rot="0" vert="horz" wrap="square" lIns="0" tIns="0" rIns="0" bIns="0" anchor="t" anchorCtr="0">
                          <a:noAutofit/>
                        </wps:bodyPr>
                      </wps:wsp>
                      <wps:wsp>
                        <wps:cNvPr id="31" name="Text Box 2"/>
                        <wps:cNvSpPr txBox="1">
                          <a:spLocks noChangeArrowheads="1"/>
                        </wps:cNvSpPr>
                        <wps:spPr bwMode="auto">
                          <a:xfrm>
                            <a:off x="3649649" y="2178658"/>
                            <a:ext cx="2528515" cy="230588"/>
                          </a:xfrm>
                          <a:prstGeom prst="rect">
                            <a:avLst/>
                          </a:prstGeom>
                          <a:solidFill>
                            <a:srgbClr val="FFFFFF"/>
                          </a:solidFill>
                          <a:ln w="9525">
                            <a:noFill/>
                            <a:miter lim="800000"/>
                            <a:headEnd/>
                            <a:tailEnd/>
                          </a:ln>
                        </wps:spPr>
                        <wps:txbx>
                          <w:txbxContent>
                            <w:p w14:paraId="77B14538" w14:textId="77777777" w:rsidR="00FE289C" w:rsidRPr="00CD70E6" w:rsidRDefault="00FE289C">
                              <w:pPr>
                                <w:rPr>
                                  <w:rFonts w:cs="Arial"/>
                                  <w:i/>
                                  <w:iCs/>
                                  <w:color w:val="211D1E"/>
                                  <w:sz w:val="22"/>
                                </w:rPr>
                              </w:pPr>
                              <w:r>
                                <w:rPr>
                                  <w:i/>
                                  <w:color w:val="211D1E"/>
                                  <w:sz w:val="22"/>
                                </w:rPr>
                                <w:t>Прозоре контрольне вікно</w:t>
                              </w:r>
                            </w:p>
                          </w:txbxContent>
                        </wps:txbx>
                        <wps:bodyPr rot="0" vert="horz" wrap="square" lIns="0" tIns="0" rIns="0" bIns="0" anchor="t" anchorCtr="0">
                          <a:noAutofit/>
                        </wps:bodyPr>
                      </wps:wsp>
                      <wps:wsp>
                        <wps:cNvPr id="288" name="Text Box 2"/>
                        <wps:cNvSpPr txBox="1">
                          <a:spLocks noChangeArrowheads="1"/>
                        </wps:cNvSpPr>
                        <wps:spPr bwMode="auto">
                          <a:xfrm>
                            <a:off x="5176256" y="0"/>
                            <a:ext cx="1439544" cy="170179"/>
                          </a:xfrm>
                          <a:prstGeom prst="rect">
                            <a:avLst/>
                          </a:prstGeom>
                          <a:solidFill>
                            <a:srgbClr val="FFFFFF"/>
                          </a:solidFill>
                          <a:ln w="9525">
                            <a:noFill/>
                            <a:miter lim="800000"/>
                            <a:headEnd/>
                            <a:tailEnd/>
                          </a:ln>
                        </wps:spPr>
                        <wps:txbx>
                          <w:txbxContent>
                            <w:p w14:paraId="7019790F" w14:textId="77777777" w:rsidR="00FE289C" w:rsidRPr="00CD70E6" w:rsidRDefault="00FE289C">
                              <w:pPr>
                                <w:rPr>
                                  <w:rFonts w:cs="Arial"/>
                                  <w:i/>
                                  <w:iCs/>
                                  <w:color w:val="211D1E"/>
                                  <w:sz w:val="22"/>
                                </w:rPr>
                              </w:pPr>
                              <w:r>
                                <w:rPr>
                                  <w:i/>
                                  <w:color w:val="211D1E"/>
                                  <w:sz w:val="22"/>
                                </w:rPr>
                                <w:t>Білий ковпачок голки</w:t>
                              </w:r>
                            </w:p>
                          </w:txbxContent>
                        </wps:txbx>
                        <wps:bodyPr rot="0" vert="horz" wrap="square" lIns="0" tIns="0" rIns="0" bIns="0" anchor="t" anchorCtr="0">
                          <a:spAutoFit/>
                        </wps:bodyPr>
                      </wps:wsp>
                    </wpg:wgp>
                  </a:graphicData>
                </a:graphic>
              </wp:anchor>
            </w:drawing>
          </mc:Choice>
          <mc:Fallback>
            <w:pict>
              <v:group w14:anchorId="0090DE3E" id="Group 289" o:spid="_x0000_s1032" style="position:absolute;margin-left:.95pt;margin-top:4.75pt;width:520.95pt;height:216.65pt;z-index:251644416" coordsize="66158,2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">
                <v:shape id="_x0000_s1033" type="#_x0000_t202" style="position:absolute;top:1272;width:32043;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14:paraId="0C911B35" w14:textId="77777777" w:rsidR="00FE289C" w:rsidRPr="00CD70E6" w:rsidRDefault="00FE289C">
                        <w:pPr>
                          <w:rPr>
                            <w:rFonts w:cs="Arial"/>
                            <w:i/>
                            <w:iCs/>
                            <w:color w:val="211D1E"/>
                            <w:sz w:val="22"/>
                          </w:rPr>
                        </w:pPr>
                        <w:r>
                          <w:rPr>
                            <w:i/>
                            <w:color w:val="211D1E"/>
                            <w:sz w:val="22"/>
                          </w:rPr>
                          <w:t>Зелена пускова кнопка</w:t>
                        </w:r>
                      </w:p>
                    </w:txbxContent>
                  </v:textbox>
                </v:shape>
                <v:shape id="_x0000_s1034" type="#_x0000_t202" style="position:absolute;left:20196;top:25205;width:25285;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PsEA&#10;AADbAAAADwAAAGRycy9kb3ducmV2LnhtbERPy2rCQBTdF/oPwy24KTrRg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XiD7BAAAA2wAAAA8AAAAAAAAAAAAAAAAAmAIAAGRycy9kb3du&#10;cmV2LnhtbFBLBQYAAAAABAAEAPUAAACGAwAAAAA=&#10;" stroked="f">
                  <v:textbox inset="0,0,0,0">
                    <w:txbxContent>
                      <w:p w14:paraId="24EC2979" w14:textId="77777777" w:rsidR="00FE289C" w:rsidRPr="00CD70E6" w:rsidRDefault="00FE289C">
                        <w:pPr>
                          <w:rPr>
                            <w:rFonts w:cs="Arial"/>
                            <w:i/>
                            <w:iCs/>
                            <w:color w:val="211D1E"/>
                            <w:sz w:val="22"/>
                          </w:rPr>
                        </w:pPr>
                        <w:r>
                          <w:rPr>
                            <w:i/>
                            <w:color w:val="211D1E"/>
                            <w:sz w:val="22"/>
                          </w:rPr>
                          <w:t>Термін придатності</w:t>
                        </w:r>
                      </w:p>
                    </w:txbxContent>
                  </v:textbox>
                </v:shape>
                <v:shape id="_x0000_s1035" type="#_x0000_t202" style="position:absolute;left:36496;top:21786;width:25285;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tpcQA&#10;AADbAAAADwAAAGRycy9kb3ducmV2LnhtbESPT2sCMRTE70K/Q3gFL1KzriC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bLaXEAAAA2wAAAA8AAAAAAAAAAAAAAAAAmAIAAGRycy9k&#10;b3ducmV2LnhtbFBLBQYAAAAABAAEAPUAAACJAwAAAAA=&#10;" stroked="f">
                  <v:textbox inset="0,0,0,0">
                    <w:txbxContent>
                      <w:p w14:paraId="77B14538" w14:textId="77777777" w:rsidR="00FE289C" w:rsidRPr="00CD70E6" w:rsidRDefault="00FE289C">
                        <w:pPr>
                          <w:rPr>
                            <w:rFonts w:cs="Arial"/>
                            <w:i/>
                            <w:iCs/>
                            <w:color w:val="211D1E"/>
                            <w:sz w:val="22"/>
                          </w:rPr>
                        </w:pPr>
                        <w:r>
                          <w:rPr>
                            <w:i/>
                            <w:color w:val="211D1E"/>
                            <w:sz w:val="22"/>
                          </w:rPr>
                          <w:t>Прозоре контрольне вікно</w:t>
                        </w:r>
                      </w:p>
                    </w:txbxContent>
                  </v:textbox>
                </v:shape>
                <v:shape id="_x0000_s1036" type="#_x0000_t202" style="position:absolute;left:51762;width:14396;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HVsMA&#10;AADcAAAADwAAAGRycy9kb3ducmV2LnhtbERPz2vCMBS+C/sfwhvsIjPViUg1ioiDbRex8+Lt0Tyb&#10;avNSklS7/345CB4/vt/LdW8bcSMfascKxqMMBHHpdM2VguPv5/scRIjIGhvHpOCPAqxXL4Ml5trd&#10;+UC3IlYihXDIUYGJsc2lDKUhi2HkWuLEnZ23GBP0ldQe7yncNnKSZTNpsebUYLClraHyWnRWwX56&#10;2pthd979bKYf/vvYbWeXqlDq7bXfLEBE6uNT/HB/aQWTeVqbzq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ZHVsMAAADcAAAADwAAAAAAAAAAAAAAAACYAgAAZHJzL2Rv&#10;d25yZXYueG1sUEsFBgAAAAAEAAQA9QAAAIgDAAAAAA==&#10;" stroked="f">
                  <v:textbox style="mso-fit-shape-to-text:t" inset="0,0,0,0">
                    <w:txbxContent>
                      <w:p w14:paraId="7019790F" w14:textId="77777777" w:rsidR="00FE289C" w:rsidRPr="00CD70E6" w:rsidRDefault="00FE289C">
                        <w:pPr>
                          <w:rPr>
                            <w:rFonts w:cs="Arial"/>
                            <w:i/>
                            <w:iCs/>
                            <w:color w:val="211D1E"/>
                            <w:sz w:val="22"/>
                          </w:rPr>
                        </w:pPr>
                        <w:r>
                          <w:rPr>
                            <w:i/>
                            <w:color w:val="211D1E"/>
                            <w:sz w:val="22"/>
                          </w:rPr>
                          <w:t>Білий ковпачок голки</w:t>
                        </w:r>
                      </w:p>
                    </w:txbxContent>
                  </v:textbox>
                </v:shape>
              </v:group>
            </w:pict>
          </mc:Fallback>
        </mc:AlternateContent>
      </w:r>
      <w:r w:rsidRPr="008F6347">
        <w:rPr>
          <w:noProof/>
          <w:kern w:val="2"/>
          <w:lang w:bidi="ar-SA"/>
        </w:rPr>
        <w:drawing>
          <wp:inline distT="0" distB="0" distL="0" distR="0" wp14:anchorId="3C00D595" wp14:editId="070E7BCA">
            <wp:extent cx="6647180" cy="2783205"/>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7180" cy="2783205"/>
                    </a:xfrm>
                    <a:prstGeom prst="rect">
                      <a:avLst/>
                    </a:prstGeom>
                    <a:noFill/>
                    <a:ln>
                      <a:noFill/>
                    </a:ln>
                  </pic:spPr>
                </pic:pic>
              </a:graphicData>
            </a:graphic>
          </wp:inline>
        </w:drawing>
      </w:r>
    </w:p>
    <w:p w14:paraId="200D272D" w14:textId="77777777" w:rsidR="00CD70E6" w:rsidRPr="008F6347" w:rsidRDefault="00CD70E6" w:rsidP="00445F1F">
      <w:pPr>
        <w:pStyle w:val="a9"/>
        <w:rPr>
          <w:kern w:val="2"/>
        </w:rPr>
      </w:pPr>
    </w:p>
    <w:p w14:paraId="33A4A6A4" w14:textId="77777777" w:rsidR="008E34E8" w:rsidRPr="008F6347" w:rsidRDefault="008E34E8" w:rsidP="00445F1F">
      <w:pPr>
        <w:pStyle w:val="a9"/>
        <w:rPr>
          <w:kern w:val="2"/>
        </w:rPr>
      </w:pPr>
    </w:p>
    <w:p w14:paraId="4E99AB62" w14:textId="77777777" w:rsidR="008E34E8" w:rsidRPr="008F6347" w:rsidRDefault="008E34E8" w:rsidP="00445F1F">
      <w:pPr>
        <w:pStyle w:val="a9"/>
        <w:rPr>
          <w:kern w:val="2"/>
        </w:rPr>
      </w:pPr>
    </w:p>
    <w:p w14:paraId="51430055" w14:textId="0F0E6AA1" w:rsidR="00632A2C" w:rsidRPr="00FE135F" w:rsidRDefault="00B55C23" w:rsidP="00D51539">
      <w:pPr>
        <w:tabs>
          <w:tab w:val="left" w:pos="360"/>
        </w:tabs>
        <w:spacing w:after="200" w:line="276" w:lineRule="auto"/>
        <w:ind w:left="270" w:right="1829" w:hanging="270"/>
        <w:rPr>
          <w:rFonts w:cs="Arial"/>
          <w:color w:val="211D1E"/>
          <w:kern w:val="2"/>
          <w:sz w:val="26"/>
          <w:szCs w:val="26"/>
        </w:rPr>
      </w:pPr>
      <w:r w:rsidRPr="00FE135F">
        <w:rPr>
          <w:noProof/>
          <w:kern w:val="2"/>
          <w:lang w:bidi="ar-SA"/>
        </w:rPr>
        <mc:AlternateContent>
          <mc:Choice Requires="wps">
            <w:drawing>
              <wp:anchor distT="0" distB="0" distL="114300" distR="114300" simplePos="0" relativeHeight="251678208" behindDoc="0" locked="0" layoutInCell="1" allowOverlap="1" wp14:anchorId="51AFB2DF" wp14:editId="5C6E0195">
                <wp:simplePos x="0" y="0"/>
                <wp:positionH relativeFrom="column">
                  <wp:posOffset>6421755</wp:posOffset>
                </wp:positionH>
                <wp:positionV relativeFrom="paragraph">
                  <wp:posOffset>70172</wp:posOffset>
                </wp:positionV>
                <wp:extent cx="0" cy="8597265"/>
                <wp:effectExtent l="0" t="0" r="19050" b="13335"/>
                <wp:wrapNone/>
                <wp:docPr id="336" name="Straight Connector 336"/>
                <wp:cNvGraphicFramePr/>
                <a:graphic xmlns:a="http://schemas.openxmlformats.org/drawingml/2006/main">
                  <a:graphicData uri="http://schemas.microsoft.com/office/word/2010/wordprocessingShape">
                    <wps:wsp>
                      <wps:cNvCnPr/>
                      <wps:spPr>
                        <a:xfrm>
                          <a:off x="0" y="0"/>
                          <a:ext cx="0" cy="859726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CA861" id="Straight Connector 336"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5.65pt,5.55pt" to="505.65pt,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" strokecolor="white [3212]" strokeweight="1.5pt"/>
            </w:pict>
          </mc:Fallback>
        </mc:AlternateContent>
      </w:r>
      <w:r w:rsidR="006E3C83" w:rsidRPr="00FE135F">
        <w:rPr>
          <w:b/>
          <w:color w:val="428F9D"/>
          <w:kern w:val="2"/>
          <w:sz w:val="26"/>
          <w:szCs w:val="26"/>
        </w:rPr>
        <w:t>›</w:t>
      </w:r>
      <w:r w:rsidR="006E3C83" w:rsidRPr="00FE135F">
        <w:rPr>
          <w:kern w:val="2"/>
          <w:sz w:val="26"/>
          <w:szCs w:val="26"/>
        </w:rPr>
        <w:tab/>
      </w:r>
      <w:r w:rsidR="006E3C83" w:rsidRPr="00FE135F">
        <w:rPr>
          <w:color w:val="000000"/>
          <w:spacing w:val="-4"/>
          <w:kern w:val="2"/>
          <w:sz w:val="26"/>
          <w:szCs w:val="26"/>
        </w:rPr>
        <w:t xml:space="preserve">Пам'ятайте про необхідність перевірки терміну придатності (місяця </w:t>
      </w:r>
      <w:r w:rsidR="001D6A6D" w:rsidRPr="00FE135F">
        <w:rPr>
          <w:color w:val="000000"/>
          <w:spacing w:val="-4"/>
          <w:kern w:val="2"/>
          <w:sz w:val="26"/>
          <w:szCs w:val="26"/>
        </w:rPr>
        <w:t>та</w:t>
      </w:r>
      <w:r w:rsidR="00D40B38" w:rsidRPr="00FE135F">
        <w:rPr>
          <w:color w:val="000000"/>
          <w:spacing w:val="-4"/>
          <w:kern w:val="2"/>
          <w:sz w:val="26"/>
          <w:szCs w:val="26"/>
        </w:rPr>
        <w:t> </w:t>
      </w:r>
      <w:r w:rsidR="006E3C83" w:rsidRPr="00FE135F">
        <w:rPr>
          <w:color w:val="000000"/>
          <w:spacing w:val="-4"/>
          <w:kern w:val="2"/>
          <w:sz w:val="26"/>
          <w:szCs w:val="26"/>
        </w:rPr>
        <w:t>року)</w:t>
      </w:r>
      <w:r w:rsidR="006E3C83" w:rsidRPr="00FE135F">
        <w:rPr>
          <w:color w:val="000000"/>
          <w:kern w:val="2"/>
          <w:sz w:val="26"/>
          <w:szCs w:val="26"/>
        </w:rPr>
        <w:t xml:space="preserve"> на шприц-ручці МАЙ КЛІК</w:t>
      </w:r>
      <w:r w:rsidR="006E3C83" w:rsidRPr="00FE135F">
        <w:rPr>
          <w:color w:val="211D1E"/>
          <w:kern w:val="2"/>
          <w:sz w:val="26"/>
          <w:szCs w:val="26"/>
          <w:vertAlign w:val="superscript"/>
        </w:rPr>
        <w:t>®</w:t>
      </w:r>
      <w:r w:rsidR="006E3C83" w:rsidRPr="00FE135F">
        <w:rPr>
          <w:color w:val="211D1E"/>
          <w:kern w:val="2"/>
          <w:sz w:val="26"/>
          <w:szCs w:val="26"/>
        </w:rPr>
        <w:t>. Якщо він скінчився, не</w:t>
      </w:r>
      <w:r w:rsidR="00D40B38" w:rsidRPr="00FE135F">
        <w:rPr>
          <w:color w:val="211D1E"/>
          <w:kern w:val="2"/>
          <w:sz w:val="26"/>
          <w:szCs w:val="26"/>
        </w:rPr>
        <w:t> </w:t>
      </w:r>
      <w:r w:rsidR="006E3C83" w:rsidRPr="00FE135F">
        <w:rPr>
          <w:color w:val="211D1E"/>
          <w:kern w:val="2"/>
          <w:sz w:val="26"/>
          <w:szCs w:val="26"/>
        </w:rPr>
        <w:t xml:space="preserve">використовуйте шприц-ручку й зверніться до фармацевта </w:t>
      </w:r>
      <w:r w:rsidR="00D51539" w:rsidRPr="00FE135F">
        <w:rPr>
          <w:color w:val="211D1E"/>
          <w:kern w:val="2"/>
          <w:sz w:val="26"/>
          <w:szCs w:val="26"/>
        </w:rPr>
        <w:t xml:space="preserve">за </w:t>
      </w:r>
      <w:r w:rsidR="006E3C83" w:rsidRPr="00FE135F">
        <w:rPr>
          <w:color w:val="211D1E"/>
          <w:kern w:val="2"/>
          <w:sz w:val="26"/>
          <w:szCs w:val="26"/>
        </w:rPr>
        <w:t>допомог</w:t>
      </w:r>
      <w:r w:rsidR="00D51539" w:rsidRPr="00FE135F">
        <w:rPr>
          <w:color w:val="211D1E"/>
          <w:kern w:val="2"/>
          <w:sz w:val="26"/>
          <w:szCs w:val="26"/>
        </w:rPr>
        <w:t>ою</w:t>
      </w:r>
      <w:r w:rsidR="006E3C83" w:rsidRPr="00FE135F">
        <w:rPr>
          <w:color w:val="211D1E"/>
          <w:kern w:val="2"/>
          <w:sz w:val="26"/>
          <w:szCs w:val="26"/>
          <w:vertAlign w:val="superscript"/>
        </w:rPr>
        <w:t>1</w:t>
      </w:r>
      <w:r w:rsidR="006E3C83" w:rsidRPr="00FE135F">
        <w:rPr>
          <w:color w:val="211D1E"/>
          <w:kern w:val="2"/>
          <w:sz w:val="26"/>
          <w:szCs w:val="26"/>
        </w:rPr>
        <w:t xml:space="preserve">. </w:t>
      </w:r>
    </w:p>
    <w:p w14:paraId="127096B9" w14:textId="77777777" w:rsidR="006E3C83" w:rsidRPr="00FE135F" w:rsidRDefault="006E3C83" w:rsidP="006E3C83">
      <w:pPr>
        <w:pStyle w:val="a9"/>
        <w:rPr>
          <w:kern w:val="2"/>
          <w:sz w:val="10"/>
        </w:rPr>
      </w:pPr>
    </w:p>
    <w:p w14:paraId="0452E285" w14:textId="1E4D31EE" w:rsidR="00632A2C" w:rsidRPr="00FE135F" w:rsidRDefault="00632A2C" w:rsidP="00D40B38">
      <w:pPr>
        <w:pStyle w:val="Pa7"/>
        <w:spacing w:line="240" w:lineRule="auto"/>
        <w:ind w:left="288" w:right="2009" w:hanging="288"/>
        <w:rPr>
          <w:rFonts w:ascii="Arial" w:hAnsi="Arial" w:cs="Arial"/>
          <w:color w:val="211D1E"/>
          <w:kern w:val="2"/>
          <w:sz w:val="26"/>
          <w:szCs w:val="26"/>
          <w:vertAlign w:val="superscript"/>
        </w:rPr>
      </w:pPr>
      <w:r w:rsidRPr="00FE135F">
        <w:rPr>
          <w:rFonts w:ascii="Arial" w:hAnsi="Arial"/>
          <w:b/>
          <w:color w:val="428F9D"/>
          <w:kern w:val="2"/>
          <w:sz w:val="26"/>
          <w:szCs w:val="26"/>
        </w:rPr>
        <w:t xml:space="preserve">› </w:t>
      </w:r>
      <w:r w:rsidRPr="00FE135F">
        <w:rPr>
          <w:kern w:val="2"/>
          <w:sz w:val="26"/>
          <w:szCs w:val="26"/>
        </w:rPr>
        <w:tab/>
      </w:r>
      <w:r w:rsidRPr="00FE135F">
        <w:rPr>
          <w:rFonts w:ascii="Arial" w:hAnsi="Arial"/>
          <w:color w:val="000000"/>
          <w:kern w:val="2"/>
          <w:sz w:val="26"/>
          <w:szCs w:val="26"/>
        </w:rPr>
        <w:t>Перевірте розчин у шприц-ручці через прозоре контрольне вікно</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Розчин повинен бути прозорим або трохи матовим, безбарвним або </w:t>
      </w:r>
      <w:r w:rsidRPr="00FE135F">
        <w:rPr>
          <w:rFonts w:ascii="Arial" w:hAnsi="Arial"/>
          <w:color w:val="211D1E"/>
          <w:spacing w:val="-2"/>
          <w:kern w:val="2"/>
          <w:sz w:val="26"/>
          <w:szCs w:val="26"/>
        </w:rPr>
        <w:t>блідо-жовтим і може містити маленькі білі чи майже прозорі частки білка</w:t>
      </w:r>
      <w:r w:rsidRPr="00FE135F">
        <w:rPr>
          <w:rFonts w:ascii="Arial" w:hAnsi="Arial"/>
          <w:color w:val="211D1E"/>
          <w:kern w:val="2"/>
          <w:sz w:val="26"/>
          <w:szCs w:val="26"/>
        </w:rPr>
        <w:t>. Так має виглядати незіпсований препарат ЕНБРЕЛ</w:t>
      </w:r>
      <w:r w:rsidRPr="00FE135F">
        <w:rPr>
          <w:rFonts w:ascii="Arial" w:hAnsi="Arial"/>
          <w:color w:val="211D1E"/>
          <w:kern w:val="2"/>
          <w:sz w:val="26"/>
          <w:szCs w:val="26"/>
          <w:vertAlign w:val="superscript"/>
        </w:rPr>
        <w:t>®</w:t>
      </w:r>
      <w:r w:rsidRPr="00FE135F">
        <w:rPr>
          <w:rFonts w:ascii="Arial" w:hAnsi="Arial"/>
          <w:color w:val="211D1E"/>
          <w:kern w:val="2"/>
          <w:sz w:val="26"/>
          <w:szCs w:val="26"/>
        </w:rPr>
        <w:t xml:space="preserve">. Не використовуйте розчин, якщо його колір змінився, він мутний або містить інші частки, ніж описані вище. Якщо вигляд розчину викликає у вас занепокоєння, зверніться до фармацевта </w:t>
      </w:r>
      <w:r w:rsidR="00E66BF0" w:rsidRPr="00FE135F">
        <w:rPr>
          <w:rFonts w:ascii="Arial" w:hAnsi="Arial"/>
          <w:color w:val="211D1E"/>
          <w:kern w:val="2"/>
          <w:sz w:val="26"/>
          <w:szCs w:val="26"/>
        </w:rPr>
        <w:t>за</w:t>
      </w:r>
      <w:r w:rsidRPr="00FE135F">
        <w:rPr>
          <w:rFonts w:ascii="Arial" w:hAnsi="Arial"/>
          <w:color w:val="211D1E"/>
          <w:kern w:val="2"/>
          <w:sz w:val="26"/>
          <w:szCs w:val="26"/>
        </w:rPr>
        <w:t xml:space="preserve"> допомог</w:t>
      </w:r>
      <w:r w:rsidR="00E66BF0" w:rsidRPr="00FE135F">
        <w:rPr>
          <w:rFonts w:ascii="Arial" w:hAnsi="Arial"/>
          <w:color w:val="211D1E"/>
          <w:kern w:val="2"/>
          <w:sz w:val="26"/>
          <w:szCs w:val="26"/>
        </w:rPr>
        <w:t>ою</w:t>
      </w:r>
      <w:r w:rsidRPr="00FE135F">
        <w:rPr>
          <w:rFonts w:ascii="Arial" w:hAnsi="Arial"/>
          <w:color w:val="211D1E"/>
          <w:kern w:val="2"/>
          <w:sz w:val="26"/>
          <w:szCs w:val="26"/>
          <w:vertAlign w:val="superscript"/>
        </w:rPr>
        <w:t>1</w:t>
      </w:r>
      <w:r w:rsidRPr="00FE135F">
        <w:rPr>
          <w:rFonts w:ascii="Arial" w:hAnsi="Arial"/>
          <w:color w:val="211D1E"/>
          <w:kern w:val="2"/>
          <w:sz w:val="26"/>
          <w:szCs w:val="26"/>
        </w:rPr>
        <w:t>.</w:t>
      </w:r>
    </w:p>
    <w:p w14:paraId="7AC8BB57" w14:textId="77777777" w:rsidR="006E3C83" w:rsidRPr="00FE135F" w:rsidRDefault="006E3C83" w:rsidP="006E3C83">
      <w:pPr>
        <w:pStyle w:val="a9"/>
        <w:rPr>
          <w:kern w:val="2"/>
          <w:sz w:val="10"/>
        </w:rPr>
      </w:pPr>
    </w:p>
    <w:p w14:paraId="01C7ED33" w14:textId="47774269" w:rsidR="00632A2C" w:rsidRPr="00FE135F" w:rsidRDefault="00726014" w:rsidP="006E3C83">
      <w:pPr>
        <w:pStyle w:val="Pa7"/>
        <w:spacing w:line="240" w:lineRule="auto"/>
        <w:ind w:left="288" w:right="2009" w:hanging="288"/>
        <w:rPr>
          <w:rFonts w:ascii="Arial" w:hAnsi="Arial" w:cs="Arial"/>
          <w:color w:val="211D1E"/>
          <w:kern w:val="2"/>
          <w:sz w:val="26"/>
          <w:szCs w:val="26"/>
        </w:rPr>
      </w:pPr>
      <w:r w:rsidRPr="00FE135F">
        <w:rPr>
          <w:rFonts w:ascii="Arial" w:hAnsi="Arial"/>
          <w:b/>
          <w:color w:val="428F9D"/>
          <w:kern w:val="2"/>
          <w:sz w:val="26"/>
          <w:szCs w:val="26"/>
        </w:rPr>
        <w:t>›</w:t>
      </w:r>
      <w:r w:rsidRPr="00FE135F">
        <w:rPr>
          <w:kern w:val="2"/>
          <w:sz w:val="26"/>
          <w:szCs w:val="26"/>
        </w:rPr>
        <w:tab/>
      </w:r>
      <w:r w:rsidRPr="00FE135F">
        <w:rPr>
          <w:rFonts w:ascii="Arial" w:hAnsi="Arial"/>
          <w:b/>
          <w:color w:val="211D1E"/>
          <w:kern w:val="2"/>
          <w:sz w:val="26"/>
          <w:szCs w:val="26"/>
        </w:rPr>
        <w:t xml:space="preserve">Не знімайте білий ковпачок голки і зачекайте приблизно 15–30 хвилин, </w:t>
      </w:r>
      <w:r w:rsidRPr="00FE135F">
        <w:rPr>
          <w:rFonts w:ascii="Arial" w:hAnsi="Arial"/>
          <w:color w:val="211D1E"/>
          <w:kern w:val="2"/>
          <w:sz w:val="26"/>
          <w:szCs w:val="26"/>
        </w:rPr>
        <w:t>щоб розчин препарату ЕНБРЕЛ</w:t>
      </w:r>
      <w:r w:rsidRPr="00FE135F">
        <w:rPr>
          <w:rFonts w:ascii="Arial" w:hAnsi="Arial"/>
          <w:color w:val="211D1E"/>
          <w:kern w:val="2"/>
          <w:sz w:val="26"/>
          <w:szCs w:val="26"/>
          <w:vertAlign w:val="superscript"/>
        </w:rPr>
        <w:t>®</w:t>
      </w:r>
      <w:r w:rsidRPr="00FE135F">
        <w:rPr>
          <w:rFonts w:ascii="Arial" w:hAnsi="Arial"/>
          <w:color w:val="211D1E"/>
          <w:kern w:val="2"/>
          <w:sz w:val="26"/>
          <w:szCs w:val="26"/>
        </w:rPr>
        <w:t xml:space="preserve"> нагрівся до кімнатної температури</w:t>
      </w:r>
      <w:r w:rsidRPr="00FE135F">
        <w:rPr>
          <w:rFonts w:ascii="Arial" w:hAnsi="Arial"/>
          <w:color w:val="211D1E"/>
          <w:kern w:val="2"/>
          <w:sz w:val="26"/>
          <w:szCs w:val="26"/>
          <w:vertAlign w:val="superscript"/>
        </w:rPr>
        <w:t>1</w:t>
      </w:r>
      <w:r w:rsidRPr="00FE135F">
        <w:rPr>
          <w:rFonts w:ascii="Arial" w:hAnsi="Arial"/>
          <w:color w:val="211D1E"/>
          <w:kern w:val="2"/>
          <w:sz w:val="26"/>
          <w:szCs w:val="26"/>
        </w:rPr>
        <w:t>. Не підігрівайте шприц-ручку іншим способом</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w:t>
      </w:r>
      <w:r w:rsidRPr="00FE135F">
        <w:rPr>
          <w:rFonts w:ascii="Arial" w:hAnsi="Arial"/>
          <w:b/>
          <w:color w:val="211D1E"/>
          <w:kern w:val="2"/>
          <w:sz w:val="26"/>
          <w:szCs w:val="26"/>
        </w:rPr>
        <w:t>Завжди лиш</w:t>
      </w:r>
      <w:r w:rsidR="00E66BF0" w:rsidRPr="00FE135F">
        <w:rPr>
          <w:rFonts w:ascii="Arial" w:hAnsi="Arial"/>
          <w:b/>
          <w:color w:val="211D1E"/>
          <w:kern w:val="2"/>
          <w:sz w:val="26"/>
          <w:szCs w:val="26"/>
        </w:rPr>
        <w:t xml:space="preserve">айте шприц-ручку в недоступному </w:t>
      </w:r>
      <w:r w:rsidRPr="00FE135F">
        <w:rPr>
          <w:rFonts w:ascii="Arial" w:hAnsi="Arial"/>
          <w:b/>
          <w:color w:val="211D1E"/>
          <w:kern w:val="2"/>
          <w:sz w:val="26"/>
          <w:szCs w:val="26"/>
        </w:rPr>
        <w:t>й непомітному для дітей місці</w:t>
      </w:r>
      <w:r w:rsidRPr="00FE135F">
        <w:rPr>
          <w:rFonts w:ascii="Arial" w:hAnsi="Arial"/>
          <w:b/>
          <w:color w:val="211D1E"/>
          <w:kern w:val="2"/>
          <w:sz w:val="26"/>
          <w:szCs w:val="26"/>
          <w:vertAlign w:val="superscript"/>
        </w:rPr>
        <w:t>1</w:t>
      </w:r>
      <w:r w:rsidRPr="00FE135F">
        <w:rPr>
          <w:rFonts w:ascii="Arial" w:hAnsi="Arial"/>
          <w:b/>
          <w:color w:val="211D1E"/>
          <w:kern w:val="2"/>
          <w:sz w:val="26"/>
          <w:szCs w:val="26"/>
        </w:rPr>
        <w:t>.</w:t>
      </w:r>
    </w:p>
    <w:p w14:paraId="6DE362EA" w14:textId="77777777" w:rsidR="006E3C83" w:rsidRPr="00FE135F" w:rsidRDefault="006E3C83" w:rsidP="006E3C83">
      <w:pPr>
        <w:rPr>
          <w:kern w:val="2"/>
        </w:rPr>
      </w:pPr>
    </w:p>
    <w:p w14:paraId="47569D5A" w14:textId="77777777" w:rsidR="006E3C83" w:rsidRPr="00FE135F" w:rsidRDefault="006E3C83" w:rsidP="006E3C83">
      <w:pPr>
        <w:rPr>
          <w:kern w:val="2"/>
        </w:rPr>
      </w:pPr>
    </w:p>
    <w:p w14:paraId="60DF574A" w14:textId="77777777" w:rsidR="00632A2C" w:rsidRPr="008F6347" w:rsidRDefault="00632A2C" w:rsidP="006E3C83">
      <w:pPr>
        <w:autoSpaceDE w:val="0"/>
        <w:autoSpaceDN w:val="0"/>
        <w:adjustRightInd w:val="0"/>
        <w:spacing w:line="281" w:lineRule="atLeast"/>
        <w:ind w:right="1739"/>
        <w:rPr>
          <w:rFonts w:cs="Arial"/>
          <w:color w:val="211D1E"/>
          <w:kern w:val="2"/>
          <w:sz w:val="26"/>
          <w:szCs w:val="26"/>
        </w:rPr>
      </w:pPr>
      <w:r w:rsidRPr="00FE135F">
        <w:rPr>
          <w:color w:val="211D1E"/>
          <w:kern w:val="2"/>
          <w:sz w:val="26"/>
          <w:szCs w:val="26"/>
        </w:rPr>
        <w:t xml:space="preserve">Поки ви будете чекати, щоб розчин у шприц-ручці нагрівся до кімнатної температури, перегляньте </w:t>
      </w:r>
      <w:r w:rsidRPr="00FE135F">
        <w:rPr>
          <w:b/>
          <w:color w:val="211D1E"/>
          <w:kern w:val="2"/>
          <w:sz w:val="26"/>
          <w:szCs w:val="26"/>
        </w:rPr>
        <w:t xml:space="preserve">Крок 2 </w:t>
      </w:r>
      <w:r w:rsidRPr="00FE135F">
        <w:rPr>
          <w:color w:val="211D1E"/>
          <w:kern w:val="2"/>
          <w:sz w:val="26"/>
          <w:szCs w:val="26"/>
        </w:rPr>
        <w:t>(на наступній сторінці) і виберіть місце введення ін'єкції</w:t>
      </w:r>
      <w:r w:rsidRPr="00FE135F">
        <w:rPr>
          <w:color w:val="211D1E"/>
          <w:kern w:val="2"/>
          <w:sz w:val="26"/>
          <w:szCs w:val="26"/>
          <w:vertAlign w:val="superscript"/>
        </w:rPr>
        <w:t>1</w:t>
      </w:r>
      <w:r w:rsidRPr="00FE135F">
        <w:rPr>
          <w:color w:val="211D1E"/>
          <w:kern w:val="2"/>
          <w:sz w:val="26"/>
          <w:szCs w:val="26"/>
        </w:rPr>
        <w:t>.</w:t>
      </w:r>
    </w:p>
    <w:p w14:paraId="7324AAAA" w14:textId="77777777" w:rsidR="00632A2C" w:rsidRPr="008F6347" w:rsidRDefault="00632A2C" w:rsidP="006E3C83">
      <w:pPr>
        <w:pStyle w:val="a9"/>
        <w:rPr>
          <w:kern w:val="2"/>
        </w:rPr>
      </w:pPr>
    </w:p>
    <w:p w14:paraId="60B43477" w14:textId="77777777" w:rsidR="006E3C83" w:rsidRPr="008F6347" w:rsidRDefault="006E3C83" w:rsidP="006E3C83">
      <w:pPr>
        <w:pStyle w:val="a9"/>
        <w:rPr>
          <w:kern w:val="2"/>
        </w:rPr>
      </w:pPr>
    </w:p>
    <w:p w14:paraId="7C4DAB0B" w14:textId="77777777" w:rsidR="00BB59C9" w:rsidRPr="008F6347" w:rsidRDefault="00BB59C9" w:rsidP="006E3C83">
      <w:pPr>
        <w:pStyle w:val="a9"/>
        <w:rPr>
          <w:kern w:val="2"/>
        </w:rPr>
      </w:pPr>
    </w:p>
    <w:p w14:paraId="4AA7C1D4" w14:textId="77777777" w:rsidR="006E3C83" w:rsidRPr="008F6347" w:rsidRDefault="006E3C83" w:rsidP="006E3C83">
      <w:pPr>
        <w:pStyle w:val="a9"/>
        <w:rPr>
          <w:kern w:val="2"/>
        </w:rPr>
      </w:pPr>
    </w:p>
    <w:tbl>
      <w:tblPr>
        <w:tblW w:w="0" w:type="auto"/>
        <w:tblCellMar>
          <w:left w:w="43" w:type="dxa"/>
          <w:right w:w="43" w:type="dxa"/>
        </w:tblCellMar>
        <w:tblLook w:val="04A0" w:firstRow="1" w:lastRow="0" w:firstColumn="1" w:lastColumn="0" w:noHBand="0" w:noVBand="1"/>
      </w:tblPr>
      <w:tblGrid>
        <w:gridCol w:w="1906"/>
        <w:gridCol w:w="6993"/>
        <w:gridCol w:w="1656"/>
      </w:tblGrid>
      <w:tr w:rsidR="006E3C83" w:rsidRPr="008F6347" w14:paraId="77D69722" w14:textId="77777777" w:rsidTr="006E3C83">
        <w:trPr>
          <w:trHeight w:val="1088"/>
        </w:trPr>
        <w:tc>
          <w:tcPr>
            <w:tcW w:w="1906" w:type="dxa"/>
            <w:tcBorders>
              <w:top w:val="single" w:sz="4" w:space="0" w:color="009999"/>
              <w:left w:val="single" w:sz="4" w:space="0" w:color="009999"/>
              <w:bottom w:val="single" w:sz="4" w:space="0" w:color="009999"/>
              <w:right w:val="single" w:sz="4" w:space="0" w:color="009999"/>
            </w:tcBorders>
            <w:vAlign w:val="center"/>
          </w:tcPr>
          <w:p w14:paraId="20C3AD2C" w14:textId="77777777" w:rsidR="006E3C83" w:rsidRPr="008F6347" w:rsidRDefault="006E3C83" w:rsidP="006E3C83">
            <w:pPr>
              <w:pStyle w:val="a9"/>
              <w:ind w:left="144" w:right="144"/>
              <w:jc w:val="center"/>
              <w:rPr>
                <w:kern w:val="2"/>
              </w:rPr>
            </w:pPr>
            <w:r w:rsidRPr="008F6347">
              <w:rPr>
                <w:b/>
                <w:color w:val="428F9D"/>
                <w:kern w:val="2"/>
                <w:sz w:val="32"/>
              </w:rPr>
              <w:t>Корисна підказка</w:t>
            </w:r>
          </w:p>
        </w:tc>
        <w:tc>
          <w:tcPr>
            <w:tcW w:w="6993" w:type="dxa"/>
            <w:tcBorders>
              <w:left w:val="single" w:sz="4" w:space="0" w:color="009999"/>
            </w:tcBorders>
            <w:shd w:val="clear" w:color="auto" w:fill="F2F2F2" w:themeFill="background1" w:themeFillShade="F2"/>
            <w:vAlign w:val="center"/>
          </w:tcPr>
          <w:p w14:paraId="0DD72B95" w14:textId="77777777" w:rsidR="006E3C83" w:rsidRPr="008F6347" w:rsidRDefault="006E3C83" w:rsidP="006E3C83">
            <w:pPr>
              <w:pStyle w:val="a9"/>
              <w:ind w:left="200"/>
              <w:rPr>
                <w:kern w:val="2"/>
              </w:rPr>
            </w:pPr>
            <w:r w:rsidRPr="008F6347">
              <w:rPr>
                <w:b/>
                <w:i/>
                <w:color w:val="428F9D"/>
                <w:kern w:val="2"/>
                <w:sz w:val="22"/>
              </w:rPr>
              <w:t>Введення розчину кімнатної температури може бути більш комфортним для вас</w:t>
            </w:r>
            <w:r w:rsidRPr="008F6347">
              <w:rPr>
                <w:b/>
                <w:i/>
                <w:color w:val="428F9D"/>
                <w:kern w:val="2"/>
                <w:sz w:val="22"/>
                <w:vertAlign w:val="superscript"/>
              </w:rPr>
              <w:t>1</w:t>
            </w:r>
            <w:r w:rsidRPr="008F6347">
              <w:rPr>
                <w:b/>
                <w:i/>
                <w:color w:val="428F9D"/>
                <w:kern w:val="2"/>
                <w:sz w:val="22"/>
              </w:rPr>
              <w:t>.</w:t>
            </w:r>
          </w:p>
        </w:tc>
        <w:tc>
          <w:tcPr>
            <w:tcW w:w="1656" w:type="dxa"/>
          </w:tcPr>
          <w:p w14:paraId="12AFA842" w14:textId="77777777" w:rsidR="006E3C83" w:rsidRPr="008F6347" w:rsidRDefault="006E3C83" w:rsidP="006E3C83">
            <w:pPr>
              <w:pStyle w:val="a9"/>
              <w:rPr>
                <w:kern w:val="2"/>
              </w:rPr>
            </w:pPr>
          </w:p>
        </w:tc>
      </w:tr>
    </w:tbl>
    <w:p w14:paraId="7E70E52A" w14:textId="77777777" w:rsidR="006E3C83" w:rsidRPr="008F6347" w:rsidRDefault="006E3C83" w:rsidP="006E3C83">
      <w:pPr>
        <w:pStyle w:val="a9"/>
        <w:rPr>
          <w:kern w:val="2"/>
        </w:rPr>
      </w:pPr>
    </w:p>
    <w:p w14:paraId="4C14792A" w14:textId="77777777" w:rsidR="006E3C83" w:rsidRPr="008F6347" w:rsidRDefault="006E3C83">
      <w:pPr>
        <w:spacing w:after="200" w:line="276" w:lineRule="auto"/>
        <w:rPr>
          <w:rFonts w:cs="Arial"/>
          <w:kern w:val="2"/>
        </w:rPr>
      </w:pPr>
      <w:r w:rsidRPr="008F6347">
        <w:rPr>
          <w:kern w:val="2"/>
        </w:rPr>
        <w:br w:type="page"/>
      </w:r>
    </w:p>
    <w:p w14:paraId="4879124E" w14:textId="77777777" w:rsidR="00CD70E6" w:rsidRPr="008F6347" w:rsidRDefault="00CD70E6" w:rsidP="00445F1F">
      <w:pPr>
        <w:pStyle w:val="a9"/>
        <w:rPr>
          <w:rFonts w:cs="Arial"/>
          <w:kern w:val="2"/>
        </w:rPr>
      </w:pPr>
    </w:p>
    <w:p w14:paraId="67C01034" w14:textId="77777777" w:rsidR="004328DF" w:rsidRPr="008F6347" w:rsidRDefault="004328DF" w:rsidP="00445F1F">
      <w:pPr>
        <w:pStyle w:val="a9"/>
        <w:rPr>
          <w:rFonts w:cs="Arial"/>
          <w:kern w:val="2"/>
        </w:rPr>
      </w:pPr>
    </w:p>
    <w:p w14:paraId="4E3A7AE0" w14:textId="77777777" w:rsidR="004328DF" w:rsidRPr="008F6347" w:rsidRDefault="004328DF" w:rsidP="00445F1F">
      <w:pPr>
        <w:pStyle w:val="a9"/>
        <w:rPr>
          <w:rFonts w:cs="Arial"/>
          <w:kern w:val="2"/>
        </w:rPr>
      </w:pPr>
    </w:p>
    <w:p w14:paraId="3488B100" w14:textId="77777777" w:rsidR="00BB59C9" w:rsidRPr="008F6347" w:rsidRDefault="00BB59C9" w:rsidP="00445F1F">
      <w:pPr>
        <w:pStyle w:val="a9"/>
        <w:rPr>
          <w:rFonts w:cs="Arial"/>
          <w:kern w:val="2"/>
        </w:rPr>
      </w:pPr>
    </w:p>
    <w:p w14:paraId="7AFB2DBB" w14:textId="77777777" w:rsidR="00CD70E6" w:rsidRPr="008F6347" w:rsidRDefault="00CD70E6" w:rsidP="00445F1F">
      <w:pPr>
        <w:pStyle w:val="a9"/>
        <w:rPr>
          <w:kern w:val="2"/>
        </w:rPr>
      </w:pPr>
    </w:p>
    <w:p w14:paraId="11164BE2" w14:textId="77777777" w:rsidR="00726014" w:rsidRPr="008F6347" w:rsidRDefault="00726014" w:rsidP="00840F6F">
      <w:pPr>
        <w:pStyle w:val="h2"/>
        <w:rPr>
          <w:kern w:val="2"/>
          <w:sz w:val="26"/>
          <w:szCs w:val="26"/>
        </w:rPr>
      </w:pPr>
      <w:bookmarkStart w:id="8" w:name="_Toc508028205"/>
      <w:bookmarkStart w:id="9" w:name="_Toc508809541"/>
      <w:r w:rsidRPr="008F6347">
        <w:rPr>
          <w:kern w:val="2"/>
          <w:sz w:val="26"/>
          <w:szCs w:val="26"/>
        </w:rPr>
        <w:t xml:space="preserve">Крок 2. </w:t>
      </w:r>
      <w:r w:rsidRPr="008F6347">
        <w:rPr>
          <w:color w:val="202377"/>
          <w:kern w:val="2"/>
          <w:sz w:val="26"/>
          <w:szCs w:val="26"/>
        </w:rPr>
        <w:t>Вибір місця введення ін'єкції</w:t>
      </w:r>
      <w:r w:rsidRPr="008F6347">
        <w:rPr>
          <w:color w:val="202377"/>
          <w:kern w:val="2"/>
          <w:sz w:val="26"/>
          <w:szCs w:val="26"/>
          <w:vertAlign w:val="superscript"/>
        </w:rPr>
        <w:t>1</w:t>
      </w:r>
      <w:bookmarkEnd w:id="8"/>
      <w:bookmarkEnd w:id="9"/>
    </w:p>
    <w:p w14:paraId="1F69D4C7" w14:textId="77777777" w:rsidR="00726014" w:rsidRPr="008F6347" w:rsidRDefault="00726014" w:rsidP="00726014">
      <w:pPr>
        <w:rPr>
          <w:kern w:val="2"/>
        </w:rPr>
      </w:pPr>
    </w:p>
    <w:p w14:paraId="3A148832" w14:textId="7A67C8E8" w:rsidR="00726014" w:rsidRPr="00FE135F" w:rsidRDefault="00726014" w:rsidP="00726014">
      <w:pPr>
        <w:pStyle w:val="Pa7"/>
        <w:spacing w:line="240" w:lineRule="auto"/>
        <w:ind w:left="288" w:right="2009" w:hanging="288"/>
        <w:rPr>
          <w:rFonts w:ascii="Arial" w:hAnsi="Arial" w:cs="Arial"/>
          <w:color w:val="211D1E"/>
          <w:kern w:val="2"/>
          <w:sz w:val="26"/>
          <w:szCs w:val="26"/>
        </w:rPr>
      </w:pPr>
      <w:r w:rsidRPr="008F6347">
        <w:rPr>
          <w:rFonts w:ascii="Arial" w:hAnsi="Arial"/>
          <w:b/>
          <w:color w:val="428F9D"/>
          <w:kern w:val="2"/>
          <w:sz w:val="26"/>
          <w:szCs w:val="26"/>
        </w:rPr>
        <w:t>›</w:t>
      </w:r>
      <w:r w:rsidRPr="008F6347">
        <w:rPr>
          <w:kern w:val="2"/>
          <w:sz w:val="26"/>
          <w:szCs w:val="26"/>
        </w:rPr>
        <w:tab/>
      </w:r>
      <w:r w:rsidRPr="00FE135F">
        <w:rPr>
          <w:rFonts w:ascii="Arial" w:hAnsi="Arial"/>
          <w:color w:val="000000"/>
          <w:kern w:val="2"/>
          <w:sz w:val="26"/>
          <w:szCs w:val="26"/>
        </w:rPr>
        <w:t>Рекомендоване місце введення ін'єкції — середина передньої частини стегна</w:t>
      </w:r>
      <w:r w:rsidRPr="00FE135F">
        <w:rPr>
          <w:rFonts w:ascii="Arial" w:hAnsi="Arial"/>
          <w:color w:val="211D1E"/>
          <w:kern w:val="2"/>
          <w:sz w:val="26"/>
          <w:szCs w:val="26"/>
        </w:rPr>
        <w:t>. (</w:t>
      </w:r>
      <w:r w:rsidRPr="00FE135F">
        <w:rPr>
          <w:rFonts w:ascii="Arial" w:hAnsi="Arial"/>
          <w:i/>
          <w:color w:val="211D1E"/>
          <w:kern w:val="2"/>
          <w:sz w:val="26"/>
          <w:szCs w:val="26"/>
        </w:rPr>
        <w:t>Див. ілюстрацію 2.</w:t>
      </w:r>
      <w:r w:rsidRPr="00FE135F">
        <w:rPr>
          <w:rFonts w:ascii="Arial" w:hAnsi="Arial"/>
          <w:color w:val="211D1E"/>
          <w:kern w:val="2"/>
          <w:sz w:val="26"/>
          <w:szCs w:val="26"/>
        </w:rPr>
        <w:t>)</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За бажанням можна вводити препарат в</w:t>
      </w:r>
      <w:r w:rsidR="00E81B7D" w:rsidRPr="00FE135F">
        <w:rPr>
          <w:rFonts w:ascii="Arial" w:hAnsi="Arial"/>
          <w:color w:val="211D1E"/>
          <w:kern w:val="2"/>
          <w:sz w:val="26"/>
          <w:szCs w:val="26"/>
        </w:rPr>
        <w:t> </w:t>
      </w:r>
      <w:r w:rsidRPr="00FE135F">
        <w:rPr>
          <w:rFonts w:ascii="Arial" w:hAnsi="Arial"/>
          <w:color w:val="211D1E"/>
          <w:kern w:val="2"/>
          <w:sz w:val="26"/>
          <w:szCs w:val="26"/>
        </w:rPr>
        <w:t>живіт, але місце введення має бути віддалене від пупка принаймні на 5 см</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Якщо ін'єкцію </w:t>
      </w:r>
      <w:r w:rsidR="003C0CA9" w:rsidRPr="00FE135F">
        <w:rPr>
          <w:rFonts w:ascii="Arial" w:hAnsi="Arial"/>
          <w:color w:val="211D1E"/>
          <w:kern w:val="2"/>
          <w:sz w:val="26"/>
          <w:szCs w:val="26"/>
        </w:rPr>
        <w:t>пацієнту</w:t>
      </w:r>
      <w:r w:rsidRPr="00FE135F">
        <w:rPr>
          <w:rFonts w:ascii="Arial" w:hAnsi="Arial"/>
          <w:color w:val="211D1E"/>
          <w:kern w:val="2"/>
          <w:sz w:val="26"/>
          <w:szCs w:val="26"/>
        </w:rPr>
        <w:t xml:space="preserve"> робить інша людина, то можна також використовувати зовнішню частину плеча</w:t>
      </w:r>
      <w:r w:rsidRPr="00FE135F">
        <w:rPr>
          <w:rFonts w:ascii="Arial" w:hAnsi="Arial"/>
          <w:color w:val="211D1E"/>
          <w:kern w:val="2"/>
          <w:sz w:val="26"/>
          <w:szCs w:val="26"/>
          <w:vertAlign w:val="superscript"/>
        </w:rPr>
        <w:t>1</w:t>
      </w:r>
      <w:r w:rsidRPr="00FE135F">
        <w:rPr>
          <w:rFonts w:ascii="Arial" w:hAnsi="Arial"/>
          <w:color w:val="211D1E"/>
          <w:kern w:val="2"/>
          <w:sz w:val="26"/>
          <w:szCs w:val="26"/>
        </w:rPr>
        <w:t>.</w:t>
      </w:r>
    </w:p>
    <w:p w14:paraId="40B9BEF4" w14:textId="77777777" w:rsidR="00726014" w:rsidRPr="00FE135F" w:rsidRDefault="00726014" w:rsidP="00726014">
      <w:pPr>
        <w:rPr>
          <w:kern w:val="2"/>
        </w:rPr>
      </w:pPr>
    </w:p>
    <w:p w14:paraId="30DF79D9" w14:textId="48053E41" w:rsidR="00726014" w:rsidRPr="00FE135F" w:rsidRDefault="00726014" w:rsidP="00726014">
      <w:pPr>
        <w:pStyle w:val="Pa7"/>
        <w:spacing w:line="240" w:lineRule="auto"/>
        <w:ind w:left="288" w:right="2009" w:hanging="288"/>
        <w:rPr>
          <w:rFonts w:ascii="Arial" w:hAnsi="Arial" w:cs="Arial"/>
          <w:color w:val="211D1E"/>
          <w:kern w:val="2"/>
          <w:sz w:val="26"/>
          <w:szCs w:val="26"/>
        </w:rPr>
      </w:pPr>
      <w:r w:rsidRPr="00FE135F">
        <w:rPr>
          <w:rFonts w:ascii="Arial" w:hAnsi="Arial"/>
          <w:b/>
          <w:color w:val="428F9D"/>
          <w:kern w:val="2"/>
          <w:sz w:val="26"/>
          <w:szCs w:val="26"/>
        </w:rPr>
        <w:t>›</w:t>
      </w:r>
      <w:r w:rsidRPr="00FE135F">
        <w:rPr>
          <w:kern w:val="2"/>
          <w:sz w:val="26"/>
          <w:szCs w:val="26"/>
        </w:rPr>
        <w:tab/>
      </w:r>
      <w:r w:rsidRPr="00FE135F">
        <w:rPr>
          <w:rFonts w:ascii="Arial" w:hAnsi="Arial"/>
          <w:color w:val="000000"/>
          <w:kern w:val="2"/>
          <w:sz w:val="26"/>
          <w:szCs w:val="26"/>
        </w:rPr>
        <w:t>Кожну нову ін'єкцію слід вводити на відстані принаймні 3 см від місця</w:t>
      </w:r>
      <w:r w:rsidRPr="00FE135F">
        <w:rPr>
          <w:kern w:val="2"/>
          <w:sz w:val="26"/>
          <w:szCs w:val="26"/>
        </w:rPr>
        <w:t xml:space="preserve"> </w:t>
      </w:r>
      <w:r w:rsidRPr="00FE135F">
        <w:rPr>
          <w:rFonts w:ascii="Arial" w:hAnsi="Arial" w:cs="Arial"/>
          <w:kern w:val="2"/>
          <w:sz w:val="26"/>
          <w:szCs w:val="26"/>
        </w:rPr>
        <w:t>попередньої ін'єкції</w:t>
      </w:r>
      <w:r w:rsidRPr="00FE135F">
        <w:rPr>
          <w:rFonts w:ascii="Arial" w:hAnsi="Arial"/>
          <w:color w:val="211D1E"/>
          <w:kern w:val="2"/>
          <w:sz w:val="26"/>
          <w:szCs w:val="26"/>
          <w:vertAlign w:val="superscript"/>
        </w:rPr>
        <w:t>1</w:t>
      </w:r>
      <w:r w:rsidRPr="00FE135F">
        <w:rPr>
          <w:rFonts w:ascii="Arial" w:hAnsi="Arial"/>
          <w:color w:val="211D1E"/>
          <w:kern w:val="2"/>
          <w:sz w:val="26"/>
          <w:szCs w:val="26"/>
        </w:rPr>
        <w:t>. Не виконуйте ін'єкцію в болючу, забиту або ущільнену ділянку шкіри</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Не використовуйте ділянки шкіри зі шрамами або розтяжками. (Може виявитися корисним записувати </w:t>
      </w:r>
      <w:r w:rsidR="00E66BF0" w:rsidRPr="00FE135F">
        <w:rPr>
          <w:rFonts w:ascii="Arial" w:hAnsi="Arial"/>
          <w:color w:val="211D1E"/>
          <w:kern w:val="2"/>
          <w:sz w:val="26"/>
          <w:szCs w:val="26"/>
        </w:rPr>
        <w:t xml:space="preserve">інформацію про </w:t>
      </w:r>
      <w:r w:rsidRPr="00FE135F">
        <w:rPr>
          <w:rFonts w:ascii="Arial" w:hAnsi="Arial"/>
          <w:color w:val="211D1E"/>
          <w:kern w:val="2"/>
          <w:sz w:val="26"/>
          <w:szCs w:val="26"/>
        </w:rPr>
        <w:t xml:space="preserve">ділянки, </w:t>
      </w:r>
      <w:r w:rsidR="00E66BF0" w:rsidRPr="00FE135F">
        <w:rPr>
          <w:rFonts w:ascii="Arial" w:hAnsi="Arial"/>
          <w:color w:val="211D1E"/>
          <w:kern w:val="2"/>
          <w:sz w:val="26"/>
          <w:szCs w:val="26"/>
        </w:rPr>
        <w:t>в</w:t>
      </w:r>
      <w:r w:rsidRPr="00FE135F">
        <w:rPr>
          <w:rFonts w:ascii="Arial" w:hAnsi="Arial"/>
          <w:color w:val="211D1E"/>
          <w:kern w:val="2"/>
          <w:sz w:val="26"/>
          <w:szCs w:val="26"/>
        </w:rPr>
        <w:t xml:space="preserve"> які були введені попередні ін'єкції.)</w:t>
      </w:r>
      <w:r w:rsidRPr="00FE135F">
        <w:rPr>
          <w:rFonts w:ascii="Arial" w:hAnsi="Arial"/>
          <w:color w:val="211D1E"/>
          <w:kern w:val="2"/>
          <w:sz w:val="26"/>
          <w:szCs w:val="26"/>
          <w:vertAlign w:val="superscript"/>
        </w:rPr>
        <w:t>1</w:t>
      </w:r>
    </w:p>
    <w:p w14:paraId="08524032" w14:textId="77777777" w:rsidR="00726014" w:rsidRPr="00FE135F" w:rsidRDefault="00726014" w:rsidP="00726014">
      <w:pPr>
        <w:rPr>
          <w:kern w:val="2"/>
        </w:rPr>
      </w:pPr>
    </w:p>
    <w:p w14:paraId="567560C8" w14:textId="3086A645" w:rsidR="006E3C83" w:rsidRPr="008F6347" w:rsidRDefault="00726014" w:rsidP="00726014">
      <w:pPr>
        <w:pStyle w:val="Pa7"/>
        <w:spacing w:line="240" w:lineRule="auto"/>
        <w:ind w:left="288" w:right="2009" w:hanging="288"/>
        <w:rPr>
          <w:rFonts w:ascii="Arial" w:hAnsi="Arial" w:cs="Arial"/>
          <w:kern w:val="2"/>
          <w:sz w:val="26"/>
          <w:szCs w:val="26"/>
        </w:rPr>
      </w:pPr>
      <w:r w:rsidRPr="00FE135F">
        <w:rPr>
          <w:rFonts w:ascii="Arial" w:hAnsi="Arial"/>
          <w:b/>
          <w:color w:val="428F9D"/>
          <w:kern w:val="2"/>
          <w:sz w:val="26"/>
          <w:szCs w:val="26"/>
        </w:rPr>
        <w:t>›</w:t>
      </w:r>
      <w:r w:rsidRPr="00FE135F">
        <w:rPr>
          <w:kern w:val="2"/>
          <w:sz w:val="26"/>
          <w:szCs w:val="26"/>
        </w:rPr>
        <w:tab/>
      </w:r>
      <w:r w:rsidRPr="00FE135F">
        <w:rPr>
          <w:rFonts w:ascii="Arial" w:hAnsi="Arial" w:cs="Arial"/>
          <w:kern w:val="2"/>
          <w:sz w:val="26"/>
          <w:szCs w:val="26"/>
        </w:rPr>
        <w:t xml:space="preserve">Якщо </w:t>
      </w:r>
      <w:r w:rsidR="003C0CA9" w:rsidRPr="00FE135F">
        <w:rPr>
          <w:rFonts w:ascii="Arial" w:hAnsi="Arial" w:cs="Arial"/>
          <w:kern w:val="2"/>
          <w:sz w:val="26"/>
          <w:szCs w:val="26"/>
        </w:rPr>
        <w:t>пацієнт</w:t>
      </w:r>
      <w:r w:rsidRPr="00FE135F">
        <w:rPr>
          <w:rFonts w:ascii="Arial" w:hAnsi="Arial" w:cs="Arial"/>
          <w:kern w:val="2"/>
          <w:sz w:val="26"/>
          <w:szCs w:val="26"/>
        </w:rPr>
        <w:t xml:space="preserve"> хворіє на псоріаз</w:t>
      </w:r>
      <w:r w:rsidRPr="00FE135F">
        <w:rPr>
          <w:kern w:val="2"/>
          <w:sz w:val="26"/>
          <w:szCs w:val="26"/>
        </w:rPr>
        <w:t xml:space="preserve">, </w:t>
      </w:r>
      <w:r w:rsidR="00E66BF0" w:rsidRPr="00FE135F">
        <w:rPr>
          <w:rFonts w:ascii="Arial" w:hAnsi="Arial"/>
          <w:color w:val="000000"/>
          <w:kern w:val="2"/>
          <w:sz w:val="26"/>
          <w:szCs w:val="26"/>
        </w:rPr>
        <w:t>йому</w:t>
      </w:r>
      <w:r w:rsidRPr="00FE135F">
        <w:rPr>
          <w:rFonts w:ascii="Arial" w:hAnsi="Arial"/>
          <w:color w:val="000000"/>
          <w:kern w:val="2"/>
          <w:sz w:val="26"/>
          <w:szCs w:val="26"/>
        </w:rPr>
        <w:t xml:space="preserve"> слід намагатися не вводити ін'єкції безпосередньо у випуклі, ущільнені, черво</w:t>
      </w:r>
      <w:r w:rsidRPr="008F6347">
        <w:rPr>
          <w:rFonts w:ascii="Arial" w:hAnsi="Arial"/>
          <w:color w:val="000000"/>
          <w:kern w:val="2"/>
          <w:sz w:val="26"/>
          <w:szCs w:val="26"/>
        </w:rPr>
        <w:t>ні або лускаті ділянки шкіри</w:t>
      </w:r>
      <w:r w:rsidRPr="008F6347">
        <w:rPr>
          <w:rFonts w:ascii="Arial" w:hAnsi="Arial"/>
          <w:color w:val="211D1E"/>
          <w:kern w:val="2"/>
          <w:sz w:val="26"/>
          <w:szCs w:val="26"/>
          <w:vertAlign w:val="superscript"/>
        </w:rPr>
        <w:t>1</w:t>
      </w:r>
      <w:r w:rsidRPr="008F6347">
        <w:rPr>
          <w:kern w:val="2"/>
          <w:sz w:val="26"/>
          <w:szCs w:val="26"/>
        </w:rPr>
        <w:t>.</w:t>
      </w:r>
    </w:p>
    <w:p w14:paraId="700EAF58" w14:textId="77777777" w:rsidR="006E3C83" w:rsidRPr="008F6347" w:rsidRDefault="006E3C83" w:rsidP="00445F1F">
      <w:pPr>
        <w:pStyle w:val="a9"/>
        <w:rPr>
          <w:kern w:val="2"/>
        </w:rPr>
      </w:pPr>
    </w:p>
    <w:p w14:paraId="7E69C93D" w14:textId="77777777" w:rsidR="006E3C83" w:rsidRPr="008F6347" w:rsidRDefault="006E3C83" w:rsidP="00445F1F">
      <w:pPr>
        <w:pStyle w:val="a9"/>
        <w:rPr>
          <w:kern w:val="2"/>
        </w:rPr>
      </w:pPr>
    </w:p>
    <w:p w14:paraId="3B5A162E" w14:textId="77777777" w:rsidR="006E3C83" w:rsidRPr="008F6347" w:rsidRDefault="00726014" w:rsidP="00726014">
      <w:pPr>
        <w:pStyle w:val="a9"/>
        <w:shd w:val="clear" w:color="auto" w:fill="F2F2F2" w:themeFill="background1" w:themeFillShade="F2"/>
        <w:rPr>
          <w:rFonts w:cs="Arial"/>
          <w:b/>
          <w:bCs/>
          <w:color w:val="428F9D"/>
          <w:kern w:val="2"/>
          <w:sz w:val="26"/>
          <w:szCs w:val="26"/>
        </w:rPr>
      </w:pPr>
      <w:r w:rsidRPr="008F6347">
        <w:rPr>
          <w:b/>
          <w:color w:val="428F9D"/>
          <w:kern w:val="2"/>
          <w:sz w:val="26"/>
          <w:szCs w:val="26"/>
        </w:rPr>
        <w:t>Ілюстрація 2</w:t>
      </w:r>
    </w:p>
    <w:p w14:paraId="0A11C7A5" w14:textId="77777777" w:rsidR="006E3C83" w:rsidRPr="008F6347" w:rsidRDefault="006E3C83" w:rsidP="00445F1F">
      <w:pPr>
        <w:pStyle w:val="a9"/>
        <w:rPr>
          <w:kern w:val="2"/>
        </w:rPr>
      </w:pPr>
    </w:p>
    <w:p w14:paraId="6724ABC1" w14:textId="77777777" w:rsidR="006E3C83" w:rsidRPr="008F6347" w:rsidRDefault="006E3C83" w:rsidP="00445F1F">
      <w:pPr>
        <w:pStyle w:val="a9"/>
        <w:rPr>
          <w:kern w:val="2"/>
        </w:rPr>
      </w:pPr>
    </w:p>
    <w:p w14:paraId="04DDE867" w14:textId="77777777" w:rsidR="00726014" w:rsidRPr="008F6347" w:rsidRDefault="00425FC3" w:rsidP="00445F1F">
      <w:pPr>
        <w:pStyle w:val="a9"/>
        <w:rPr>
          <w:kern w:val="2"/>
        </w:rPr>
      </w:pPr>
      <w:r w:rsidRPr="008F6347">
        <w:rPr>
          <w:noProof/>
          <w:kern w:val="2"/>
          <w:lang w:bidi="ar-SA"/>
        </w:rPr>
        <w:drawing>
          <wp:inline distT="0" distB="0" distL="0" distR="0" wp14:anchorId="033F928A" wp14:editId="38E570B4">
            <wp:extent cx="6650990" cy="171640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0990" cy="1716405"/>
                    </a:xfrm>
                    <a:prstGeom prst="rect">
                      <a:avLst/>
                    </a:prstGeom>
                    <a:noFill/>
                    <a:ln>
                      <a:noFill/>
                    </a:ln>
                  </pic:spPr>
                </pic:pic>
              </a:graphicData>
            </a:graphic>
          </wp:inline>
        </w:drawing>
      </w:r>
    </w:p>
    <w:p w14:paraId="5029705D" w14:textId="77777777" w:rsidR="00425FC3" w:rsidRPr="008F6347" w:rsidRDefault="00425FC3" w:rsidP="00445F1F">
      <w:pPr>
        <w:pStyle w:val="a9"/>
        <w:rPr>
          <w:kern w:val="2"/>
        </w:rPr>
      </w:pPr>
    </w:p>
    <w:p w14:paraId="60C87B6C" w14:textId="77777777" w:rsidR="00425FC3" w:rsidRPr="008F6347" w:rsidRDefault="00425FC3" w:rsidP="00425FC3">
      <w:pPr>
        <w:pStyle w:val="a9"/>
        <w:rPr>
          <w:kern w:val="2"/>
        </w:rPr>
      </w:pPr>
    </w:p>
    <w:tbl>
      <w:tblPr>
        <w:tblW w:w="0" w:type="auto"/>
        <w:tblCellMar>
          <w:left w:w="43" w:type="dxa"/>
          <w:right w:w="43" w:type="dxa"/>
        </w:tblCellMar>
        <w:tblLook w:val="04A0" w:firstRow="1" w:lastRow="0" w:firstColumn="1" w:lastColumn="0" w:noHBand="0" w:noVBand="1"/>
      </w:tblPr>
      <w:tblGrid>
        <w:gridCol w:w="1906"/>
        <w:gridCol w:w="8649"/>
      </w:tblGrid>
      <w:tr w:rsidR="00425FC3" w:rsidRPr="008F6347" w14:paraId="67242097" w14:textId="77777777" w:rsidTr="00EC777A">
        <w:trPr>
          <w:trHeight w:val="1088"/>
        </w:trPr>
        <w:tc>
          <w:tcPr>
            <w:tcW w:w="1906" w:type="dxa"/>
            <w:tcBorders>
              <w:top w:val="single" w:sz="4" w:space="0" w:color="009999"/>
              <w:left w:val="single" w:sz="4" w:space="0" w:color="009999"/>
              <w:bottom w:val="single" w:sz="4" w:space="0" w:color="009999"/>
              <w:right w:val="single" w:sz="4" w:space="0" w:color="009999"/>
            </w:tcBorders>
            <w:vAlign w:val="center"/>
          </w:tcPr>
          <w:p w14:paraId="0633BDB2" w14:textId="77777777" w:rsidR="00425FC3" w:rsidRPr="008F6347" w:rsidRDefault="00425FC3" w:rsidP="00EC777A">
            <w:pPr>
              <w:pStyle w:val="a9"/>
              <w:ind w:left="144" w:right="144"/>
              <w:jc w:val="center"/>
              <w:rPr>
                <w:kern w:val="2"/>
              </w:rPr>
            </w:pPr>
            <w:r w:rsidRPr="008F6347">
              <w:rPr>
                <w:b/>
                <w:color w:val="428F9D"/>
                <w:kern w:val="2"/>
                <w:sz w:val="32"/>
              </w:rPr>
              <w:t>Корисна підказка</w:t>
            </w:r>
          </w:p>
        </w:tc>
        <w:tc>
          <w:tcPr>
            <w:tcW w:w="8649" w:type="dxa"/>
            <w:tcBorders>
              <w:left w:val="single" w:sz="4" w:space="0" w:color="009999"/>
            </w:tcBorders>
            <w:shd w:val="clear" w:color="auto" w:fill="F2F2F2" w:themeFill="background1" w:themeFillShade="F2"/>
            <w:vAlign w:val="center"/>
          </w:tcPr>
          <w:p w14:paraId="0A0118E1" w14:textId="7FC08311" w:rsidR="00425FC3" w:rsidRPr="008F6347" w:rsidRDefault="00425FC3" w:rsidP="00425FC3">
            <w:pPr>
              <w:pStyle w:val="a9"/>
              <w:ind w:left="128"/>
              <w:rPr>
                <w:rFonts w:cs="Arial"/>
                <w:b/>
                <w:bCs/>
                <w:i/>
                <w:iCs/>
                <w:color w:val="428F9D"/>
                <w:kern w:val="2"/>
                <w:sz w:val="22"/>
              </w:rPr>
            </w:pPr>
            <w:r w:rsidRPr="008F6347">
              <w:rPr>
                <w:b/>
                <w:i/>
                <w:color w:val="428F9D"/>
                <w:kern w:val="2"/>
                <w:sz w:val="22"/>
              </w:rPr>
              <w:t xml:space="preserve">Записуйте </w:t>
            </w:r>
            <w:r w:rsidR="00E66BF0" w:rsidRPr="001D6A6D">
              <w:rPr>
                <w:b/>
                <w:i/>
                <w:color w:val="428F9D"/>
                <w:kern w:val="2"/>
                <w:sz w:val="22"/>
                <w:highlight w:val="cyan"/>
              </w:rPr>
              <w:t>інформацію про</w:t>
            </w:r>
            <w:r w:rsidR="00E66BF0">
              <w:rPr>
                <w:b/>
                <w:i/>
                <w:color w:val="428F9D"/>
                <w:kern w:val="2"/>
                <w:sz w:val="22"/>
              </w:rPr>
              <w:t xml:space="preserve"> ділянки, в</w:t>
            </w:r>
            <w:r w:rsidRPr="008F6347">
              <w:rPr>
                <w:b/>
                <w:i/>
                <w:color w:val="428F9D"/>
                <w:kern w:val="2"/>
                <w:sz w:val="22"/>
              </w:rPr>
              <w:t xml:space="preserve"> які були введені попередні ін'єкції</w:t>
            </w:r>
            <w:r w:rsidRPr="008F6347">
              <w:rPr>
                <w:b/>
                <w:i/>
                <w:color w:val="428F9D"/>
                <w:kern w:val="2"/>
                <w:sz w:val="22"/>
                <w:vertAlign w:val="superscript"/>
              </w:rPr>
              <w:t>1</w:t>
            </w:r>
            <w:r w:rsidRPr="008F6347">
              <w:rPr>
                <w:b/>
                <w:i/>
                <w:color w:val="428F9D"/>
                <w:kern w:val="2"/>
                <w:sz w:val="22"/>
              </w:rPr>
              <w:t>.</w:t>
            </w:r>
          </w:p>
        </w:tc>
      </w:tr>
    </w:tbl>
    <w:p w14:paraId="70032B2D" w14:textId="77777777" w:rsidR="00425FC3" w:rsidRPr="008F6347" w:rsidRDefault="00425FC3" w:rsidP="00425FC3">
      <w:pPr>
        <w:pStyle w:val="a9"/>
        <w:rPr>
          <w:kern w:val="2"/>
        </w:rPr>
      </w:pPr>
    </w:p>
    <w:p w14:paraId="449C53E2" w14:textId="77777777" w:rsidR="00425FC3" w:rsidRPr="008F6347" w:rsidRDefault="00425FC3">
      <w:pPr>
        <w:spacing w:after="200" w:line="276" w:lineRule="auto"/>
        <w:rPr>
          <w:kern w:val="2"/>
        </w:rPr>
      </w:pPr>
      <w:r w:rsidRPr="008F6347">
        <w:rPr>
          <w:kern w:val="2"/>
        </w:rPr>
        <w:br w:type="page"/>
      </w:r>
    </w:p>
    <w:p w14:paraId="3C4AECBA" w14:textId="77777777" w:rsidR="00425FC3" w:rsidRPr="008F6347" w:rsidRDefault="00425FC3" w:rsidP="00445F1F">
      <w:pPr>
        <w:pStyle w:val="a9"/>
        <w:rPr>
          <w:kern w:val="2"/>
        </w:rPr>
      </w:pPr>
    </w:p>
    <w:p w14:paraId="21687D6E" w14:textId="77777777" w:rsidR="00BB59C9" w:rsidRPr="008F6347" w:rsidRDefault="00BB59C9" w:rsidP="00445F1F">
      <w:pPr>
        <w:pStyle w:val="a9"/>
        <w:rPr>
          <w:kern w:val="2"/>
        </w:rPr>
      </w:pPr>
    </w:p>
    <w:p w14:paraId="40A0A0FB" w14:textId="77777777" w:rsidR="00BB59C9" w:rsidRPr="008F6347" w:rsidRDefault="00BB59C9" w:rsidP="00445F1F">
      <w:pPr>
        <w:pStyle w:val="a9"/>
        <w:rPr>
          <w:kern w:val="2"/>
        </w:rPr>
      </w:pPr>
    </w:p>
    <w:p w14:paraId="6D4C839D" w14:textId="77777777" w:rsidR="008846D4" w:rsidRPr="008F6347" w:rsidRDefault="008846D4" w:rsidP="00445F1F">
      <w:pPr>
        <w:pStyle w:val="a9"/>
        <w:rPr>
          <w:kern w:val="2"/>
        </w:rPr>
      </w:pPr>
    </w:p>
    <w:p w14:paraId="2B621459" w14:textId="77777777" w:rsidR="008846D4" w:rsidRPr="008F6347" w:rsidRDefault="008846D4" w:rsidP="00840F6F">
      <w:pPr>
        <w:pStyle w:val="h2"/>
        <w:rPr>
          <w:kern w:val="2"/>
          <w:sz w:val="26"/>
          <w:szCs w:val="26"/>
        </w:rPr>
      </w:pPr>
      <w:bookmarkStart w:id="10" w:name="_Toc508028206"/>
      <w:bookmarkStart w:id="11" w:name="_Toc508809542"/>
      <w:r w:rsidRPr="008F6347">
        <w:rPr>
          <w:kern w:val="2"/>
          <w:sz w:val="26"/>
          <w:szCs w:val="26"/>
        </w:rPr>
        <w:t xml:space="preserve">Крок 3. </w:t>
      </w:r>
      <w:r w:rsidRPr="008F6347">
        <w:rPr>
          <w:color w:val="202377"/>
          <w:kern w:val="2"/>
          <w:sz w:val="26"/>
          <w:szCs w:val="26"/>
        </w:rPr>
        <w:t>Виконання ін'єкції розчину препарату ЕНБРЕЛ</w:t>
      </w:r>
      <w:r w:rsidRPr="008F6347">
        <w:rPr>
          <w:color w:val="202377"/>
          <w:kern w:val="2"/>
          <w:sz w:val="26"/>
          <w:szCs w:val="26"/>
          <w:vertAlign w:val="superscript"/>
        </w:rPr>
        <w:t>®1</w:t>
      </w:r>
      <w:bookmarkEnd w:id="10"/>
      <w:bookmarkEnd w:id="11"/>
    </w:p>
    <w:p w14:paraId="6CB36CFA" w14:textId="77777777" w:rsidR="008846D4" w:rsidRPr="008F6347" w:rsidRDefault="008846D4" w:rsidP="008846D4">
      <w:pPr>
        <w:rPr>
          <w:kern w:val="2"/>
        </w:rPr>
      </w:pPr>
    </w:p>
    <w:p w14:paraId="3A689A12" w14:textId="75CC0E75" w:rsidR="008846D4" w:rsidRPr="00FE135F" w:rsidRDefault="008846D4" w:rsidP="00D40B38">
      <w:pPr>
        <w:autoSpaceDE w:val="0"/>
        <w:autoSpaceDN w:val="0"/>
        <w:adjustRightInd w:val="0"/>
        <w:ind w:right="1919"/>
        <w:rPr>
          <w:rFonts w:cs="Arial"/>
          <w:color w:val="211D1E"/>
          <w:kern w:val="2"/>
          <w:sz w:val="26"/>
          <w:szCs w:val="26"/>
        </w:rPr>
      </w:pPr>
      <w:r w:rsidRPr="008F6347">
        <w:rPr>
          <w:color w:val="211D1E"/>
          <w:kern w:val="2"/>
          <w:sz w:val="26"/>
          <w:szCs w:val="26"/>
        </w:rPr>
        <w:t>Через приблизно 15–30 хвилин, протягом яких розчин у шприц-ручці нагріється до кімнатної температури, помийте руки з водою та милом</w:t>
      </w:r>
      <w:r w:rsidRPr="008F6347">
        <w:rPr>
          <w:color w:val="211D1E"/>
          <w:kern w:val="2"/>
          <w:sz w:val="26"/>
          <w:szCs w:val="26"/>
          <w:vertAlign w:val="superscript"/>
        </w:rPr>
        <w:t>1</w:t>
      </w:r>
      <w:r w:rsidRPr="008F6347">
        <w:rPr>
          <w:color w:val="211D1E"/>
          <w:kern w:val="2"/>
          <w:sz w:val="26"/>
          <w:szCs w:val="26"/>
        </w:rPr>
        <w:t xml:space="preserve">. Протріть місце введення ін'єкції спиртовою серветкою </w:t>
      </w:r>
      <w:r w:rsidRPr="00FE135F">
        <w:rPr>
          <w:color w:val="211D1E"/>
          <w:kern w:val="2"/>
          <w:sz w:val="26"/>
          <w:szCs w:val="26"/>
        </w:rPr>
        <w:t>круговими рухами й дайте йому висохнути</w:t>
      </w:r>
      <w:r w:rsidRPr="00FE135F">
        <w:rPr>
          <w:color w:val="211D1E"/>
          <w:kern w:val="2"/>
          <w:sz w:val="26"/>
          <w:szCs w:val="26"/>
          <w:vertAlign w:val="superscript"/>
        </w:rPr>
        <w:t>1</w:t>
      </w:r>
      <w:r w:rsidRPr="00FE135F">
        <w:rPr>
          <w:color w:val="211D1E"/>
          <w:kern w:val="2"/>
          <w:sz w:val="26"/>
          <w:szCs w:val="26"/>
        </w:rPr>
        <w:t>. Більше не торкайтеся цього місця перед введенням ін'єкції</w:t>
      </w:r>
      <w:r w:rsidRPr="00FE135F">
        <w:rPr>
          <w:color w:val="211D1E"/>
          <w:kern w:val="2"/>
          <w:sz w:val="26"/>
          <w:szCs w:val="26"/>
          <w:vertAlign w:val="superscript"/>
        </w:rPr>
        <w:t>1</w:t>
      </w:r>
      <w:r w:rsidRPr="00FE135F">
        <w:rPr>
          <w:color w:val="211D1E"/>
          <w:kern w:val="2"/>
          <w:sz w:val="26"/>
          <w:szCs w:val="26"/>
        </w:rPr>
        <w:t>.</w:t>
      </w:r>
    </w:p>
    <w:p w14:paraId="59EB8A11" w14:textId="77777777" w:rsidR="008846D4" w:rsidRPr="00FE135F" w:rsidRDefault="008846D4" w:rsidP="008846D4">
      <w:pPr>
        <w:pStyle w:val="a9"/>
        <w:rPr>
          <w:kern w:val="2"/>
        </w:rPr>
      </w:pPr>
    </w:p>
    <w:p w14:paraId="3C1C8CBC" w14:textId="05872EE7" w:rsidR="008846D4" w:rsidRPr="00FE135F" w:rsidRDefault="008846D4" w:rsidP="00D40B38">
      <w:pPr>
        <w:pStyle w:val="Pa7"/>
        <w:spacing w:line="240" w:lineRule="auto"/>
        <w:ind w:left="288" w:right="2009" w:hanging="288"/>
        <w:rPr>
          <w:rFonts w:ascii="Arial" w:hAnsi="Arial" w:cs="Arial"/>
          <w:color w:val="211D1E"/>
          <w:kern w:val="2"/>
          <w:sz w:val="26"/>
          <w:szCs w:val="26"/>
        </w:rPr>
      </w:pPr>
      <w:r w:rsidRPr="00FE135F">
        <w:rPr>
          <w:b/>
          <w:color w:val="428F9D"/>
          <w:kern w:val="2"/>
          <w:sz w:val="26"/>
          <w:szCs w:val="26"/>
        </w:rPr>
        <w:t>›</w:t>
      </w:r>
      <w:r w:rsidRPr="00FE135F">
        <w:rPr>
          <w:kern w:val="2"/>
          <w:sz w:val="26"/>
          <w:szCs w:val="26"/>
        </w:rPr>
        <w:tab/>
      </w:r>
      <w:r w:rsidRPr="00FE135F">
        <w:rPr>
          <w:rFonts w:ascii="Arial" w:hAnsi="Arial"/>
          <w:color w:val="000000"/>
          <w:kern w:val="2"/>
          <w:sz w:val="26"/>
          <w:szCs w:val="26"/>
        </w:rPr>
        <w:t>Візьміть МАЙ КЛІК</w:t>
      </w:r>
      <w:r w:rsidRPr="00FE135F">
        <w:rPr>
          <w:rFonts w:ascii="Arial" w:hAnsi="Arial"/>
          <w:color w:val="000000"/>
          <w:kern w:val="2"/>
          <w:sz w:val="26"/>
          <w:szCs w:val="26"/>
          <w:vertAlign w:val="superscript"/>
        </w:rPr>
        <w:t>®</w:t>
      </w:r>
      <w:r w:rsidRPr="00FE135F">
        <w:rPr>
          <w:rFonts w:ascii="Arial" w:hAnsi="Arial"/>
          <w:color w:val="000000"/>
          <w:kern w:val="2"/>
          <w:sz w:val="26"/>
          <w:szCs w:val="26"/>
        </w:rPr>
        <w:t xml:space="preserve"> і зніміть білий ковпачок голки, потягнувши за нього</w:t>
      </w:r>
      <w:r w:rsidRPr="00FE135F">
        <w:rPr>
          <w:rFonts w:ascii="Arial" w:hAnsi="Arial"/>
          <w:color w:val="211D1E"/>
          <w:kern w:val="2"/>
          <w:sz w:val="26"/>
          <w:szCs w:val="26"/>
        </w:rPr>
        <w:t xml:space="preserve"> без перекосів. </w:t>
      </w:r>
      <w:r w:rsidRPr="00FE135F">
        <w:rPr>
          <w:rFonts w:ascii="Arial" w:hAnsi="Arial"/>
          <w:i/>
          <w:color w:val="211D1E"/>
          <w:kern w:val="2"/>
          <w:sz w:val="26"/>
          <w:szCs w:val="26"/>
        </w:rPr>
        <w:t>(Див. ілюстрацію 3.)</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Щоб не пошкодити голку в</w:t>
      </w:r>
      <w:r w:rsidR="00944467" w:rsidRPr="00FE135F">
        <w:rPr>
          <w:rFonts w:ascii="Arial" w:hAnsi="Arial"/>
          <w:color w:val="211D1E"/>
          <w:kern w:val="2"/>
          <w:sz w:val="26"/>
          <w:szCs w:val="26"/>
        </w:rPr>
        <w:t xml:space="preserve"> </w:t>
      </w:r>
      <w:r w:rsidRPr="00FE135F">
        <w:rPr>
          <w:rFonts w:ascii="Arial" w:hAnsi="Arial"/>
          <w:color w:val="211D1E"/>
          <w:kern w:val="2"/>
          <w:sz w:val="26"/>
          <w:szCs w:val="26"/>
        </w:rPr>
        <w:t xml:space="preserve">середині МАЙ КЛІК, не згинайте білий ковпачок голки, коли його </w:t>
      </w:r>
      <w:r w:rsidRPr="00FE135F">
        <w:rPr>
          <w:rFonts w:ascii="Arial" w:hAnsi="Arial"/>
          <w:color w:val="211D1E"/>
          <w:spacing w:val="-2"/>
          <w:kern w:val="2"/>
          <w:sz w:val="26"/>
          <w:szCs w:val="26"/>
        </w:rPr>
        <w:t>знімаєте, і не надягайте його повторно після того, як ви зняли його</w:t>
      </w:r>
      <w:r w:rsidRPr="00FE135F">
        <w:rPr>
          <w:rFonts w:ascii="Arial" w:hAnsi="Arial"/>
          <w:color w:val="211D1E"/>
          <w:spacing w:val="-2"/>
          <w:kern w:val="2"/>
          <w:sz w:val="26"/>
          <w:szCs w:val="26"/>
          <w:vertAlign w:val="superscript"/>
        </w:rPr>
        <w:t>1</w:t>
      </w:r>
      <w:r w:rsidRPr="00FE135F">
        <w:rPr>
          <w:rFonts w:ascii="Arial" w:hAnsi="Arial"/>
          <w:color w:val="211D1E"/>
          <w:spacing w:val="-2"/>
          <w:kern w:val="2"/>
          <w:sz w:val="26"/>
          <w:szCs w:val="26"/>
        </w:rPr>
        <w:t>.</w:t>
      </w:r>
      <w:r w:rsidRPr="00FE135F">
        <w:rPr>
          <w:rFonts w:ascii="Arial" w:hAnsi="Arial"/>
          <w:color w:val="211D1E"/>
          <w:kern w:val="2"/>
          <w:sz w:val="26"/>
          <w:szCs w:val="26"/>
        </w:rPr>
        <w:t xml:space="preserve"> Після того як ви знімете білий ковпачок голки, ви побачите фіоле</w:t>
      </w:r>
      <w:r w:rsidR="00D40B38" w:rsidRPr="00FE135F">
        <w:rPr>
          <w:rFonts w:ascii="Arial" w:hAnsi="Arial"/>
          <w:color w:val="211D1E"/>
          <w:kern w:val="2"/>
          <w:sz w:val="26"/>
          <w:szCs w:val="26"/>
        </w:rPr>
        <w:softHyphen/>
      </w:r>
      <w:r w:rsidRPr="00FE135F">
        <w:rPr>
          <w:rFonts w:ascii="Arial" w:hAnsi="Arial"/>
          <w:color w:val="211D1E"/>
          <w:kern w:val="2"/>
          <w:sz w:val="26"/>
          <w:szCs w:val="26"/>
        </w:rPr>
        <w:t>товий захисний екран голки, який трохи виглядає з кінця шприц-ручки МАЙ КЛІК</w:t>
      </w:r>
      <w:r w:rsidRPr="00FE135F">
        <w:rPr>
          <w:rFonts w:ascii="Arial" w:hAnsi="Arial"/>
          <w:color w:val="211D1E"/>
          <w:kern w:val="2"/>
          <w:sz w:val="26"/>
          <w:szCs w:val="26"/>
          <w:vertAlign w:val="superscript"/>
        </w:rPr>
        <w:t>1</w:t>
      </w:r>
      <w:r w:rsidRPr="00FE135F">
        <w:rPr>
          <w:rFonts w:ascii="Arial" w:hAnsi="Arial"/>
          <w:color w:val="211D1E"/>
          <w:kern w:val="2"/>
          <w:sz w:val="26"/>
          <w:szCs w:val="26"/>
        </w:rPr>
        <w:t>. Голка буде лишатися захищеною в</w:t>
      </w:r>
      <w:r w:rsidR="00944467" w:rsidRPr="00FE135F">
        <w:rPr>
          <w:rFonts w:ascii="Arial" w:hAnsi="Arial"/>
          <w:color w:val="211D1E"/>
          <w:kern w:val="2"/>
          <w:sz w:val="26"/>
          <w:szCs w:val="26"/>
        </w:rPr>
        <w:t xml:space="preserve"> </w:t>
      </w:r>
      <w:r w:rsidRPr="00FE135F">
        <w:rPr>
          <w:rFonts w:ascii="Arial" w:hAnsi="Arial"/>
          <w:color w:val="211D1E"/>
          <w:kern w:val="2"/>
          <w:sz w:val="26"/>
          <w:szCs w:val="26"/>
        </w:rPr>
        <w:t>середині шприц-ручки до застосування останньої. Не використовуйте шприц-ручку, якщо вона впала після зняття ковпачка голки</w:t>
      </w:r>
      <w:r w:rsidRPr="00FE135F">
        <w:rPr>
          <w:rFonts w:ascii="Arial" w:hAnsi="Arial"/>
          <w:color w:val="211D1E"/>
          <w:kern w:val="2"/>
          <w:sz w:val="26"/>
          <w:szCs w:val="26"/>
          <w:vertAlign w:val="superscript"/>
        </w:rPr>
        <w:t>1</w:t>
      </w:r>
      <w:r w:rsidRPr="00FE135F">
        <w:rPr>
          <w:rFonts w:ascii="Arial" w:hAnsi="Arial"/>
          <w:color w:val="211D1E"/>
          <w:kern w:val="2"/>
          <w:sz w:val="26"/>
          <w:szCs w:val="26"/>
        </w:rPr>
        <w:t>.</w:t>
      </w:r>
    </w:p>
    <w:p w14:paraId="2E4FEAFB" w14:textId="77777777" w:rsidR="008846D4" w:rsidRPr="00FE135F" w:rsidRDefault="008846D4" w:rsidP="008846D4">
      <w:pPr>
        <w:rPr>
          <w:kern w:val="2"/>
        </w:rPr>
      </w:pPr>
    </w:p>
    <w:p w14:paraId="4AF65B20" w14:textId="6C075754" w:rsidR="008846D4" w:rsidRPr="008F6347" w:rsidRDefault="008846D4" w:rsidP="008846D4">
      <w:pPr>
        <w:pStyle w:val="Pa7"/>
        <w:spacing w:line="240" w:lineRule="auto"/>
        <w:ind w:left="288" w:right="2009" w:hanging="288"/>
        <w:rPr>
          <w:rFonts w:ascii="Arial" w:hAnsi="Arial" w:cs="Arial"/>
          <w:color w:val="211D1E"/>
          <w:kern w:val="2"/>
          <w:sz w:val="26"/>
          <w:szCs w:val="26"/>
        </w:rPr>
      </w:pPr>
      <w:r w:rsidRPr="00FE135F">
        <w:rPr>
          <w:b/>
          <w:color w:val="428F9D"/>
          <w:kern w:val="2"/>
          <w:sz w:val="26"/>
          <w:szCs w:val="26"/>
        </w:rPr>
        <w:t>›</w:t>
      </w:r>
      <w:r w:rsidRPr="00FE135F">
        <w:rPr>
          <w:kern w:val="2"/>
          <w:sz w:val="26"/>
          <w:szCs w:val="26"/>
        </w:rPr>
        <w:tab/>
      </w:r>
      <w:r w:rsidRPr="00FE135F">
        <w:rPr>
          <w:rFonts w:ascii="Arial" w:hAnsi="Arial"/>
          <w:color w:val="000000"/>
          <w:kern w:val="2"/>
          <w:sz w:val="26"/>
          <w:szCs w:val="26"/>
        </w:rPr>
        <w:t xml:space="preserve">Щоб вам було легше та зручніше виконати ін'єкцію, </w:t>
      </w:r>
      <w:r w:rsidR="00531263" w:rsidRPr="00FE135F">
        <w:rPr>
          <w:rFonts w:ascii="Arial" w:hAnsi="Arial"/>
          <w:color w:val="000000"/>
          <w:kern w:val="2"/>
          <w:sz w:val="26"/>
          <w:szCs w:val="26"/>
        </w:rPr>
        <w:t>злегка</w:t>
      </w:r>
      <w:r w:rsidRPr="00FE135F">
        <w:rPr>
          <w:rFonts w:ascii="Arial" w:hAnsi="Arial"/>
          <w:color w:val="000000"/>
          <w:kern w:val="2"/>
          <w:sz w:val="26"/>
          <w:szCs w:val="26"/>
        </w:rPr>
        <w:t xml:space="preserve"> </w:t>
      </w:r>
      <w:r w:rsidR="00531263" w:rsidRPr="00FE135F">
        <w:rPr>
          <w:rFonts w:ascii="Arial" w:hAnsi="Arial"/>
          <w:color w:val="000000"/>
          <w:kern w:val="2"/>
          <w:sz w:val="26"/>
          <w:szCs w:val="26"/>
        </w:rPr>
        <w:t>стисніть</w:t>
      </w:r>
      <w:r w:rsidRPr="00FE135F">
        <w:rPr>
          <w:rFonts w:ascii="Arial" w:hAnsi="Arial"/>
          <w:color w:val="000000"/>
          <w:kern w:val="2"/>
          <w:sz w:val="26"/>
          <w:szCs w:val="26"/>
        </w:rPr>
        <w:t xml:space="preserve"> шкіру навколо місця ін'єкції великим і вказівним пальцем вільної руки</w:t>
      </w:r>
      <w:r w:rsidRPr="00FE135F">
        <w:rPr>
          <w:rFonts w:ascii="Arial" w:hAnsi="Arial"/>
          <w:color w:val="211D1E"/>
          <w:kern w:val="2"/>
          <w:sz w:val="26"/>
          <w:szCs w:val="26"/>
          <w:vertAlign w:val="superscript"/>
        </w:rPr>
        <w:t>1</w:t>
      </w:r>
      <w:r w:rsidRPr="00FE135F">
        <w:rPr>
          <w:kern w:val="2"/>
          <w:sz w:val="26"/>
          <w:szCs w:val="26"/>
        </w:rPr>
        <w:t>.</w:t>
      </w:r>
    </w:p>
    <w:p w14:paraId="6812C073" w14:textId="77777777" w:rsidR="008846D4" w:rsidRPr="008F6347" w:rsidRDefault="008846D4" w:rsidP="008846D4">
      <w:pPr>
        <w:pStyle w:val="a9"/>
        <w:rPr>
          <w:kern w:val="2"/>
        </w:rPr>
      </w:pPr>
    </w:p>
    <w:p w14:paraId="326DF636" w14:textId="77777777" w:rsidR="008846D4" w:rsidRPr="008F6347" w:rsidRDefault="008846D4" w:rsidP="008846D4">
      <w:pPr>
        <w:pStyle w:val="a9"/>
        <w:rPr>
          <w:kern w:val="2"/>
        </w:rPr>
      </w:pPr>
    </w:p>
    <w:p w14:paraId="3F8B47D0" w14:textId="77777777" w:rsidR="00425FC3" w:rsidRPr="008F6347" w:rsidRDefault="008846D4" w:rsidP="008846D4">
      <w:pPr>
        <w:pStyle w:val="a9"/>
        <w:shd w:val="clear" w:color="auto" w:fill="F2F2F2" w:themeFill="background1" w:themeFillShade="F2"/>
        <w:ind w:right="1649"/>
        <w:rPr>
          <w:rFonts w:cs="Arial"/>
          <w:b/>
          <w:bCs/>
          <w:color w:val="428F9D"/>
          <w:kern w:val="2"/>
          <w:sz w:val="26"/>
          <w:szCs w:val="26"/>
        </w:rPr>
      </w:pPr>
      <w:r w:rsidRPr="008F6347">
        <w:rPr>
          <w:b/>
          <w:color w:val="428F9D"/>
          <w:kern w:val="2"/>
          <w:sz w:val="26"/>
          <w:szCs w:val="26"/>
        </w:rPr>
        <w:t>Ілюстрація 3</w:t>
      </w:r>
    </w:p>
    <w:p w14:paraId="5D4EDA5E" w14:textId="77777777" w:rsidR="00425FC3" w:rsidRPr="008F6347" w:rsidRDefault="00425FC3" w:rsidP="00445F1F">
      <w:pPr>
        <w:pStyle w:val="a9"/>
        <w:rPr>
          <w:kern w:val="2"/>
        </w:rPr>
      </w:pPr>
    </w:p>
    <w:p w14:paraId="351C1FE4" w14:textId="77777777" w:rsidR="00425FC3" w:rsidRPr="008F6347" w:rsidRDefault="00425FC3" w:rsidP="00445F1F">
      <w:pPr>
        <w:pStyle w:val="a9"/>
        <w:rPr>
          <w:kern w:val="2"/>
        </w:rPr>
      </w:pPr>
    </w:p>
    <w:p w14:paraId="13003C35" w14:textId="77777777" w:rsidR="008846D4" w:rsidRPr="008F6347" w:rsidRDefault="00055A3A" w:rsidP="00445F1F">
      <w:pPr>
        <w:pStyle w:val="a9"/>
        <w:rPr>
          <w:kern w:val="2"/>
        </w:rPr>
      </w:pPr>
      <w:r w:rsidRPr="008F6347">
        <w:rPr>
          <w:noProof/>
          <w:kern w:val="2"/>
          <w:lang w:bidi="ar-SA"/>
        </w:rPr>
        <mc:AlternateContent>
          <mc:Choice Requires="wpg">
            <w:drawing>
              <wp:anchor distT="0" distB="0" distL="114300" distR="114300" simplePos="0" relativeHeight="251645440" behindDoc="0" locked="0" layoutInCell="1" allowOverlap="1" wp14:anchorId="5521888D" wp14:editId="02806DEE">
                <wp:simplePos x="0" y="0"/>
                <wp:positionH relativeFrom="column">
                  <wp:posOffset>872836</wp:posOffset>
                </wp:positionH>
                <wp:positionV relativeFrom="paragraph">
                  <wp:posOffset>283886</wp:posOffset>
                </wp:positionV>
                <wp:extent cx="3716976" cy="1809118"/>
                <wp:effectExtent l="0" t="0" r="0" b="635"/>
                <wp:wrapNone/>
                <wp:docPr id="297" name="Group 297"/>
                <wp:cNvGraphicFramePr/>
                <a:graphic xmlns:a="http://schemas.openxmlformats.org/drawingml/2006/main">
                  <a:graphicData uri="http://schemas.microsoft.com/office/word/2010/wordprocessingGroup">
                    <wpg:wgp>
                      <wpg:cNvGrpSpPr/>
                      <wpg:grpSpPr>
                        <a:xfrm>
                          <a:off x="0" y="0"/>
                          <a:ext cx="3716976" cy="1809118"/>
                          <a:chOff x="0" y="0"/>
                          <a:chExt cx="3716976" cy="1809118"/>
                        </a:xfrm>
                      </wpg:grpSpPr>
                      <wps:wsp>
                        <wps:cNvPr id="295" name="Text Box 295"/>
                        <wps:cNvSpPr txBox="1">
                          <a:spLocks noChangeArrowheads="1"/>
                        </wps:cNvSpPr>
                        <wps:spPr bwMode="auto">
                          <a:xfrm>
                            <a:off x="0" y="0"/>
                            <a:ext cx="1449070" cy="230505"/>
                          </a:xfrm>
                          <a:prstGeom prst="rect">
                            <a:avLst/>
                          </a:prstGeom>
                          <a:noFill/>
                          <a:ln w="9525">
                            <a:noFill/>
                            <a:miter lim="800000"/>
                            <a:headEnd/>
                            <a:tailEnd/>
                          </a:ln>
                        </wps:spPr>
                        <wps:txbx>
                          <w:txbxContent>
                            <w:p w14:paraId="48230D3F" w14:textId="77777777" w:rsidR="00FE289C" w:rsidRPr="00055A3A" w:rsidRDefault="00FE289C" w:rsidP="00055A3A">
                              <w:pPr>
                                <w:jc w:val="center"/>
                                <w:rPr>
                                  <w:rFonts w:cs="Arial"/>
                                  <w:i/>
                                  <w:iCs/>
                                  <w:color w:val="FFFFFF" w:themeColor="background1"/>
                                  <w:sz w:val="22"/>
                                </w:rPr>
                              </w:pPr>
                              <w:r>
                                <w:rPr>
                                  <w:i/>
                                  <w:color w:val="FFFFFF" w:themeColor="background1"/>
                                  <w:sz w:val="22"/>
                                </w:rPr>
                                <w:t>Білий ковпачок голки</w:t>
                              </w:r>
                            </w:p>
                          </w:txbxContent>
                        </wps:txbx>
                        <wps:bodyPr rot="0" vert="horz" wrap="square" lIns="0" tIns="0" rIns="0" bIns="0" anchor="t" anchorCtr="0">
                          <a:noAutofit/>
                        </wps:bodyPr>
                      </wps:wsp>
                      <wps:wsp>
                        <wps:cNvPr id="296" name="Text Box 296"/>
                        <wps:cNvSpPr txBox="1">
                          <a:spLocks noChangeArrowheads="1"/>
                        </wps:cNvSpPr>
                        <wps:spPr bwMode="auto">
                          <a:xfrm>
                            <a:off x="1250723" y="1578613"/>
                            <a:ext cx="2466253" cy="230505"/>
                          </a:xfrm>
                          <a:prstGeom prst="rect">
                            <a:avLst/>
                          </a:prstGeom>
                          <a:noFill/>
                          <a:ln w="9525">
                            <a:noFill/>
                            <a:miter lim="800000"/>
                            <a:headEnd/>
                            <a:tailEnd/>
                          </a:ln>
                        </wps:spPr>
                        <wps:txbx>
                          <w:txbxContent>
                            <w:p w14:paraId="777E7232" w14:textId="77777777" w:rsidR="00FE289C" w:rsidRPr="00055A3A" w:rsidRDefault="00FE289C" w:rsidP="00055A3A">
                              <w:pPr>
                                <w:rPr>
                                  <w:rFonts w:cs="Arial"/>
                                  <w:i/>
                                  <w:iCs/>
                                  <w:color w:val="FFFFFF" w:themeColor="background1"/>
                                  <w:sz w:val="22"/>
                                </w:rPr>
                              </w:pPr>
                              <w:r>
                                <w:rPr>
                                  <w:i/>
                                  <w:color w:val="FFFFFF" w:themeColor="background1"/>
                                  <w:sz w:val="22"/>
                                </w:rPr>
                                <w:t>Фіолетовий захисний екран голки</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5521888D" id="Group 297" o:spid="_x0000_s1037" style="position:absolute;margin-left:68.75pt;margin-top:22.35pt;width:292.7pt;height:142.45pt;z-index:251645440;mso-width-relative:margin" coordsize="37169,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">
                <v:shape id="Text Box 295" o:spid="_x0000_s1038" type="#_x0000_t202" style="position:absolute;width:14490;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14:paraId="48230D3F" w14:textId="77777777" w:rsidR="00FE289C" w:rsidRPr="00055A3A" w:rsidRDefault="00FE289C" w:rsidP="00055A3A">
                        <w:pPr>
                          <w:jc w:val="center"/>
                          <w:rPr>
                            <w:rFonts w:cs="Arial"/>
                            <w:i/>
                            <w:iCs/>
                            <w:color w:val="FFFFFF" w:themeColor="background1"/>
                            <w:sz w:val="22"/>
                          </w:rPr>
                        </w:pPr>
                        <w:r>
                          <w:rPr>
                            <w:i/>
                            <w:color w:val="FFFFFF" w:themeColor="background1"/>
                            <w:sz w:val="22"/>
                          </w:rPr>
                          <w:t>Білий ковпачок голки</w:t>
                        </w:r>
                      </w:p>
                    </w:txbxContent>
                  </v:textbox>
                </v:shape>
                <v:shape id="Text Box 296" o:spid="_x0000_s1039" type="#_x0000_t202" style="position:absolute;left:12507;top:15786;width:2466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Y+8UA&#10;AADcAAAADwAAAGRycy9kb3ducmV2LnhtbESPQWvCQBSE70L/w/KE3sxGD6FGV5FSQSgUYzx4fM0+&#10;k8Xs25hdNf33bqHQ4zAz3zDL9WBbcafeG8cKpkkKgrhy2nCt4FhuJ28gfEDW2DomBT/kYb16GS0x&#10;1+7BBd0PoRYRwj5HBU0IXS6lrxqy6BPXEUfv7HqLIcq+lrrHR4TbVs7SNJMWDceFBjt6b6i6HG5W&#10;webExYe5fn3vi3NhynKe8md2Uep1PGwWIAIN4T/8195pBbN5B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Jj7xQAAANwAAAAPAAAAAAAAAAAAAAAAAJgCAABkcnMv&#10;ZG93bnJldi54bWxQSwUGAAAAAAQABAD1AAAAigMAAAAA&#10;" filled="f" stroked="f">
                  <v:textbox inset="0,0,0,0">
                    <w:txbxContent>
                      <w:p w14:paraId="777E7232" w14:textId="77777777" w:rsidR="00FE289C" w:rsidRPr="00055A3A" w:rsidRDefault="00FE289C" w:rsidP="00055A3A">
                        <w:pPr>
                          <w:rPr>
                            <w:rFonts w:cs="Arial"/>
                            <w:i/>
                            <w:iCs/>
                            <w:color w:val="FFFFFF" w:themeColor="background1"/>
                            <w:sz w:val="22"/>
                          </w:rPr>
                        </w:pPr>
                        <w:r>
                          <w:rPr>
                            <w:i/>
                            <w:color w:val="FFFFFF" w:themeColor="background1"/>
                            <w:sz w:val="22"/>
                          </w:rPr>
                          <w:t>Фіолетовий захисний екран голки</w:t>
                        </w:r>
                      </w:p>
                    </w:txbxContent>
                  </v:textbox>
                </v:shape>
              </v:group>
            </w:pict>
          </mc:Fallback>
        </mc:AlternateContent>
      </w:r>
      <w:r w:rsidRPr="008F6347">
        <w:rPr>
          <w:noProof/>
          <w:kern w:val="2"/>
          <w:lang w:bidi="ar-SA"/>
        </w:rPr>
        <w:drawing>
          <wp:inline distT="0" distB="0" distL="0" distR="0" wp14:anchorId="1405FBBC" wp14:editId="44971E96">
            <wp:extent cx="5394960" cy="233334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4960" cy="2333349"/>
                    </a:xfrm>
                    <a:prstGeom prst="rect">
                      <a:avLst/>
                    </a:prstGeom>
                    <a:noFill/>
                    <a:ln>
                      <a:noFill/>
                    </a:ln>
                  </pic:spPr>
                </pic:pic>
              </a:graphicData>
            </a:graphic>
          </wp:inline>
        </w:drawing>
      </w:r>
    </w:p>
    <w:p w14:paraId="0B127095" w14:textId="77777777" w:rsidR="008846D4" w:rsidRPr="008F6347" w:rsidRDefault="008846D4" w:rsidP="00445F1F">
      <w:pPr>
        <w:pStyle w:val="a9"/>
        <w:rPr>
          <w:kern w:val="2"/>
        </w:rPr>
      </w:pPr>
    </w:p>
    <w:p w14:paraId="5D75C7DD" w14:textId="77777777" w:rsidR="008846D4" w:rsidRPr="008F6347" w:rsidRDefault="008846D4" w:rsidP="00055A3A">
      <w:pPr>
        <w:pStyle w:val="a9"/>
        <w:rPr>
          <w:kern w:val="2"/>
        </w:rPr>
      </w:pPr>
    </w:p>
    <w:p w14:paraId="0A814AEC" w14:textId="77777777" w:rsidR="00055A3A" w:rsidRPr="008F6347" w:rsidRDefault="00055A3A" w:rsidP="00055A3A">
      <w:pPr>
        <w:pStyle w:val="a9"/>
        <w:rPr>
          <w:kern w:val="2"/>
        </w:rPr>
      </w:pPr>
    </w:p>
    <w:tbl>
      <w:tblPr>
        <w:tblW w:w="0" w:type="auto"/>
        <w:tblCellMar>
          <w:left w:w="43" w:type="dxa"/>
          <w:right w:w="43" w:type="dxa"/>
        </w:tblCellMar>
        <w:tblLook w:val="04A0" w:firstRow="1" w:lastRow="0" w:firstColumn="1" w:lastColumn="0" w:noHBand="0" w:noVBand="1"/>
      </w:tblPr>
      <w:tblGrid>
        <w:gridCol w:w="1906"/>
        <w:gridCol w:w="6993"/>
        <w:gridCol w:w="1656"/>
      </w:tblGrid>
      <w:tr w:rsidR="00055A3A" w:rsidRPr="008F6347" w14:paraId="5B357A32" w14:textId="77777777" w:rsidTr="00EC777A">
        <w:trPr>
          <w:trHeight w:val="1088"/>
        </w:trPr>
        <w:tc>
          <w:tcPr>
            <w:tcW w:w="1906" w:type="dxa"/>
            <w:tcBorders>
              <w:top w:val="single" w:sz="4" w:space="0" w:color="009999"/>
              <w:left w:val="single" w:sz="4" w:space="0" w:color="009999"/>
              <w:bottom w:val="single" w:sz="4" w:space="0" w:color="009999"/>
              <w:right w:val="single" w:sz="4" w:space="0" w:color="009999"/>
            </w:tcBorders>
            <w:vAlign w:val="center"/>
          </w:tcPr>
          <w:p w14:paraId="1D23E6D9" w14:textId="77777777" w:rsidR="00055A3A" w:rsidRPr="008F6347" w:rsidRDefault="00055A3A" w:rsidP="00EC777A">
            <w:pPr>
              <w:pStyle w:val="a9"/>
              <w:ind w:left="144" w:right="144"/>
              <w:jc w:val="center"/>
              <w:rPr>
                <w:kern w:val="2"/>
              </w:rPr>
            </w:pPr>
            <w:r w:rsidRPr="008F6347">
              <w:rPr>
                <w:b/>
                <w:color w:val="428F9D"/>
                <w:kern w:val="2"/>
                <w:sz w:val="32"/>
              </w:rPr>
              <w:t>Корисна підказка</w:t>
            </w:r>
          </w:p>
        </w:tc>
        <w:tc>
          <w:tcPr>
            <w:tcW w:w="6993" w:type="dxa"/>
            <w:tcBorders>
              <w:left w:val="single" w:sz="4" w:space="0" w:color="009999"/>
            </w:tcBorders>
            <w:shd w:val="clear" w:color="auto" w:fill="F2F2F2" w:themeFill="background1" w:themeFillShade="F2"/>
            <w:vAlign w:val="center"/>
          </w:tcPr>
          <w:p w14:paraId="055BE5A2" w14:textId="77777777" w:rsidR="00055A3A" w:rsidRPr="008F6347" w:rsidRDefault="00055A3A" w:rsidP="00055A3A">
            <w:pPr>
              <w:pStyle w:val="a9"/>
              <w:ind w:left="200" w:right="1433"/>
              <w:rPr>
                <w:kern w:val="2"/>
              </w:rPr>
            </w:pPr>
            <w:r w:rsidRPr="008F6347">
              <w:rPr>
                <w:b/>
                <w:i/>
                <w:color w:val="428F9D"/>
                <w:kern w:val="2"/>
                <w:sz w:val="22"/>
              </w:rPr>
              <w:t>Після зняття білого ковпачка голки слід негайно виконати ін'єкцію</w:t>
            </w:r>
            <w:r w:rsidRPr="008F6347">
              <w:rPr>
                <w:b/>
                <w:i/>
                <w:color w:val="428F9D"/>
                <w:kern w:val="2"/>
                <w:sz w:val="22"/>
                <w:vertAlign w:val="superscript"/>
              </w:rPr>
              <w:t>1</w:t>
            </w:r>
            <w:r w:rsidRPr="008F6347">
              <w:rPr>
                <w:b/>
                <w:i/>
                <w:color w:val="428F9D"/>
                <w:kern w:val="2"/>
                <w:sz w:val="22"/>
              </w:rPr>
              <w:t>.</w:t>
            </w:r>
          </w:p>
        </w:tc>
        <w:tc>
          <w:tcPr>
            <w:tcW w:w="1656" w:type="dxa"/>
          </w:tcPr>
          <w:p w14:paraId="31852050" w14:textId="77777777" w:rsidR="00055A3A" w:rsidRPr="008F6347" w:rsidRDefault="00055A3A" w:rsidP="00EC777A">
            <w:pPr>
              <w:pStyle w:val="a9"/>
              <w:rPr>
                <w:kern w:val="2"/>
              </w:rPr>
            </w:pPr>
          </w:p>
        </w:tc>
      </w:tr>
    </w:tbl>
    <w:p w14:paraId="2D9DC7E7" w14:textId="77777777" w:rsidR="00055A3A" w:rsidRPr="008F6347" w:rsidRDefault="00055A3A" w:rsidP="00055A3A">
      <w:pPr>
        <w:pStyle w:val="a9"/>
        <w:rPr>
          <w:kern w:val="2"/>
        </w:rPr>
      </w:pPr>
    </w:p>
    <w:p w14:paraId="190AA670" w14:textId="77777777" w:rsidR="00055A3A" w:rsidRPr="008F6347" w:rsidRDefault="00055A3A" w:rsidP="00055A3A">
      <w:pPr>
        <w:pStyle w:val="a9"/>
        <w:rPr>
          <w:kern w:val="2"/>
        </w:rPr>
      </w:pPr>
    </w:p>
    <w:p w14:paraId="489FCF09" w14:textId="77777777" w:rsidR="006C3D8E" w:rsidRPr="008F6347" w:rsidRDefault="006C3D8E">
      <w:pPr>
        <w:spacing w:after="200" w:line="276" w:lineRule="auto"/>
        <w:rPr>
          <w:kern w:val="2"/>
        </w:rPr>
      </w:pPr>
      <w:r w:rsidRPr="008F6347">
        <w:rPr>
          <w:kern w:val="2"/>
        </w:rPr>
        <w:br w:type="page"/>
      </w:r>
    </w:p>
    <w:p w14:paraId="35D65686" w14:textId="77777777" w:rsidR="008846D4" w:rsidRPr="008F6347" w:rsidRDefault="008846D4" w:rsidP="00445F1F">
      <w:pPr>
        <w:pStyle w:val="a9"/>
        <w:rPr>
          <w:kern w:val="2"/>
        </w:rPr>
      </w:pPr>
    </w:p>
    <w:p w14:paraId="7AC22CBD" w14:textId="77777777" w:rsidR="006C3D8E" w:rsidRPr="008F6347" w:rsidRDefault="006C3D8E" w:rsidP="00445F1F">
      <w:pPr>
        <w:pStyle w:val="a9"/>
        <w:rPr>
          <w:kern w:val="2"/>
        </w:rPr>
      </w:pPr>
    </w:p>
    <w:p w14:paraId="063B5B9B" w14:textId="77777777" w:rsidR="004328DF" w:rsidRPr="008F6347" w:rsidRDefault="004328DF" w:rsidP="00445F1F">
      <w:pPr>
        <w:pStyle w:val="a9"/>
        <w:rPr>
          <w:kern w:val="2"/>
        </w:rPr>
      </w:pPr>
    </w:p>
    <w:p w14:paraId="2E35F00C" w14:textId="77777777" w:rsidR="004328DF" w:rsidRPr="008F6347" w:rsidRDefault="004328DF" w:rsidP="00445F1F">
      <w:pPr>
        <w:pStyle w:val="a9"/>
        <w:rPr>
          <w:kern w:val="2"/>
        </w:rPr>
      </w:pPr>
    </w:p>
    <w:p w14:paraId="6646D2AD" w14:textId="77777777" w:rsidR="004328DF" w:rsidRPr="008F6347" w:rsidRDefault="004328DF" w:rsidP="00445F1F">
      <w:pPr>
        <w:pStyle w:val="a9"/>
        <w:rPr>
          <w:kern w:val="2"/>
        </w:rPr>
      </w:pPr>
    </w:p>
    <w:p w14:paraId="460D1A47" w14:textId="77777777" w:rsidR="00C47561" w:rsidRPr="008F6347" w:rsidRDefault="00C47561" w:rsidP="00C47561">
      <w:pPr>
        <w:autoSpaceDE w:val="0"/>
        <w:autoSpaceDN w:val="0"/>
        <w:adjustRightInd w:val="0"/>
        <w:spacing w:line="281" w:lineRule="atLeast"/>
        <w:rPr>
          <w:rFonts w:cs="Arial"/>
          <w:b/>
          <w:bCs/>
          <w:color w:val="202377"/>
          <w:kern w:val="2"/>
          <w:sz w:val="26"/>
          <w:szCs w:val="26"/>
        </w:rPr>
      </w:pPr>
      <w:r w:rsidRPr="008F6347">
        <w:rPr>
          <w:b/>
          <w:color w:val="428F9D"/>
          <w:kern w:val="2"/>
          <w:sz w:val="26"/>
          <w:szCs w:val="26"/>
        </w:rPr>
        <w:t xml:space="preserve">Крок 3. </w:t>
      </w:r>
      <w:r w:rsidRPr="008F6347">
        <w:rPr>
          <w:b/>
          <w:color w:val="202377"/>
          <w:kern w:val="2"/>
          <w:sz w:val="26"/>
          <w:szCs w:val="26"/>
        </w:rPr>
        <w:t>(продовження)</w:t>
      </w:r>
      <w:r w:rsidRPr="008F6347">
        <w:rPr>
          <w:b/>
          <w:color w:val="202377"/>
          <w:kern w:val="2"/>
          <w:sz w:val="26"/>
          <w:szCs w:val="26"/>
          <w:vertAlign w:val="superscript"/>
        </w:rPr>
        <w:t>1</w:t>
      </w:r>
    </w:p>
    <w:p w14:paraId="7FB5F10D" w14:textId="77777777" w:rsidR="00C47561" w:rsidRPr="008F6347" w:rsidRDefault="00C47561" w:rsidP="00C47561">
      <w:pPr>
        <w:autoSpaceDE w:val="0"/>
        <w:autoSpaceDN w:val="0"/>
        <w:adjustRightInd w:val="0"/>
        <w:spacing w:line="281" w:lineRule="atLeast"/>
        <w:rPr>
          <w:kern w:val="2"/>
        </w:rPr>
      </w:pPr>
    </w:p>
    <w:p w14:paraId="01ED8912" w14:textId="2A11D72D" w:rsidR="006C3D8E" w:rsidRPr="008F6347" w:rsidRDefault="00C47561" w:rsidP="00D40B38">
      <w:pPr>
        <w:pStyle w:val="Pa7"/>
        <w:spacing w:line="240" w:lineRule="auto"/>
        <w:ind w:left="288" w:right="1001" w:hanging="288"/>
        <w:rPr>
          <w:rFonts w:ascii="Arial" w:hAnsi="Arial" w:cs="Arial"/>
          <w:spacing w:val="-2"/>
          <w:kern w:val="2"/>
          <w:sz w:val="26"/>
          <w:szCs w:val="26"/>
        </w:rPr>
      </w:pPr>
      <w:r w:rsidRPr="008F6347">
        <w:rPr>
          <w:rFonts w:ascii="Arial" w:hAnsi="Arial"/>
          <w:b/>
          <w:color w:val="428F9D"/>
          <w:kern w:val="2"/>
          <w:sz w:val="26"/>
          <w:szCs w:val="26"/>
        </w:rPr>
        <w:t>›</w:t>
      </w:r>
      <w:r w:rsidRPr="008F6347">
        <w:rPr>
          <w:kern w:val="2"/>
          <w:sz w:val="26"/>
          <w:szCs w:val="26"/>
        </w:rPr>
        <w:tab/>
      </w:r>
      <w:r w:rsidRPr="008F6347">
        <w:rPr>
          <w:rFonts w:ascii="Arial" w:hAnsi="Arial"/>
          <w:color w:val="000000"/>
          <w:kern w:val="2"/>
          <w:sz w:val="26"/>
          <w:szCs w:val="26"/>
        </w:rPr>
        <w:t>Тримайте шприц-ручку МАЙ КЛІК</w:t>
      </w:r>
      <w:r w:rsidRPr="008F6347">
        <w:rPr>
          <w:rFonts w:ascii="Arial" w:hAnsi="Arial"/>
          <w:color w:val="000000"/>
          <w:kern w:val="2"/>
          <w:sz w:val="26"/>
          <w:szCs w:val="26"/>
          <w:vertAlign w:val="superscript"/>
        </w:rPr>
        <w:t>®</w:t>
      </w:r>
      <w:r w:rsidRPr="008F6347">
        <w:rPr>
          <w:rFonts w:ascii="Arial" w:hAnsi="Arial"/>
          <w:color w:val="000000"/>
          <w:kern w:val="2"/>
          <w:sz w:val="26"/>
          <w:szCs w:val="26"/>
        </w:rPr>
        <w:t xml:space="preserve"> під прямим кутом (90°) до місця введення ін'єкції. </w:t>
      </w:r>
      <w:r w:rsidRPr="00FE135F">
        <w:rPr>
          <w:rFonts w:ascii="Arial" w:hAnsi="Arial"/>
          <w:color w:val="211D1E"/>
          <w:kern w:val="2"/>
          <w:sz w:val="26"/>
          <w:szCs w:val="26"/>
        </w:rPr>
        <w:t xml:space="preserve">Відкритий кінець шприц-ручки міцно </w:t>
      </w:r>
      <w:r w:rsidRPr="00FE135F">
        <w:rPr>
          <w:rFonts w:ascii="Arial" w:hAnsi="Arial"/>
          <w:color w:val="000000"/>
          <w:kern w:val="2"/>
          <w:sz w:val="26"/>
          <w:szCs w:val="26"/>
        </w:rPr>
        <w:t>притискайте</w:t>
      </w:r>
      <w:r w:rsidRPr="00FE135F">
        <w:rPr>
          <w:rFonts w:ascii="Arial" w:hAnsi="Arial"/>
          <w:color w:val="211D1E"/>
          <w:kern w:val="2"/>
          <w:sz w:val="26"/>
          <w:szCs w:val="26"/>
        </w:rPr>
        <w:t xml:space="preserve"> до шкіри, щоб повністю проштовхнути фіолетовий захисний екран голки </w:t>
      </w:r>
      <w:r w:rsidRPr="00FE135F">
        <w:rPr>
          <w:rFonts w:ascii="Arial" w:hAnsi="Arial"/>
          <w:color w:val="211D1E"/>
          <w:spacing w:val="-2"/>
          <w:kern w:val="2"/>
          <w:sz w:val="26"/>
          <w:szCs w:val="26"/>
        </w:rPr>
        <w:t>в</w:t>
      </w:r>
      <w:r w:rsidR="00944467" w:rsidRPr="00FE135F">
        <w:rPr>
          <w:rFonts w:ascii="Arial" w:hAnsi="Arial"/>
          <w:color w:val="211D1E"/>
          <w:spacing w:val="-2"/>
          <w:kern w:val="2"/>
          <w:sz w:val="26"/>
          <w:szCs w:val="26"/>
        </w:rPr>
        <w:t xml:space="preserve"> </w:t>
      </w:r>
      <w:r w:rsidRPr="00FE135F">
        <w:rPr>
          <w:rFonts w:ascii="Arial" w:hAnsi="Arial"/>
          <w:color w:val="211D1E"/>
          <w:spacing w:val="-2"/>
          <w:kern w:val="2"/>
          <w:sz w:val="26"/>
          <w:szCs w:val="26"/>
        </w:rPr>
        <w:t>середину шприц-ручки</w:t>
      </w:r>
      <w:r w:rsidRPr="00FE135F">
        <w:rPr>
          <w:rFonts w:ascii="Arial" w:hAnsi="Arial"/>
          <w:color w:val="211D1E"/>
          <w:spacing w:val="-2"/>
          <w:kern w:val="2"/>
          <w:sz w:val="26"/>
          <w:szCs w:val="26"/>
          <w:vertAlign w:val="superscript"/>
        </w:rPr>
        <w:t>1</w:t>
      </w:r>
      <w:r w:rsidRPr="00FE135F">
        <w:rPr>
          <w:rFonts w:ascii="Arial" w:hAnsi="Arial"/>
          <w:color w:val="211D1E"/>
          <w:spacing w:val="-2"/>
          <w:kern w:val="2"/>
          <w:sz w:val="26"/>
          <w:szCs w:val="26"/>
        </w:rPr>
        <w:t xml:space="preserve">. На шкірі ви побачите легкий слід від </w:t>
      </w:r>
      <w:r w:rsidR="00944467" w:rsidRPr="00FE135F">
        <w:rPr>
          <w:rFonts w:ascii="Arial" w:hAnsi="Arial"/>
          <w:color w:val="211D1E"/>
          <w:spacing w:val="-2"/>
          <w:kern w:val="2"/>
          <w:sz w:val="26"/>
          <w:szCs w:val="26"/>
        </w:rPr>
        <w:t>натиска</w:t>
      </w:r>
      <w:r w:rsidRPr="00FE135F">
        <w:rPr>
          <w:rFonts w:ascii="Arial" w:hAnsi="Arial"/>
          <w:color w:val="211D1E"/>
          <w:spacing w:val="-2"/>
          <w:kern w:val="2"/>
          <w:sz w:val="26"/>
          <w:szCs w:val="26"/>
        </w:rPr>
        <w:t>ння</w:t>
      </w:r>
      <w:r w:rsidRPr="00FE135F">
        <w:rPr>
          <w:rFonts w:ascii="Arial" w:hAnsi="Arial"/>
          <w:color w:val="211D1E"/>
          <w:kern w:val="2"/>
          <w:sz w:val="26"/>
          <w:szCs w:val="26"/>
        </w:rPr>
        <w:t xml:space="preserve">. </w:t>
      </w:r>
      <w:r w:rsidRPr="00FE135F">
        <w:rPr>
          <w:rFonts w:ascii="Arial" w:hAnsi="Arial"/>
          <w:i/>
          <w:color w:val="211D1E"/>
          <w:spacing w:val="-2"/>
          <w:kern w:val="2"/>
          <w:sz w:val="26"/>
          <w:szCs w:val="26"/>
        </w:rPr>
        <w:t>(Див. ілюстрацію 4.)</w:t>
      </w:r>
      <w:r w:rsidRPr="00FE135F">
        <w:rPr>
          <w:rFonts w:ascii="Arial" w:hAnsi="Arial"/>
          <w:color w:val="211D1E"/>
          <w:spacing w:val="-2"/>
          <w:kern w:val="2"/>
          <w:sz w:val="26"/>
          <w:szCs w:val="26"/>
          <w:vertAlign w:val="superscript"/>
        </w:rPr>
        <w:t>1</w:t>
      </w:r>
      <w:r w:rsidRPr="00FE135F">
        <w:rPr>
          <w:rFonts w:ascii="Arial" w:hAnsi="Arial"/>
          <w:color w:val="211D1E"/>
          <w:spacing w:val="-2"/>
          <w:kern w:val="2"/>
          <w:sz w:val="26"/>
          <w:szCs w:val="26"/>
        </w:rPr>
        <w:t xml:space="preserve"> Шприц-ручку можна використовувати тільки після того,</w:t>
      </w:r>
      <w:r w:rsidRPr="00FE135F">
        <w:rPr>
          <w:rFonts w:ascii="Arial" w:hAnsi="Arial"/>
          <w:color w:val="211D1E"/>
          <w:kern w:val="2"/>
          <w:sz w:val="26"/>
          <w:szCs w:val="26"/>
        </w:rPr>
        <w:t xml:space="preserve"> </w:t>
      </w:r>
      <w:r w:rsidRPr="00FE135F">
        <w:rPr>
          <w:rFonts w:ascii="Arial" w:hAnsi="Arial"/>
          <w:color w:val="211D1E"/>
          <w:spacing w:val="-2"/>
          <w:kern w:val="2"/>
          <w:sz w:val="26"/>
          <w:szCs w:val="26"/>
        </w:rPr>
        <w:t>як фіолетовий захисний екран повністю потрапить в</w:t>
      </w:r>
      <w:r w:rsidR="00531263" w:rsidRPr="00FE135F">
        <w:rPr>
          <w:rFonts w:ascii="Arial" w:hAnsi="Arial"/>
          <w:color w:val="211D1E"/>
          <w:spacing w:val="-2"/>
          <w:kern w:val="2"/>
          <w:sz w:val="26"/>
          <w:szCs w:val="26"/>
        </w:rPr>
        <w:t xml:space="preserve"> </w:t>
      </w:r>
      <w:r w:rsidRPr="00FE135F">
        <w:rPr>
          <w:rFonts w:ascii="Arial" w:hAnsi="Arial"/>
          <w:color w:val="211D1E"/>
          <w:spacing w:val="-2"/>
          <w:kern w:val="2"/>
          <w:sz w:val="26"/>
          <w:szCs w:val="26"/>
        </w:rPr>
        <w:t>середину шприц-ручки</w:t>
      </w:r>
      <w:r w:rsidRPr="00FE135F">
        <w:rPr>
          <w:rFonts w:ascii="Arial" w:hAnsi="Arial"/>
          <w:color w:val="211D1E"/>
          <w:spacing w:val="-2"/>
          <w:kern w:val="2"/>
          <w:sz w:val="26"/>
          <w:szCs w:val="26"/>
          <w:vertAlign w:val="superscript"/>
        </w:rPr>
        <w:t>1</w:t>
      </w:r>
      <w:r w:rsidRPr="00FE135F">
        <w:rPr>
          <w:rFonts w:ascii="Arial" w:hAnsi="Arial"/>
          <w:color w:val="211D1E"/>
          <w:spacing w:val="-2"/>
          <w:kern w:val="2"/>
          <w:sz w:val="26"/>
          <w:szCs w:val="26"/>
        </w:rPr>
        <w:t>.</w:t>
      </w:r>
    </w:p>
    <w:p w14:paraId="10B02912" w14:textId="77777777" w:rsidR="006C3D8E" w:rsidRPr="008F6347" w:rsidRDefault="006C3D8E" w:rsidP="00445F1F">
      <w:pPr>
        <w:pStyle w:val="a9"/>
        <w:rPr>
          <w:kern w:val="2"/>
        </w:rPr>
      </w:pPr>
    </w:p>
    <w:tbl>
      <w:tblPr>
        <w:tblW w:w="0" w:type="auto"/>
        <w:tblCellMar>
          <w:left w:w="43" w:type="dxa"/>
          <w:right w:w="43" w:type="dxa"/>
        </w:tblCellMar>
        <w:tblLook w:val="04A0" w:firstRow="1" w:lastRow="0" w:firstColumn="1" w:lastColumn="0" w:noHBand="0" w:noVBand="1"/>
      </w:tblPr>
      <w:tblGrid>
        <w:gridCol w:w="1906"/>
        <w:gridCol w:w="8649"/>
      </w:tblGrid>
      <w:tr w:rsidR="00AA5E01" w:rsidRPr="008F6347" w14:paraId="1D3785B5" w14:textId="77777777" w:rsidTr="00EC777A">
        <w:trPr>
          <w:trHeight w:val="1304"/>
        </w:trPr>
        <w:tc>
          <w:tcPr>
            <w:tcW w:w="1906" w:type="dxa"/>
            <w:tcBorders>
              <w:top w:val="single" w:sz="4" w:space="0" w:color="009999"/>
              <w:left w:val="single" w:sz="4" w:space="0" w:color="009999"/>
              <w:bottom w:val="single" w:sz="4" w:space="0" w:color="009999"/>
              <w:right w:val="single" w:sz="4" w:space="0" w:color="009999"/>
            </w:tcBorders>
            <w:vAlign w:val="center"/>
          </w:tcPr>
          <w:p w14:paraId="51244D7D" w14:textId="77777777" w:rsidR="00AA5E01" w:rsidRPr="008F6347" w:rsidRDefault="00AA5E01" w:rsidP="00EC777A">
            <w:pPr>
              <w:pStyle w:val="a9"/>
              <w:ind w:left="144" w:right="144"/>
              <w:jc w:val="center"/>
              <w:rPr>
                <w:kern w:val="2"/>
              </w:rPr>
            </w:pPr>
            <w:r w:rsidRPr="008F6347">
              <w:rPr>
                <w:b/>
                <w:color w:val="428F9D"/>
                <w:kern w:val="2"/>
                <w:sz w:val="32"/>
              </w:rPr>
              <w:t>Корисна підказка</w:t>
            </w:r>
          </w:p>
        </w:tc>
        <w:tc>
          <w:tcPr>
            <w:tcW w:w="8649" w:type="dxa"/>
            <w:tcBorders>
              <w:left w:val="single" w:sz="4" w:space="0" w:color="009999"/>
            </w:tcBorders>
            <w:shd w:val="clear" w:color="auto" w:fill="F2F2F2" w:themeFill="background1" w:themeFillShade="F2"/>
            <w:vAlign w:val="center"/>
          </w:tcPr>
          <w:p w14:paraId="78BD9CDB" w14:textId="097894FF" w:rsidR="00AA5E01" w:rsidRPr="008F6347" w:rsidRDefault="00AA5E01" w:rsidP="00E81B7D">
            <w:pPr>
              <w:pStyle w:val="a9"/>
              <w:ind w:left="65"/>
              <w:rPr>
                <w:kern w:val="2"/>
              </w:rPr>
            </w:pPr>
            <w:r w:rsidRPr="008F6347">
              <w:rPr>
                <w:b/>
                <w:i/>
                <w:color w:val="428F9D"/>
                <w:kern w:val="2"/>
                <w:sz w:val="22"/>
              </w:rPr>
              <w:t>Зелена пускова кнопка буде заблокована, поки захисний екран повністю не</w:t>
            </w:r>
            <w:r w:rsidR="00E81B7D" w:rsidRPr="008F6347">
              <w:rPr>
                <w:b/>
                <w:i/>
                <w:color w:val="428F9D"/>
                <w:kern w:val="2"/>
                <w:sz w:val="22"/>
              </w:rPr>
              <w:t> </w:t>
            </w:r>
            <w:r w:rsidRPr="008F6347">
              <w:rPr>
                <w:b/>
                <w:i/>
                <w:color w:val="428F9D"/>
                <w:kern w:val="2"/>
                <w:sz w:val="22"/>
              </w:rPr>
              <w:t>потрапить у</w:t>
            </w:r>
            <w:r w:rsidR="00944467">
              <w:rPr>
                <w:b/>
                <w:i/>
                <w:color w:val="428F9D"/>
                <w:kern w:val="2"/>
                <w:sz w:val="22"/>
              </w:rPr>
              <w:t xml:space="preserve"> </w:t>
            </w:r>
            <w:r w:rsidRPr="008F6347">
              <w:rPr>
                <w:b/>
                <w:i/>
                <w:color w:val="428F9D"/>
                <w:kern w:val="2"/>
                <w:sz w:val="22"/>
              </w:rPr>
              <w:t>середину шприц-ручки МАЙ КЛІК</w:t>
            </w:r>
            <w:r w:rsidRPr="008F6347">
              <w:rPr>
                <w:b/>
                <w:i/>
                <w:color w:val="428F9D"/>
                <w:kern w:val="2"/>
                <w:sz w:val="22"/>
                <w:vertAlign w:val="superscript"/>
              </w:rPr>
              <w:t>1</w:t>
            </w:r>
            <w:r w:rsidRPr="008F6347">
              <w:rPr>
                <w:b/>
                <w:i/>
                <w:color w:val="428F9D"/>
                <w:kern w:val="2"/>
                <w:sz w:val="22"/>
              </w:rPr>
              <w:t>.</w:t>
            </w:r>
          </w:p>
        </w:tc>
      </w:tr>
    </w:tbl>
    <w:p w14:paraId="761125E0" w14:textId="77777777" w:rsidR="00AA5E01" w:rsidRPr="008F6347" w:rsidRDefault="00AA5E01" w:rsidP="00AA5E01">
      <w:pPr>
        <w:pStyle w:val="a9"/>
        <w:rPr>
          <w:kern w:val="2"/>
        </w:rPr>
      </w:pPr>
    </w:p>
    <w:p w14:paraId="0AE6FA44" w14:textId="77777777" w:rsidR="006C3D8E" w:rsidRPr="008F6347" w:rsidRDefault="006C3D8E" w:rsidP="00445F1F">
      <w:pPr>
        <w:pStyle w:val="a9"/>
        <w:rPr>
          <w:kern w:val="2"/>
        </w:rPr>
      </w:pPr>
    </w:p>
    <w:p w14:paraId="5A1BA7CB" w14:textId="59ABBFE4" w:rsidR="00AA5E01" w:rsidRPr="008F6347" w:rsidRDefault="00AA5E01" w:rsidP="00E81B7D">
      <w:pPr>
        <w:pStyle w:val="Pa7"/>
        <w:spacing w:line="240" w:lineRule="auto"/>
        <w:ind w:left="288" w:right="1010" w:hanging="288"/>
        <w:rPr>
          <w:rFonts w:ascii="Arial" w:hAnsi="Arial" w:cs="Arial"/>
          <w:color w:val="211D1E"/>
          <w:kern w:val="2"/>
          <w:sz w:val="26"/>
          <w:szCs w:val="26"/>
        </w:rPr>
      </w:pPr>
      <w:r w:rsidRPr="008F6347">
        <w:rPr>
          <w:rFonts w:ascii="Arial" w:hAnsi="Arial"/>
          <w:b/>
          <w:color w:val="428F9D"/>
          <w:kern w:val="2"/>
          <w:sz w:val="26"/>
          <w:szCs w:val="26"/>
        </w:rPr>
        <w:t>›</w:t>
      </w:r>
      <w:r w:rsidRPr="008F6347">
        <w:rPr>
          <w:kern w:val="2"/>
          <w:sz w:val="26"/>
          <w:szCs w:val="26"/>
        </w:rPr>
        <w:tab/>
      </w:r>
      <w:r w:rsidRPr="008F6347">
        <w:rPr>
          <w:rFonts w:ascii="Arial" w:hAnsi="Arial"/>
          <w:color w:val="000000"/>
          <w:kern w:val="2"/>
          <w:sz w:val="26"/>
          <w:szCs w:val="26"/>
        </w:rPr>
        <w:t>Коли будете міцно притискати шприц-ручку до шкіри, щоб повністю проштовхнути фіолетовий</w:t>
      </w:r>
      <w:r w:rsidRPr="008F6347">
        <w:rPr>
          <w:kern w:val="2"/>
          <w:sz w:val="26"/>
          <w:szCs w:val="26"/>
        </w:rPr>
        <w:t xml:space="preserve"> </w:t>
      </w:r>
      <w:r w:rsidRPr="00531263">
        <w:rPr>
          <w:rFonts w:ascii="Arial" w:hAnsi="Arial" w:cs="Arial"/>
          <w:kern w:val="2"/>
          <w:sz w:val="26"/>
          <w:szCs w:val="26"/>
        </w:rPr>
        <w:t>захисний екран голки всередину, для виконання</w:t>
      </w:r>
      <w:r w:rsidRPr="008F6347">
        <w:rPr>
          <w:kern w:val="2"/>
          <w:sz w:val="26"/>
          <w:szCs w:val="26"/>
        </w:rPr>
        <w:t xml:space="preserve"> </w:t>
      </w:r>
      <w:r w:rsidRPr="00531263">
        <w:rPr>
          <w:rFonts w:ascii="Arial" w:hAnsi="Arial" w:cs="Arial"/>
          <w:kern w:val="2"/>
          <w:sz w:val="26"/>
          <w:szCs w:val="26"/>
        </w:rPr>
        <w:t>ін'єкції</w:t>
      </w:r>
      <w:r w:rsidRPr="008F6347">
        <w:rPr>
          <w:kern w:val="2"/>
          <w:sz w:val="26"/>
          <w:szCs w:val="26"/>
        </w:rPr>
        <w:t xml:space="preserve"> </w:t>
      </w:r>
      <w:r w:rsidRPr="008F6347">
        <w:rPr>
          <w:rFonts w:ascii="Arial" w:hAnsi="Arial"/>
          <w:color w:val="211D1E"/>
          <w:kern w:val="2"/>
          <w:sz w:val="26"/>
          <w:szCs w:val="26"/>
        </w:rPr>
        <w:t xml:space="preserve">великим пальцем натискайте на центр зеленої пускової кнопки </w:t>
      </w:r>
      <w:r w:rsidR="00531263">
        <w:rPr>
          <w:rFonts w:ascii="Arial" w:hAnsi="Arial"/>
          <w:color w:val="211D1E"/>
          <w:kern w:val="2"/>
          <w:sz w:val="26"/>
          <w:szCs w:val="26"/>
        </w:rPr>
        <w:t>зверху</w:t>
      </w:r>
      <w:r w:rsidRPr="008F6347">
        <w:rPr>
          <w:rFonts w:ascii="Arial" w:hAnsi="Arial"/>
          <w:color w:val="211D1E"/>
          <w:kern w:val="2"/>
          <w:sz w:val="26"/>
          <w:szCs w:val="26"/>
        </w:rPr>
        <w:t xml:space="preserve"> шприц-ручки. </w:t>
      </w:r>
      <w:r w:rsidRPr="008F6347">
        <w:rPr>
          <w:rFonts w:ascii="Arial" w:hAnsi="Arial"/>
          <w:i/>
          <w:color w:val="211D1E"/>
          <w:kern w:val="2"/>
          <w:sz w:val="26"/>
          <w:szCs w:val="26"/>
        </w:rPr>
        <w:t>(Див.</w:t>
      </w:r>
      <w:r w:rsidR="00E81B7D" w:rsidRPr="008F6347">
        <w:rPr>
          <w:rFonts w:ascii="Arial" w:hAnsi="Arial"/>
          <w:i/>
          <w:color w:val="211D1E"/>
          <w:kern w:val="2"/>
          <w:sz w:val="26"/>
          <w:szCs w:val="26"/>
        </w:rPr>
        <w:t> </w:t>
      </w:r>
      <w:r w:rsidRPr="008F6347">
        <w:rPr>
          <w:rFonts w:ascii="Arial" w:hAnsi="Arial"/>
          <w:i/>
          <w:color w:val="211D1E"/>
          <w:kern w:val="2"/>
          <w:sz w:val="26"/>
          <w:szCs w:val="26"/>
        </w:rPr>
        <w:t>ілюстрацію 5.)</w:t>
      </w:r>
      <w:r w:rsidRPr="008F6347">
        <w:rPr>
          <w:rFonts w:ascii="Arial" w:hAnsi="Arial"/>
          <w:color w:val="211D1E"/>
          <w:kern w:val="2"/>
          <w:sz w:val="26"/>
          <w:szCs w:val="26"/>
          <w:vertAlign w:val="superscript"/>
        </w:rPr>
        <w:t>1</w:t>
      </w:r>
      <w:r w:rsidRPr="008F6347">
        <w:rPr>
          <w:rFonts w:ascii="Arial" w:hAnsi="Arial"/>
          <w:color w:val="211D1E"/>
          <w:kern w:val="2"/>
          <w:sz w:val="26"/>
          <w:szCs w:val="26"/>
        </w:rPr>
        <w:t xml:space="preserve"> Під час натискання на центр кнопки ви </w:t>
      </w:r>
      <w:r w:rsidRPr="00640594">
        <w:rPr>
          <w:rFonts w:ascii="Arial" w:hAnsi="Arial"/>
          <w:color w:val="211D1E"/>
          <w:kern w:val="2"/>
          <w:sz w:val="26"/>
          <w:szCs w:val="26"/>
        </w:rPr>
        <w:t>почуєте</w:t>
      </w:r>
      <w:r w:rsidRPr="008F6347">
        <w:rPr>
          <w:rFonts w:ascii="Arial" w:hAnsi="Arial"/>
          <w:color w:val="211D1E"/>
          <w:kern w:val="2"/>
          <w:sz w:val="26"/>
          <w:szCs w:val="26"/>
        </w:rPr>
        <w:t xml:space="preserve"> клацання</w:t>
      </w:r>
      <w:r w:rsidRPr="008F6347">
        <w:rPr>
          <w:rFonts w:ascii="Arial" w:hAnsi="Arial"/>
          <w:color w:val="211D1E"/>
          <w:kern w:val="2"/>
          <w:sz w:val="26"/>
          <w:szCs w:val="26"/>
          <w:vertAlign w:val="superscript"/>
        </w:rPr>
        <w:t>1</w:t>
      </w:r>
      <w:r w:rsidRPr="008F6347">
        <w:rPr>
          <w:rFonts w:ascii="Arial" w:hAnsi="Arial"/>
          <w:color w:val="211D1E"/>
          <w:kern w:val="2"/>
          <w:sz w:val="26"/>
          <w:szCs w:val="26"/>
        </w:rPr>
        <w:t>.</w:t>
      </w:r>
    </w:p>
    <w:p w14:paraId="7200ED36" w14:textId="77777777" w:rsidR="00AA5E01" w:rsidRPr="008F6347" w:rsidRDefault="00AA5E01" w:rsidP="00BB59C9">
      <w:pPr>
        <w:pStyle w:val="a9"/>
        <w:ind w:right="1010"/>
        <w:rPr>
          <w:kern w:val="2"/>
        </w:rPr>
      </w:pPr>
    </w:p>
    <w:p w14:paraId="289921FC" w14:textId="77777777" w:rsidR="00AA5E01" w:rsidRPr="008F6347" w:rsidRDefault="00AA5E01" w:rsidP="00BB59C9">
      <w:pPr>
        <w:pStyle w:val="Pa7"/>
        <w:spacing w:line="240" w:lineRule="auto"/>
        <w:ind w:left="288" w:right="1010" w:hanging="288"/>
        <w:rPr>
          <w:rFonts w:ascii="Arial" w:hAnsi="Arial" w:cs="Arial"/>
          <w:color w:val="211D1E"/>
          <w:kern w:val="2"/>
          <w:sz w:val="26"/>
          <w:szCs w:val="26"/>
        </w:rPr>
      </w:pPr>
      <w:r w:rsidRPr="008F6347">
        <w:rPr>
          <w:rFonts w:ascii="Arial" w:hAnsi="Arial"/>
          <w:b/>
          <w:color w:val="428F9D"/>
          <w:kern w:val="2"/>
          <w:sz w:val="26"/>
          <w:szCs w:val="26"/>
        </w:rPr>
        <w:t>›</w:t>
      </w:r>
      <w:r w:rsidRPr="008F6347">
        <w:rPr>
          <w:kern w:val="2"/>
          <w:sz w:val="26"/>
          <w:szCs w:val="26"/>
        </w:rPr>
        <w:tab/>
      </w:r>
      <w:r w:rsidRPr="008F6347">
        <w:rPr>
          <w:rFonts w:ascii="Arial" w:hAnsi="Arial"/>
          <w:b/>
          <w:color w:val="211D1E"/>
          <w:kern w:val="2"/>
          <w:sz w:val="26"/>
          <w:szCs w:val="26"/>
        </w:rPr>
        <w:t>Продовжуйте міцно притискати шприц-ручку МАЙ КЛІК до шкіри, поки не</w:t>
      </w:r>
      <w:r w:rsidR="00E81B7D" w:rsidRPr="008F6347">
        <w:rPr>
          <w:rFonts w:ascii="Arial" w:hAnsi="Arial"/>
          <w:b/>
          <w:color w:val="211D1E"/>
          <w:kern w:val="2"/>
          <w:sz w:val="26"/>
          <w:szCs w:val="26"/>
        </w:rPr>
        <w:t> </w:t>
      </w:r>
      <w:r w:rsidRPr="00640594">
        <w:rPr>
          <w:rFonts w:ascii="Arial" w:hAnsi="Arial"/>
          <w:b/>
          <w:color w:val="211D1E"/>
          <w:kern w:val="2"/>
          <w:sz w:val="26"/>
          <w:szCs w:val="26"/>
        </w:rPr>
        <w:t>почуєте</w:t>
      </w:r>
      <w:r w:rsidRPr="008F6347">
        <w:rPr>
          <w:rFonts w:ascii="Arial" w:hAnsi="Arial"/>
          <w:b/>
          <w:color w:val="211D1E"/>
          <w:kern w:val="2"/>
          <w:sz w:val="26"/>
          <w:szCs w:val="26"/>
        </w:rPr>
        <w:t xml:space="preserve"> друге клацання </w:t>
      </w:r>
      <w:r w:rsidRPr="008F6347">
        <w:rPr>
          <w:rFonts w:ascii="Arial" w:hAnsi="Arial"/>
          <w:color w:val="211D1E"/>
          <w:kern w:val="2"/>
          <w:sz w:val="26"/>
          <w:szCs w:val="26"/>
        </w:rPr>
        <w:t>чи впродовж 10 секунд після першого клацання (залежно від того, що трапиться першим)</w:t>
      </w:r>
      <w:r w:rsidRPr="008F6347">
        <w:rPr>
          <w:rFonts w:ascii="Arial" w:hAnsi="Arial"/>
          <w:color w:val="211D1E"/>
          <w:kern w:val="2"/>
          <w:sz w:val="26"/>
          <w:szCs w:val="26"/>
          <w:vertAlign w:val="superscript"/>
        </w:rPr>
        <w:t>1</w:t>
      </w:r>
      <w:r w:rsidRPr="008F6347">
        <w:rPr>
          <w:kern w:val="2"/>
          <w:sz w:val="26"/>
          <w:szCs w:val="26"/>
        </w:rPr>
        <w:t>.</w:t>
      </w:r>
    </w:p>
    <w:p w14:paraId="15B993A5" w14:textId="77777777" w:rsidR="00AA5E01" w:rsidRPr="008F6347" w:rsidRDefault="00AA5E01" w:rsidP="00AA5E01">
      <w:pPr>
        <w:autoSpaceDE w:val="0"/>
        <w:autoSpaceDN w:val="0"/>
        <w:adjustRightInd w:val="0"/>
        <w:spacing w:line="281" w:lineRule="atLeast"/>
        <w:rPr>
          <w:kern w:val="2"/>
        </w:rPr>
      </w:pPr>
    </w:p>
    <w:p w14:paraId="0B61E548" w14:textId="77777777" w:rsidR="00AA5E01" w:rsidRPr="008F6347" w:rsidRDefault="00AA5E01" w:rsidP="00BE6F3E">
      <w:pPr>
        <w:pStyle w:val="a9"/>
        <w:ind w:right="1469"/>
        <w:rPr>
          <w:rFonts w:cs="Arial"/>
          <w:b/>
          <w:bCs/>
          <w:i/>
          <w:iCs/>
          <w:color w:val="428F9D"/>
          <w:kern w:val="2"/>
          <w:sz w:val="16"/>
          <w:szCs w:val="16"/>
        </w:rPr>
      </w:pPr>
      <w:r w:rsidRPr="008F6347">
        <w:rPr>
          <w:b/>
          <w:i/>
          <w:color w:val="428F9D"/>
          <w:kern w:val="2"/>
          <w:sz w:val="16"/>
        </w:rPr>
        <w:t>Примітка. Якщо ви не можете розпочати ін'єкцію згідно з описом, міцно притисніть шприц-ручку до шкіри, а потім ще раз натисніть на зелену пускову кнопку</w:t>
      </w:r>
      <w:r w:rsidRPr="008F6347">
        <w:rPr>
          <w:b/>
          <w:i/>
          <w:color w:val="428F9D"/>
          <w:kern w:val="2"/>
          <w:sz w:val="16"/>
          <w:vertAlign w:val="superscript"/>
        </w:rPr>
        <w:t>1</w:t>
      </w:r>
      <w:r w:rsidRPr="008F6347">
        <w:rPr>
          <w:b/>
          <w:i/>
          <w:color w:val="428F9D"/>
          <w:kern w:val="2"/>
          <w:sz w:val="16"/>
        </w:rPr>
        <w:t>.</w:t>
      </w:r>
    </w:p>
    <w:p w14:paraId="45A5A172" w14:textId="77777777" w:rsidR="00AA5E01" w:rsidRPr="008F6347" w:rsidRDefault="00AA5E01" w:rsidP="00445F1F">
      <w:pPr>
        <w:pStyle w:val="a9"/>
        <w:rPr>
          <w:kern w:val="2"/>
        </w:rPr>
      </w:pPr>
    </w:p>
    <w:p w14:paraId="7E2F6548" w14:textId="77777777" w:rsidR="00AA5E01" w:rsidRPr="008F6347" w:rsidRDefault="00E81B7D" w:rsidP="00445F1F">
      <w:pPr>
        <w:pStyle w:val="a9"/>
        <w:rPr>
          <w:kern w:val="2"/>
        </w:rPr>
      </w:pPr>
      <w:r w:rsidRPr="008F6347">
        <w:rPr>
          <w:noProof/>
          <w:kern w:val="2"/>
          <w:lang w:bidi="ar-SA"/>
        </w:rPr>
        <mc:AlternateContent>
          <mc:Choice Requires="wps">
            <w:drawing>
              <wp:anchor distT="0" distB="0" distL="114300" distR="114300" simplePos="0" relativeHeight="251648512" behindDoc="0" locked="0" layoutInCell="1" allowOverlap="1" wp14:anchorId="747D2F50" wp14:editId="018D1391">
                <wp:simplePos x="0" y="0"/>
                <wp:positionH relativeFrom="column">
                  <wp:posOffset>4053015</wp:posOffset>
                </wp:positionH>
                <wp:positionV relativeFrom="paragraph">
                  <wp:posOffset>610870</wp:posOffset>
                </wp:positionV>
                <wp:extent cx="918606" cy="230505"/>
                <wp:effectExtent l="0" t="0" r="0"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606" cy="230505"/>
                        </a:xfrm>
                        <a:prstGeom prst="rect">
                          <a:avLst/>
                        </a:prstGeom>
                        <a:noFill/>
                        <a:ln w="9525">
                          <a:noFill/>
                          <a:miter lim="800000"/>
                          <a:headEnd/>
                          <a:tailEnd/>
                        </a:ln>
                      </wps:spPr>
                      <wps:txbx>
                        <w:txbxContent>
                          <w:p w14:paraId="38307E9F" w14:textId="77777777" w:rsidR="00FE289C" w:rsidRPr="00E81B7D" w:rsidRDefault="00FE289C" w:rsidP="00E81B7D">
                            <w:pPr>
                              <w:jc w:val="right"/>
                              <w:rPr>
                                <w:rFonts w:cs="Gotham Light"/>
                                <w:i/>
                                <w:iCs/>
                                <w:color w:val="FFFFFF"/>
                                <w:sz w:val="21"/>
                                <w:szCs w:val="21"/>
                              </w:rPr>
                            </w:pPr>
                            <w:r w:rsidRPr="00E81B7D">
                              <w:rPr>
                                <w:i/>
                                <w:color w:val="FFFFFF"/>
                                <w:sz w:val="21"/>
                                <w:szCs w:val="21"/>
                              </w:rPr>
                              <w:t>КЛАЦАННЯ</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747D2F50" id="Text Box 302" o:spid="_x0000_s1040" type="#_x0000_t202" style="position:absolute;margin-left:319.15pt;margin-top:48.1pt;width:72.35pt;height:18.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" filled="f" stroked="f">
                <v:textbox inset="0,0,0,0">
                  <w:txbxContent>
                    <w:p w14:paraId="38307E9F" w14:textId="77777777" w:rsidR="00FE289C" w:rsidRPr="00E81B7D" w:rsidRDefault="00FE289C" w:rsidP="00E81B7D">
                      <w:pPr>
                        <w:jc w:val="right"/>
                        <w:rPr>
                          <w:rFonts w:cs="Gotham Light"/>
                          <w:i/>
                          <w:iCs/>
                          <w:color w:val="FFFFFF"/>
                          <w:sz w:val="21"/>
                          <w:szCs w:val="21"/>
                        </w:rPr>
                      </w:pPr>
                      <w:r w:rsidRPr="00E81B7D">
                        <w:rPr>
                          <w:i/>
                          <w:color w:val="FFFFFF"/>
                          <w:sz w:val="21"/>
                          <w:szCs w:val="21"/>
                        </w:rPr>
                        <w:t>КЛАЦАННЯ</w:t>
                      </w:r>
                    </w:p>
                  </w:txbxContent>
                </v:textbox>
              </v:shape>
            </w:pict>
          </mc:Fallback>
        </mc:AlternateContent>
      </w:r>
      <w:r w:rsidR="00BE6F3E" w:rsidRPr="008F6347">
        <w:rPr>
          <w:noProof/>
          <w:kern w:val="2"/>
          <w:lang w:bidi="ar-SA"/>
        </w:rPr>
        <mc:AlternateContent>
          <mc:Choice Requires="wps">
            <w:drawing>
              <wp:anchor distT="0" distB="0" distL="114300" distR="114300" simplePos="0" relativeHeight="251646464" behindDoc="0" locked="0" layoutInCell="1" allowOverlap="1" wp14:anchorId="1C344CC3" wp14:editId="1D719954">
                <wp:simplePos x="0" y="0"/>
                <wp:positionH relativeFrom="column">
                  <wp:posOffset>429260</wp:posOffset>
                </wp:positionH>
                <wp:positionV relativeFrom="paragraph">
                  <wp:posOffset>1598769</wp:posOffset>
                </wp:positionV>
                <wp:extent cx="246380" cy="184785"/>
                <wp:effectExtent l="0" t="0" r="1270" b="571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184785"/>
                        </a:xfrm>
                        <a:prstGeom prst="rect">
                          <a:avLst/>
                        </a:prstGeom>
                        <a:noFill/>
                        <a:ln w="9525">
                          <a:noFill/>
                          <a:miter lim="800000"/>
                          <a:headEnd/>
                          <a:tailEnd/>
                        </a:ln>
                      </wps:spPr>
                      <wps:txbx>
                        <w:txbxContent>
                          <w:p w14:paraId="5485E067" w14:textId="77777777" w:rsidR="00FE289C" w:rsidRPr="002809B3" w:rsidRDefault="00FE289C" w:rsidP="002809B3">
                            <w:pPr>
                              <w:autoSpaceDE w:val="0"/>
                              <w:autoSpaceDN w:val="0"/>
                              <w:adjustRightInd w:val="0"/>
                              <w:rPr>
                                <w:rFonts w:cs="Arial"/>
                                <w:b/>
                                <w:bCs/>
                                <w:color w:val="202377"/>
                                <w:sz w:val="23"/>
                                <w:szCs w:val="23"/>
                              </w:rPr>
                            </w:pPr>
                            <w:r>
                              <w:rPr>
                                <w:b/>
                                <w:color w:val="202377"/>
                                <w:sz w:val="23"/>
                              </w:rPr>
                              <w:t>90°</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1C344CC3" id="Text Box 300" o:spid="_x0000_s1041" type="#_x0000_t202" style="position:absolute;margin-left:33.8pt;margin-top:125.9pt;width:19.4pt;height:14.5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" filled="f" stroked="f">
                <v:textbox inset="0,0,0,0">
                  <w:txbxContent>
                    <w:p w14:paraId="5485E067" w14:textId="77777777" w:rsidR="00FE289C" w:rsidRPr="002809B3" w:rsidRDefault="00FE289C" w:rsidP="002809B3">
                      <w:pPr>
                        <w:autoSpaceDE w:val="0"/>
                        <w:autoSpaceDN w:val="0"/>
                        <w:adjustRightInd w:val="0"/>
                        <w:rPr>
                          <w:rFonts w:cs="Arial"/>
                          <w:b/>
                          <w:bCs/>
                          <w:color w:val="202377"/>
                          <w:sz w:val="23"/>
                          <w:szCs w:val="23"/>
                        </w:rPr>
                      </w:pPr>
                      <w:r>
                        <w:rPr>
                          <w:b/>
                          <w:color w:val="202377"/>
                          <w:sz w:val="23"/>
                        </w:rPr>
                        <w:t>90°</w:t>
                      </w:r>
                    </w:p>
                  </w:txbxContent>
                </v:textbox>
              </v:shape>
            </w:pict>
          </mc:Fallback>
        </mc:AlternateContent>
      </w:r>
      <w:r w:rsidR="00BE6F3E" w:rsidRPr="008F6347">
        <w:rPr>
          <w:noProof/>
          <w:kern w:val="2"/>
          <w:lang w:bidi="ar-SA"/>
        </w:rPr>
        <mc:AlternateContent>
          <mc:Choice Requires="wps">
            <w:drawing>
              <wp:anchor distT="0" distB="0" distL="114300" distR="114300" simplePos="0" relativeHeight="251649536" behindDoc="0" locked="0" layoutInCell="1" allowOverlap="1" wp14:anchorId="2A13EB3E" wp14:editId="593482CD">
                <wp:simplePos x="0" y="0"/>
                <wp:positionH relativeFrom="column">
                  <wp:posOffset>3130814</wp:posOffset>
                </wp:positionH>
                <wp:positionV relativeFrom="paragraph">
                  <wp:posOffset>92075</wp:posOffset>
                </wp:positionV>
                <wp:extent cx="2466975" cy="230505"/>
                <wp:effectExtent l="0" t="0" r="9525" b="0"/>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30505"/>
                        </a:xfrm>
                        <a:prstGeom prst="rect">
                          <a:avLst/>
                        </a:prstGeom>
                        <a:noFill/>
                        <a:ln w="9525">
                          <a:noFill/>
                          <a:miter lim="800000"/>
                          <a:headEnd/>
                          <a:tailEnd/>
                        </a:ln>
                      </wps:spPr>
                      <wps:txbx>
                        <w:txbxContent>
                          <w:p w14:paraId="7D1FDE95" w14:textId="77777777" w:rsidR="00FE289C" w:rsidRPr="00D40B38" w:rsidRDefault="00FE289C" w:rsidP="00EC777A">
                            <w:pPr>
                              <w:rPr>
                                <w:rFonts w:cs="Arial"/>
                                <w:b/>
                                <w:bCs/>
                                <w:color w:val="428F9D"/>
                                <w:sz w:val="26"/>
                                <w:szCs w:val="26"/>
                              </w:rPr>
                            </w:pPr>
                            <w:r w:rsidRPr="00D40B38">
                              <w:rPr>
                                <w:b/>
                                <w:color w:val="428F9D"/>
                                <w:sz w:val="26"/>
                                <w:szCs w:val="26"/>
                              </w:rPr>
                              <w:t>Ілюстрація 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2A13EB3E" id="Text Box 303" o:spid="_x0000_s1042" type="#_x0000_t202" style="position:absolute;margin-left:246.5pt;margin-top:7.25pt;width:194.25pt;height:18.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" filled="f" stroked="f">
                <v:textbox inset="0,0,0,0">
                  <w:txbxContent>
                    <w:p w14:paraId="7D1FDE95" w14:textId="77777777" w:rsidR="00FE289C" w:rsidRPr="00D40B38" w:rsidRDefault="00FE289C" w:rsidP="00EC777A">
                      <w:pPr>
                        <w:rPr>
                          <w:rFonts w:cs="Arial"/>
                          <w:b/>
                          <w:bCs/>
                          <w:color w:val="428F9D"/>
                          <w:sz w:val="26"/>
                          <w:szCs w:val="26"/>
                        </w:rPr>
                      </w:pPr>
                      <w:r w:rsidRPr="00D40B38">
                        <w:rPr>
                          <w:b/>
                          <w:color w:val="428F9D"/>
                          <w:sz w:val="26"/>
                          <w:szCs w:val="26"/>
                        </w:rPr>
                        <w:t>Ілюстрація 5</w:t>
                      </w:r>
                    </w:p>
                  </w:txbxContent>
                </v:textbox>
              </v:shape>
            </w:pict>
          </mc:Fallback>
        </mc:AlternateContent>
      </w:r>
      <w:r w:rsidR="00BE6F3E" w:rsidRPr="008F6347">
        <w:rPr>
          <w:noProof/>
          <w:kern w:val="2"/>
          <w:lang w:bidi="ar-SA"/>
        </w:rPr>
        <mc:AlternateContent>
          <mc:Choice Requires="wps">
            <w:drawing>
              <wp:anchor distT="0" distB="0" distL="114300" distR="114300" simplePos="0" relativeHeight="251647488" behindDoc="0" locked="0" layoutInCell="1" allowOverlap="1" wp14:anchorId="4E8AC96D" wp14:editId="3D5E3FC0">
                <wp:simplePos x="0" y="0"/>
                <wp:positionH relativeFrom="column">
                  <wp:posOffset>59954</wp:posOffset>
                </wp:positionH>
                <wp:positionV relativeFrom="paragraph">
                  <wp:posOffset>91440</wp:posOffset>
                </wp:positionV>
                <wp:extent cx="2466975" cy="230505"/>
                <wp:effectExtent l="0" t="0" r="9525"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30505"/>
                        </a:xfrm>
                        <a:prstGeom prst="rect">
                          <a:avLst/>
                        </a:prstGeom>
                        <a:noFill/>
                        <a:ln w="9525">
                          <a:noFill/>
                          <a:miter lim="800000"/>
                          <a:headEnd/>
                          <a:tailEnd/>
                        </a:ln>
                      </wps:spPr>
                      <wps:txbx>
                        <w:txbxContent>
                          <w:p w14:paraId="1A78160B" w14:textId="77777777" w:rsidR="00FE289C" w:rsidRPr="00D40B38" w:rsidRDefault="00FE289C" w:rsidP="00EC777A">
                            <w:pPr>
                              <w:rPr>
                                <w:rFonts w:cs="Arial"/>
                                <w:b/>
                                <w:bCs/>
                                <w:color w:val="428F9D"/>
                                <w:sz w:val="26"/>
                                <w:szCs w:val="26"/>
                              </w:rPr>
                            </w:pPr>
                            <w:r w:rsidRPr="00D40B38">
                              <w:rPr>
                                <w:b/>
                                <w:color w:val="428F9D"/>
                                <w:sz w:val="26"/>
                                <w:szCs w:val="26"/>
                              </w:rPr>
                              <w:t>Ілюстрація 4</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4E8AC96D" id="Text Box 301" o:spid="_x0000_s1043" type="#_x0000_t202" style="position:absolute;margin-left:4.7pt;margin-top:7.2pt;width:194.25pt;height:18.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" filled="f" stroked="f">
                <v:textbox inset="0,0,0,0">
                  <w:txbxContent>
                    <w:p w14:paraId="1A78160B" w14:textId="77777777" w:rsidR="00FE289C" w:rsidRPr="00D40B38" w:rsidRDefault="00FE289C" w:rsidP="00EC777A">
                      <w:pPr>
                        <w:rPr>
                          <w:rFonts w:cs="Arial"/>
                          <w:b/>
                          <w:bCs/>
                          <w:color w:val="428F9D"/>
                          <w:sz w:val="26"/>
                          <w:szCs w:val="26"/>
                        </w:rPr>
                      </w:pPr>
                      <w:r w:rsidRPr="00D40B38">
                        <w:rPr>
                          <w:b/>
                          <w:color w:val="428F9D"/>
                          <w:sz w:val="26"/>
                          <w:szCs w:val="26"/>
                        </w:rPr>
                        <w:t>Ілюстрація 4</w:t>
                      </w:r>
                    </w:p>
                  </w:txbxContent>
                </v:textbox>
              </v:shape>
            </w:pict>
          </mc:Fallback>
        </mc:AlternateContent>
      </w:r>
      <w:r w:rsidR="00BE6F3E" w:rsidRPr="008F6347">
        <w:rPr>
          <w:noProof/>
          <w:kern w:val="2"/>
          <w:lang w:bidi="ar-SA"/>
        </w:rPr>
        <w:drawing>
          <wp:inline distT="0" distB="0" distL="0" distR="0" wp14:anchorId="63C08AD4" wp14:editId="6C9ADE4D">
            <wp:extent cx="5760720" cy="269366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2693660"/>
                    </a:xfrm>
                    <a:prstGeom prst="rect">
                      <a:avLst/>
                    </a:prstGeom>
                    <a:noFill/>
                    <a:ln>
                      <a:noFill/>
                    </a:ln>
                  </pic:spPr>
                </pic:pic>
              </a:graphicData>
            </a:graphic>
          </wp:inline>
        </w:drawing>
      </w:r>
    </w:p>
    <w:tbl>
      <w:tblPr>
        <w:tblW w:w="0" w:type="auto"/>
        <w:tblLook w:val="04A0" w:firstRow="1" w:lastRow="0" w:firstColumn="1" w:lastColumn="0" w:noHBand="0" w:noVBand="1"/>
      </w:tblPr>
      <w:tblGrid>
        <w:gridCol w:w="4365"/>
        <w:gridCol w:w="522"/>
        <w:gridCol w:w="4248"/>
        <w:gridCol w:w="1550"/>
      </w:tblGrid>
      <w:tr w:rsidR="00BE6F3E" w:rsidRPr="008F6347" w14:paraId="3C5D54FA" w14:textId="77777777" w:rsidTr="00BE6F3E">
        <w:tc>
          <w:tcPr>
            <w:tcW w:w="4365" w:type="dxa"/>
          </w:tcPr>
          <w:p w14:paraId="7B4D774F" w14:textId="71F89E3A" w:rsidR="00BE6F3E" w:rsidRPr="008F6347" w:rsidRDefault="00BE6F3E" w:rsidP="00E81B7D">
            <w:pPr>
              <w:pStyle w:val="a9"/>
              <w:spacing w:before="60"/>
              <w:jc w:val="center"/>
              <w:rPr>
                <w:kern w:val="2"/>
              </w:rPr>
            </w:pPr>
            <w:r w:rsidRPr="008F6347">
              <w:rPr>
                <w:i/>
                <w:color w:val="211D1E"/>
                <w:kern w:val="2"/>
                <w:sz w:val="23"/>
              </w:rPr>
              <w:t xml:space="preserve">Фіолетовий захисний екран голки повністю зник </w:t>
            </w:r>
            <w:r w:rsidRPr="00944467">
              <w:rPr>
                <w:i/>
                <w:color w:val="211D1E"/>
                <w:kern w:val="2"/>
                <w:sz w:val="23"/>
                <w:highlight w:val="cyan"/>
              </w:rPr>
              <w:t>у</w:t>
            </w:r>
            <w:r w:rsidR="00944467">
              <w:rPr>
                <w:i/>
                <w:color w:val="211D1E"/>
                <w:kern w:val="2"/>
                <w:sz w:val="23"/>
              </w:rPr>
              <w:t xml:space="preserve"> </w:t>
            </w:r>
            <w:r w:rsidRPr="008F6347">
              <w:rPr>
                <w:i/>
                <w:color w:val="211D1E"/>
                <w:kern w:val="2"/>
                <w:sz w:val="23"/>
              </w:rPr>
              <w:t>середині шприц-ручки</w:t>
            </w:r>
          </w:p>
        </w:tc>
        <w:tc>
          <w:tcPr>
            <w:tcW w:w="522" w:type="dxa"/>
          </w:tcPr>
          <w:p w14:paraId="65E71126" w14:textId="77777777" w:rsidR="00BE6F3E" w:rsidRPr="008F6347" w:rsidRDefault="00BE6F3E" w:rsidP="00445F1F">
            <w:pPr>
              <w:pStyle w:val="a9"/>
              <w:rPr>
                <w:kern w:val="2"/>
              </w:rPr>
            </w:pPr>
          </w:p>
        </w:tc>
        <w:tc>
          <w:tcPr>
            <w:tcW w:w="4248" w:type="dxa"/>
          </w:tcPr>
          <w:p w14:paraId="6C89DDF5" w14:textId="77777777" w:rsidR="00BE6F3E" w:rsidRPr="008F6347" w:rsidRDefault="00BE6F3E" w:rsidP="00E81B7D">
            <w:pPr>
              <w:pStyle w:val="a9"/>
              <w:spacing w:before="60"/>
              <w:jc w:val="center"/>
              <w:rPr>
                <w:kern w:val="2"/>
              </w:rPr>
            </w:pPr>
            <w:r w:rsidRPr="008F6347">
              <w:rPr>
                <w:i/>
                <w:color w:val="211D1E"/>
                <w:kern w:val="2"/>
                <w:sz w:val="23"/>
              </w:rPr>
              <w:t>Натисніть на центр зеленої пускової кнопки</w:t>
            </w:r>
          </w:p>
        </w:tc>
        <w:tc>
          <w:tcPr>
            <w:tcW w:w="1550" w:type="dxa"/>
          </w:tcPr>
          <w:p w14:paraId="0014E337" w14:textId="77777777" w:rsidR="00BE6F3E" w:rsidRPr="008F6347" w:rsidRDefault="00BE6F3E" w:rsidP="00445F1F">
            <w:pPr>
              <w:pStyle w:val="a9"/>
              <w:rPr>
                <w:kern w:val="2"/>
              </w:rPr>
            </w:pPr>
          </w:p>
        </w:tc>
      </w:tr>
    </w:tbl>
    <w:p w14:paraId="6391C3CD" w14:textId="77777777" w:rsidR="000E24D7" w:rsidRPr="008F6347" w:rsidRDefault="000E24D7">
      <w:pPr>
        <w:spacing w:after="200" w:line="276" w:lineRule="auto"/>
        <w:rPr>
          <w:kern w:val="2"/>
        </w:rPr>
      </w:pPr>
      <w:r w:rsidRPr="008F6347">
        <w:rPr>
          <w:kern w:val="2"/>
        </w:rPr>
        <w:br w:type="page"/>
      </w:r>
    </w:p>
    <w:p w14:paraId="6A1173CD" w14:textId="77777777" w:rsidR="00AA5E01" w:rsidRPr="008F6347" w:rsidRDefault="00AA5E01" w:rsidP="00445F1F">
      <w:pPr>
        <w:pStyle w:val="a9"/>
        <w:rPr>
          <w:kern w:val="2"/>
        </w:rPr>
      </w:pPr>
    </w:p>
    <w:p w14:paraId="3A9461A1" w14:textId="77777777" w:rsidR="000E24D7" w:rsidRPr="008F6347" w:rsidRDefault="004552FA" w:rsidP="00445F1F">
      <w:pPr>
        <w:pStyle w:val="a9"/>
        <w:rPr>
          <w:kern w:val="2"/>
        </w:rPr>
      </w:pPr>
      <w:r w:rsidRPr="008F6347">
        <w:rPr>
          <w:noProof/>
          <w:kern w:val="2"/>
          <w:lang w:bidi="ar-SA"/>
        </w:rPr>
        <mc:AlternateContent>
          <mc:Choice Requires="wps">
            <w:drawing>
              <wp:anchor distT="0" distB="0" distL="114300" distR="114300" simplePos="0" relativeHeight="251677184" behindDoc="0" locked="0" layoutInCell="1" allowOverlap="1" wp14:anchorId="0C4F1069" wp14:editId="503536EE">
                <wp:simplePos x="0" y="0"/>
                <wp:positionH relativeFrom="column">
                  <wp:posOffset>6269371</wp:posOffset>
                </wp:positionH>
                <wp:positionV relativeFrom="paragraph">
                  <wp:posOffset>40747</wp:posOffset>
                </wp:positionV>
                <wp:extent cx="0" cy="8597265"/>
                <wp:effectExtent l="0" t="0" r="19050" b="13335"/>
                <wp:wrapNone/>
                <wp:docPr id="335" name="Straight Connector 335"/>
                <wp:cNvGraphicFramePr/>
                <a:graphic xmlns:a="http://schemas.openxmlformats.org/drawingml/2006/main">
                  <a:graphicData uri="http://schemas.microsoft.com/office/word/2010/wordprocessingShape">
                    <wps:wsp>
                      <wps:cNvCnPr/>
                      <wps:spPr>
                        <a:xfrm>
                          <a:off x="0" y="0"/>
                          <a:ext cx="0" cy="859726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6F913E" id="Straight Connector 335"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65pt,3.2pt" to="493.65pt,6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" strokecolor="white [3212]" strokeweight="1.5pt"/>
            </w:pict>
          </mc:Fallback>
        </mc:AlternateContent>
      </w:r>
    </w:p>
    <w:p w14:paraId="69723561" w14:textId="77777777" w:rsidR="000E24D7" w:rsidRPr="008F6347" w:rsidRDefault="000E24D7" w:rsidP="00445F1F">
      <w:pPr>
        <w:pStyle w:val="a9"/>
        <w:rPr>
          <w:kern w:val="2"/>
        </w:rPr>
      </w:pPr>
    </w:p>
    <w:p w14:paraId="5D76A68C" w14:textId="77777777" w:rsidR="00135079" w:rsidRPr="008F6347" w:rsidRDefault="00135079" w:rsidP="00135079">
      <w:pPr>
        <w:rPr>
          <w:kern w:val="2"/>
        </w:rPr>
      </w:pPr>
    </w:p>
    <w:p w14:paraId="2BE040AC" w14:textId="4199AA36" w:rsidR="00135079" w:rsidRPr="008F6347" w:rsidRDefault="00135079" w:rsidP="00D40B38">
      <w:pPr>
        <w:pStyle w:val="Pa7"/>
        <w:spacing w:line="240" w:lineRule="auto"/>
        <w:ind w:left="288" w:right="2009" w:hanging="288"/>
        <w:rPr>
          <w:rFonts w:ascii="Arial" w:hAnsi="Arial" w:cs="Arial"/>
          <w:color w:val="211D1E"/>
          <w:kern w:val="2"/>
          <w:sz w:val="26"/>
          <w:szCs w:val="26"/>
        </w:rPr>
      </w:pPr>
      <w:r w:rsidRPr="008F6347">
        <w:rPr>
          <w:rFonts w:ascii="Arial" w:hAnsi="Arial"/>
          <w:b/>
          <w:color w:val="428F9D"/>
          <w:kern w:val="2"/>
          <w:sz w:val="26"/>
          <w:szCs w:val="26"/>
        </w:rPr>
        <w:t>›</w:t>
      </w:r>
      <w:r w:rsidRPr="008F6347">
        <w:rPr>
          <w:kern w:val="2"/>
          <w:sz w:val="26"/>
          <w:szCs w:val="26"/>
        </w:rPr>
        <w:tab/>
      </w:r>
      <w:r w:rsidRPr="008F6347">
        <w:rPr>
          <w:rFonts w:ascii="Arial" w:hAnsi="Arial"/>
          <w:color w:val="000000"/>
          <w:kern w:val="2"/>
          <w:sz w:val="26"/>
          <w:szCs w:val="26"/>
        </w:rPr>
        <w:t>Ін'єкція буде виконана тоді, коли ви почуєте друге</w:t>
      </w:r>
      <w:r w:rsidRPr="008F6347">
        <w:rPr>
          <w:rFonts w:ascii="Arial" w:hAnsi="Arial"/>
          <w:color w:val="211D1E"/>
          <w:kern w:val="2"/>
          <w:sz w:val="26"/>
          <w:szCs w:val="26"/>
        </w:rPr>
        <w:t xml:space="preserve"> клацання (або якщо не почуєте його, тоді через 10 секунд). </w:t>
      </w:r>
      <w:r w:rsidRPr="008F6347">
        <w:rPr>
          <w:rFonts w:ascii="Arial" w:hAnsi="Arial"/>
          <w:i/>
          <w:color w:val="211D1E"/>
          <w:kern w:val="2"/>
          <w:sz w:val="26"/>
          <w:szCs w:val="26"/>
        </w:rPr>
        <w:t>(Див. ілюстрацію 6.)</w:t>
      </w:r>
      <w:r w:rsidRPr="008F6347">
        <w:rPr>
          <w:rFonts w:ascii="Arial" w:hAnsi="Arial"/>
          <w:color w:val="211D1E"/>
          <w:kern w:val="2"/>
          <w:sz w:val="26"/>
          <w:szCs w:val="26"/>
          <w:vertAlign w:val="superscript"/>
        </w:rPr>
        <w:t>1</w:t>
      </w:r>
      <w:r w:rsidRPr="008F6347">
        <w:rPr>
          <w:rFonts w:ascii="Arial" w:hAnsi="Arial"/>
          <w:color w:val="211D1E"/>
          <w:kern w:val="2"/>
          <w:sz w:val="26"/>
          <w:szCs w:val="26"/>
        </w:rPr>
        <w:t xml:space="preserve"> Тепер можна </w:t>
      </w:r>
      <w:r w:rsidR="00531263">
        <w:rPr>
          <w:rFonts w:ascii="Arial" w:hAnsi="Arial"/>
          <w:color w:val="211D1E"/>
          <w:kern w:val="2"/>
          <w:sz w:val="26"/>
          <w:szCs w:val="26"/>
        </w:rPr>
        <w:t>витягнут</w:t>
      </w:r>
      <w:r w:rsidRPr="008F6347">
        <w:rPr>
          <w:rFonts w:ascii="Arial" w:hAnsi="Arial"/>
          <w:color w:val="211D1E"/>
          <w:kern w:val="2"/>
          <w:sz w:val="26"/>
          <w:szCs w:val="26"/>
        </w:rPr>
        <w:t xml:space="preserve">и шприц-ручку зі шкіри. </w:t>
      </w:r>
      <w:r w:rsidRPr="008F6347">
        <w:rPr>
          <w:rFonts w:ascii="Arial" w:hAnsi="Arial"/>
          <w:i/>
          <w:color w:val="211D1E"/>
          <w:kern w:val="2"/>
          <w:sz w:val="26"/>
          <w:szCs w:val="26"/>
        </w:rPr>
        <w:t>(Див. ілюстрацію 7.)</w:t>
      </w:r>
      <w:r w:rsidRPr="008F6347">
        <w:rPr>
          <w:rFonts w:ascii="Arial" w:hAnsi="Arial"/>
          <w:color w:val="211D1E"/>
          <w:kern w:val="2"/>
          <w:sz w:val="26"/>
          <w:szCs w:val="26"/>
          <w:vertAlign w:val="superscript"/>
        </w:rPr>
        <w:t>1</w:t>
      </w:r>
      <w:r w:rsidRPr="008F6347">
        <w:rPr>
          <w:rFonts w:ascii="Arial" w:hAnsi="Arial"/>
          <w:color w:val="211D1E"/>
          <w:kern w:val="2"/>
          <w:sz w:val="26"/>
          <w:szCs w:val="26"/>
        </w:rPr>
        <w:t xml:space="preserve"> Після того як ви </w:t>
      </w:r>
      <w:r w:rsidR="00531263">
        <w:rPr>
          <w:rFonts w:ascii="Arial" w:hAnsi="Arial"/>
          <w:color w:val="211D1E"/>
          <w:kern w:val="2"/>
          <w:sz w:val="26"/>
          <w:szCs w:val="26"/>
        </w:rPr>
        <w:t>витягн</w:t>
      </w:r>
      <w:r w:rsidRPr="008F6347">
        <w:rPr>
          <w:rFonts w:ascii="Arial" w:hAnsi="Arial"/>
          <w:color w:val="211D1E"/>
          <w:kern w:val="2"/>
          <w:sz w:val="26"/>
          <w:szCs w:val="26"/>
        </w:rPr>
        <w:t>ете шприц-ручку зі шкіри, фіолетовий захисний екран голки з'явиться автоматично, щоб закрити її</w:t>
      </w:r>
      <w:r w:rsidRPr="008F6347">
        <w:rPr>
          <w:rFonts w:ascii="Arial" w:hAnsi="Arial"/>
          <w:color w:val="211D1E"/>
          <w:kern w:val="2"/>
          <w:sz w:val="26"/>
          <w:szCs w:val="26"/>
          <w:vertAlign w:val="superscript"/>
        </w:rPr>
        <w:t>1</w:t>
      </w:r>
      <w:r w:rsidRPr="008F6347">
        <w:rPr>
          <w:rFonts w:ascii="Arial" w:hAnsi="Arial"/>
          <w:color w:val="211D1E"/>
          <w:kern w:val="2"/>
          <w:sz w:val="26"/>
          <w:szCs w:val="26"/>
        </w:rPr>
        <w:t>.</w:t>
      </w:r>
    </w:p>
    <w:p w14:paraId="551DCAF8" w14:textId="77777777" w:rsidR="00135079" w:rsidRPr="008F6347" w:rsidRDefault="00135079" w:rsidP="00135079">
      <w:pPr>
        <w:rPr>
          <w:kern w:val="2"/>
        </w:rPr>
      </w:pPr>
    </w:p>
    <w:p w14:paraId="730066AE" w14:textId="69DC9EFA" w:rsidR="00135079" w:rsidRPr="008F6347" w:rsidRDefault="00135079" w:rsidP="00D40B38">
      <w:pPr>
        <w:pStyle w:val="Pa7"/>
        <w:spacing w:line="240" w:lineRule="auto"/>
        <w:ind w:left="288" w:right="2009" w:hanging="288"/>
        <w:rPr>
          <w:rFonts w:ascii="Arial" w:hAnsi="Arial" w:cs="Arial"/>
          <w:color w:val="211D1E"/>
          <w:kern w:val="2"/>
          <w:sz w:val="26"/>
          <w:szCs w:val="26"/>
        </w:rPr>
      </w:pPr>
      <w:r w:rsidRPr="008F6347">
        <w:rPr>
          <w:rFonts w:ascii="Arial" w:hAnsi="Arial"/>
          <w:b/>
          <w:color w:val="428F9D"/>
          <w:kern w:val="2"/>
          <w:sz w:val="26"/>
          <w:szCs w:val="26"/>
        </w:rPr>
        <w:t>›</w:t>
      </w:r>
      <w:r w:rsidRPr="008F6347">
        <w:rPr>
          <w:kern w:val="2"/>
          <w:sz w:val="26"/>
          <w:szCs w:val="26"/>
        </w:rPr>
        <w:tab/>
      </w:r>
      <w:r w:rsidRPr="00FE135F">
        <w:rPr>
          <w:rFonts w:ascii="Arial" w:hAnsi="Arial" w:cs="Arial"/>
          <w:kern w:val="2"/>
          <w:sz w:val="26"/>
          <w:szCs w:val="26"/>
        </w:rPr>
        <w:t>Контрольне вікно на шприц-ручці</w:t>
      </w:r>
      <w:r w:rsidRPr="00FE135F">
        <w:rPr>
          <w:kern w:val="2"/>
          <w:sz w:val="26"/>
          <w:szCs w:val="26"/>
        </w:rPr>
        <w:t xml:space="preserve"> </w:t>
      </w:r>
      <w:r w:rsidRPr="00FE135F">
        <w:rPr>
          <w:rFonts w:ascii="Arial" w:hAnsi="Arial"/>
          <w:color w:val="000000"/>
          <w:kern w:val="2"/>
          <w:sz w:val="26"/>
          <w:szCs w:val="26"/>
        </w:rPr>
        <w:t>тепер має бути повністю фіолетовим</w:t>
      </w:r>
      <w:r w:rsidRPr="00FE135F">
        <w:rPr>
          <w:rFonts w:ascii="Arial" w:hAnsi="Arial"/>
          <w:color w:val="211D1E"/>
          <w:kern w:val="2"/>
          <w:sz w:val="26"/>
          <w:szCs w:val="26"/>
        </w:rPr>
        <w:t>, що підтверджує те, що доза була введена правильно</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w:t>
      </w:r>
      <w:r w:rsidRPr="00FE135F">
        <w:rPr>
          <w:rFonts w:ascii="Arial" w:hAnsi="Arial"/>
          <w:color w:val="211D1E"/>
          <w:spacing w:val="-2"/>
          <w:kern w:val="2"/>
          <w:sz w:val="26"/>
          <w:szCs w:val="26"/>
        </w:rPr>
        <w:t>Якщо вікно стало фіолетовим не повністю, зверніться до медсестри</w:t>
      </w:r>
      <w:r w:rsidRPr="00FE135F">
        <w:rPr>
          <w:rFonts w:ascii="Arial" w:hAnsi="Arial"/>
          <w:color w:val="211D1E"/>
          <w:kern w:val="2"/>
          <w:sz w:val="26"/>
          <w:szCs w:val="26"/>
        </w:rPr>
        <w:t xml:space="preserve"> або фармацевта </w:t>
      </w:r>
      <w:r w:rsidR="00944467" w:rsidRPr="00FE135F">
        <w:rPr>
          <w:rFonts w:ascii="Arial" w:hAnsi="Arial"/>
          <w:color w:val="211D1E"/>
          <w:kern w:val="2"/>
          <w:sz w:val="26"/>
          <w:szCs w:val="26"/>
        </w:rPr>
        <w:t>за</w:t>
      </w:r>
      <w:r w:rsidRPr="00FE135F">
        <w:rPr>
          <w:rFonts w:ascii="Arial" w:hAnsi="Arial"/>
          <w:color w:val="211D1E"/>
          <w:kern w:val="2"/>
          <w:sz w:val="26"/>
          <w:szCs w:val="26"/>
        </w:rPr>
        <w:t xml:space="preserve"> допомог</w:t>
      </w:r>
      <w:r w:rsidR="00944467" w:rsidRPr="00FE135F">
        <w:rPr>
          <w:rFonts w:ascii="Arial" w:hAnsi="Arial"/>
          <w:color w:val="211D1E"/>
          <w:kern w:val="2"/>
          <w:sz w:val="26"/>
          <w:szCs w:val="26"/>
        </w:rPr>
        <w:t>ою</w:t>
      </w:r>
      <w:r w:rsidRPr="00FE135F">
        <w:rPr>
          <w:rFonts w:ascii="Arial" w:hAnsi="Arial"/>
          <w:color w:val="211D1E"/>
          <w:kern w:val="2"/>
          <w:sz w:val="26"/>
          <w:szCs w:val="26"/>
        </w:rPr>
        <w:t>, тому що шприц-ручка могла не</w:t>
      </w:r>
      <w:r w:rsidR="00D40B38" w:rsidRPr="00FE135F">
        <w:rPr>
          <w:rFonts w:ascii="Arial" w:hAnsi="Arial"/>
          <w:color w:val="211D1E"/>
          <w:kern w:val="2"/>
          <w:sz w:val="26"/>
          <w:szCs w:val="26"/>
        </w:rPr>
        <w:t> </w:t>
      </w:r>
      <w:r w:rsidRPr="00FE135F">
        <w:rPr>
          <w:rFonts w:ascii="Arial" w:hAnsi="Arial"/>
          <w:color w:val="211D1E"/>
          <w:kern w:val="2"/>
          <w:sz w:val="26"/>
          <w:szCs w:val="26"/>
        </w:rPr>
        <w:t>повністю ввести розчин препарату ЕНБРЕЛ</w:t>
      </w:r>
      <w:r w:rsidRPr="00FE135F">
        <w:rPr>
          <w:rFonts w:ascii="Arial" w:hAnsi="Arial"/>
          <w:color w:val="211D1E"/>
          <w:kern w:val="2"/>
          <w:sz w:val="26"/>
          <w:szCs w:val="26"/>
          <w:vertAlign w:val="superscript"/>
        </w:rPr>
        <w:t>®1</w:t>
      </w:r>
      <w:r w:rsidRPr="00FE135F">
        <w:rPr>
          <w:rFonts w:ascii="Arial" w:hAnsi="Arial"/>
          <w:color w:val="211D1E"/>
          <w:kern w:val="2"/>
          <w:sz w:val="26"/>
          <w:szCs w:val="26"/>
        </w:rPr>
        <w:t xml:space="preserve">. Не намагайтеся знову використати шприц-ручку </w:t>
      </w:r>
      <w:r w:rsidR="00944467" w:rsidRPr="00FE135F">
        <w:rPr>
          <w:rFonts w:ascii="Arial" w:hAnsi="Arial"/>
          <w:color w:val="211D1E"/>
          <w:kern w:val="2"/>
          <w:sz w:val="26"/>
          <w:szCs w:val="26"/>
        </w:rPr>
        <w:t>і</w:t>
      </w:r>
      <w:r w:rsidR="00E81B7D" w:rsidRPr="00FE135F">
        <w:rPr>
          <w:rFonts w:ascii="Arial" w:hAnsi="Arial"/>
          <w:color w:val="211D1E"/>
          <w:kern w:val="2"/>
          <w:sz w:val="26"/>
          <w:szCs w:val="26"/>
        </w:rPr>
        <w:t> </w:t>
      </w:r>
      <w:r w:rsidRPr="00FE135F">
        <w:rPr>
          <w:rFonts w:ascii="Arial" w:hAnsi="Arial"/>
          <w:color w:val="211D1E"/>
          <w:kern w:val="2"/>
          <w:sz w:val="26"/>
          <w:szCs w:val="26"/>
        </w:rPr>
        <w:t>не намагайтеся використати ще одну шприц-ручку без консультації медсестри або фармацевта</w:t>
      </w:r>
      <w:r w:rsidRPr="00FE135F">
        <w:rPr>
          <w:rFonts w:ascii="Arial" w:hAnsi="Arial"/>
          <w:color w:val="211D1E"/>
          <w:kern w:val="2"/>
          <w:sz w:val="26"/>
          <w:szCs w:val="26"/>
          <w:vertAlign w:val="superscript"/>
        </w:rPr>
        <w:t>1</w:t>
      </w:r>
      <w:r w:rsidRPr="00FE135F">
        <w:rPr>
          <w:kern w:val="2"/>
          <w:sz w:val="26"/>
          <w:szCs w:val="26"/>
        </w:rPr>
        <w:t>.</w:t>
      </w:r>
    </w:p>
    <w:p w14:paraId="71701233" w14:textId="77777777" w:rsidR="00135079" w:rsidRPr="008F6347" w:rsidRDefault="00135079" w:rsidP="00135079">
      <w:pPr>
        <w:rPr>
          <w:kern w:val="2"/>
        </w:rPr>
      </w:pPr>
    </w:p>
    <w:p w14:paraId="73772B6E" w14:textId="77777777" w:rsidR="00135079" w:rsidRPr="008F6347" w:rsidRDefault="00135079" w:rsidP="00D40B38">
      <w:pPr>
        <w:pStyle w:val="Pa7"/>
        <w:spacing w:line="240" w:lineRule="auto"/>
        <w:ind w:left="288" w:right="2009" w:hanging="288"/>
        <w:rPr>
          <w:rFonts w:ascii="Arial" w:hAnsi="Arial" w:cs="Arial"/>
          <w:kern w:val="2"/>
          <w:sz w:val="26"/>
          <w:szCs w:val="26"/>
        </w:rPr>
      </w:pPr>
      <w:r w:rsidRPr="008F6347">
        <w:rPr>
          <w:rFonts w:ascii="Arial" w:hAnsi="Arial"/>
          <w:b/>
          <w:color w:val="428F9D"/>
          <w:kern w:val="2"/>
          <w:sz w:val="26"/>
          <w:szCs w:val="26"/>
        </w:rPr>
        <w:t>›</w:t>
      </w:r>
      <w:r w:rsidRPr="008F6347">
        <w:rPr>
          <w:kern w:val="2"/>
          <w:sz w:val="26"/>
          <w:szCs w:val="26"/>
        </w:rPr>
        <w:tab/>
      </w:r>
      <w:r w:rsidRPr="008F6347">
        <w:rPr>
          <w:rFonts w:ascii="Arial" w:hAnsi="Arial"/>
          <w:color w:val="000000"/>
          <w:kern w:val="2"/>
          <w:sz w:val="26"/>
          <w:szCs w:val="26"/>
        </w:rPr>
        <w:t>Якщо в місці введення ін'єкції ви побачите кров,</w:t>
      </w:r>
      <w:r w:rsidRPr="008F6347">
        <w:rPr>
          <w:kern w:val="2"/>
          <w:sz w:val="26"/>
          <w:szCs w:val="26"/>
        </w:rPr>
        <w:t xml:space="preserve"> </w:t>
      </w:r>
      <w:r w:rsidRPr="008F6347">
        <w:rPr>
          <w:rFonts w:ascii="Arial" w:hAnsi="Arial"/>
          <w:color w:val="211D1E"/>
          <w:kern w:val="2"/>
          <w:sz w:val="26"/>
          <w:szCs w:val="26"/>
        </w:rPr>
        <w:t>притисніть до цього місця ватний або марлевий тампон на 10 секунд</w:t>
      </w:r>
      <w:r w:rsidRPr="008F6347">
        <w:rPr>
          <w:rFonts w:ascii="Arial" w:hAnsi="Arial"/>
          <w:color w:val="211D1E"/>
          <w:kern w:val="2"/>
          <w:sz w:val="26"/>
          <w:szCs w:val="26"/>
          <w:vertAlign w:val="superscript"/>
        </w:rPr>
        <w:t>1</w:t>
      </w:r>
      <w:r w:rsidRPr="008F6347">
        <w:rPr>
          <w:rFonts w:ascii="Arial" w:hAnsi="Arial"/>
          <w:color w:val="211D1E"/>
          <w:kern w:val="2"/>
          <w:sz w:val="26"/>
          <w:szCs w:val="26"/>
        </w:rPr>
        <w:t>. Не</w:t>
      </w:r>
      <w:r w:rsidR="00D40B38" w:rsidRPr="008F6347">
        <w:rPr>
          <w:rFonts w:ascii="Arial" w:hAnsi="Arial"/>
          <w:color w:val="211D1E"/>
          <w:kern w:val="2"/>
          <w:sz w:val="26"/>
          <w:szCs w:val="26"/>
        </w:rPr>
        <w:t> </w:t>
      </w:r>
      <w:r w:rsidRPr="008F6347">
        <w:rPr>
          <w:rFonts w:ascii="Arial" w:hAnsi="Arial"/>
          <w:color w:val="211D1E"/>
          <w:kern w:val="2"/>
          <w:sz w:val="26"/>
          <w:szCs w:val="26"/>
        </w:rPr>
        <w:t>потрібно терти місце введення ін'єкції</w:t>
      </w:r>
      <w:r w:rsidRPr="008F6347">
        <w:rPr>
          <w:rFonts w:ascii="Arial" w:hAnsi="Arial"/>
          <w:color w:val="211D1E"/>
          <w:kern w:val="2"/>
          <w:sz w:val="26"/>
          <w:szCs w:val="26"/>
          <w:vertAlign w:val="superscript"/>
        </w:rPr>
        <w:t>1</w:t>
      </w:r>
      <w:r w:rsidRPr="008F6347">
        <w:rPr>
          <w:rFonts w:ascii="Arial" w:hAnsi="Arial"/>
          <w:color w:val="211D1E"/>
          <w:kern w:val="2"/>
          <w:sz w:val="26"/>
          <w:szCs w:val="26"/>
        </w:rPr>
        <w:t>.</w:t>
      </w:r>
    </w:p>
    <w:p w14:paraId="3DCA135F" w14:textId="77777777" w:rsidR="00135079" w:rsidRPr="008F6347" w:rsidRDefault="00135079" w:rsidP="00445F1F">
      <w:pPr>
        <w:pStyle w:val="a9"/>
        <w:rPr>
          <w:kern w:val="2"/>
        </w:rPr>
      </w:pPr>
    </w:p>
    <w:p w14:paraId="0C55F975" w14:textId="77777777" w:rsidR="003E10E4" w:rsidRPr="008F6347" w:rsidRDefault="003E10E4" w:rsidP="003E10E4">
      <w:pPr>
        <w:pStyle w:val="a9"/>
        <w:rPr>
          <w:kern w:val="2"/>
        </w:rPr>
      </w:pPr>
    </w:p>
    <w:tbl>
      <w:tblPr>
        <w:tblW w:w="10661" w:type="dxa"/>
        <w:tblCellMar>
          <w:left w:w="43" w:type="dxa"/>
          <w:right w:w="43" w:type="dxa"/>
        </w:tblCellMar>
        <w:tblLook w:val="04A0" w:firstRow="1" w:lastRow="0" w:firstColumn="1" w:lastColumn="0" w:noHBand="0" w:noVBand="1"/>
      </w:tblPr>
      <w:tblGrid>
        <w:gridCol w:w="1906"/>
        <w:gridCol w:w="6948"/>
        <w:gridCol w:w="1807"/>
      </w:tblGrid>
      <w:tr w:rsidR="003E10E4" w:rsidRPr="008F6347" w14:paraId="3B0B9BFD" w14:textId="77777777" w:rsidTr="003E10E4">
        <w:trPr>
          <w:trHeight w:val="1304"/>
        </w:trPr>
        <w:tc>
          <w:tcPr>
            <w:tcW w:w="1906" w:type="dxa"/>
            <w:tcBorders>
              <w:top w:val="single" w:sz="4" w:space="0" w:color="009999"/>
              <w:left w:val="single" w:sz="4" w:space="0" w:color="009999"/>
              <w:bottom w:val="single" w:sz="4" w:space="0" w:color="009999"/>
              <w:right w:val="single" w:sz="4" w:space="0" w:color="009999"/>
            </w:tcBorders>
            <w:vAlign w:val="center"/>
          </w:tcPr>
          <w:p w14:paraId="594FBE17" w14:textId="77777777" w:rsidR="003E10E4" w:rsidRPr="008F6347" w:rsidRDefault="003E10E4" w:rsidP="00EC777A">
            <w:pPr>
              <w:pStyle w:val="a9"/>
              <w:ind w:left="144" w:right="144"/>
              <w:jc w:val="center"/>
              <w:rPr>
                <w:kern w:val="2"/>
              </w:rPr>
            </w:pPr>
            <w:r w:rsidRPr="008F6347">
              <w:rPr>
                <w:b/>
                <w:color w:val="428F9D"/>
                <w:kern w:val="2"/>
                <w:sz w:val="32"/>
              </w:rPr>
              <w:t>Корисна підказка</w:t>
            </w:r>
          </w:p>
        </w:tc>
        <w:tc>
          <w:tcPr>
            <w:tcW w:w="6948" w:type="dxa"/>
            <w:tcBorders>
              <w:left w:val="single" w:sz="4" w:space="0" w:color="009999"/>
            </w:tcBorders>
            <w:shd w:val="clear" w:color="auto" w:fill="F2F2F2" w:themeFill="background1" w:themeFillShade="F2"/>
            <w:vAlign w:val="center"/>
          </w:tcPr>
          <w:p w14:paraId="633C6839" w14:textId="77777777" w:rsidR="003E10E4" w:rsidRPr="008F6347" w:rsidRDefault="003E10E4" w:rsidP="003E10E4">
            <w:pPr>
              <w:pStyle w:val="a9"/>
              <w:ind w:left="65"/>
              <w:rPr>
                <w:kern w:val="2"/>
              </w:rPr>
            </w:pPr>
            <w:r w:rsidRPr="008F6347">
              <w:rPr>
                <w:b/>
                <w:i/>
                <w:color w:val="428F9D"/>
                <w:kern w:val="2"/>
                <w:sz w:val="22"/>
              </w:rPr>
              <w:t>Міцно притискайте шприц-ручку МАЙ КЛІК до місця введення ін'єкції, щоб отримати повну дозу</w:t>
            </w:r>
            <w:r w:rsidRPr="008F6347">
              <w:rPr>
                <w:b/>
                <w:i/>
                <w:color w:val="428F9D"/>
                <w:kern w:val="2"/>
                <w:sz w:val="22"/>
                <w:vertAlign w:val="superscript"/>
              </w:rPr>
              <w:t>1</w:t>
            </w:r>
            <w:r w:rsidRPr="008F6347">
              <w:rPr>
                <w:b/>
                <w:i/>
                <w:color w:val="428F9D"/>
                <w:kern w:val="2"/>
                <w:sz w:val="22"/>
              </w:rPr>
              <w:t>.</w:t>
            </w:r>
          </w:p>
        </w:tc>
        <w:tc>
          <w:tcPr>
            <w:tcW w:w="1807" w:type="dxa"/>
            <w:shd w:val="clear" w:color="auto" w:fill="auto"/>
            <w:vAlign w:val="center"/>
          </w:tcPr>
          <w:p w14:paraId="1F7733D1" w14:textId="77777777" w:rsidR="003E10E4" w:rsidRPr="008F6347" w:rsidRDefault="003E10E4" w:rsidP="003E10E4">
            <w:pPr>
              <w:pStyle w:val="a9"/>
              <w:ind w:left="65"/>
              <w:rPr>
                <w:kern w:val="2"/>
              </w:rPr>
            </w:pPr>
          </w:p>
        </w:tc>
      </w:tr>
    </w:tbl>
    <w:p w14:paraId="476C0231" w14:textId="77777777" w:rsidR="003E10E4" w:rsidRPr="008F6347" w:rsidRDefault="003E10E4" w:rsidP="003E10E4">
      <w:pPr>
        <w:pStyle w:val="a9"/>
        <w:rPr>
          <w:kern w:val="2"/>
        </w:rPr>
      </w:pPr>
    </w:p>
    <w:p w14:paraId="159CDE01" w14:textId="77777777" w:rsidR="000E24D7" w:rsidRPr="008F6347" w:rsidRDefault="000E24D7" w:rsidP="00445F1F">
      <w:pPr>
        <w:pStyle w:val="a9"/>
        <w:rPr>
          <w:kern w:val="2"/>
        </w:rPr>
      </w:pPr>
    </w:p>
    <w:p w14:paraId="3DFD9BCA" w14:textId="77777777" w:rsidR="004B7ED7" w:rsidRPr="008F6347" w:rsidRDefault="004B7ED7" w:rsidP="00445F1F">
      <w:pPr>
        <w:pStyle w:val="a9"/>
        <w:rPr>
          <w:kern w:val="2"/>
        </w:rPr>
      </w:pPr>
    </w:p>
    <w:p w14:paraId="454E5C8A" w14:textId="77777777" w:rsidR="00697489" w:rsidRPr="008F6347" w:rsidRDefault="00E81B7D" w:rsidP="00445F1F">
      <w:pPr>
        <w:pStyle w:val="a9"/>
        <w:rPr>
          <w:kern w:val="2"/>
        </w:rPr>
      </w:pPr>
      <w:r w:rsidRPr="008F6347">
        <w:rPr>
          <w:noProof/>
          <w:kern w:val="2"/>
          <w:lang w:bidi="ar-SA"/>
        </w:rPr>
        <mc:AlternateContent>
          <mc:Choice Requires="wps">
            <w:drawing>
              <wp:anchor distT="0" distB="0" distL="114300" distR="114300" simplePos="0" relativeHeight="251655680" behindDoc="0" locked="0" layoutInCell="1" allowOverlap="1" wp14:anchorId="24891770" wp14:editId="3A54E866">
                <wp:simplePos x="0" y="0"/>
                <wp:positionH relativeFrom="column">
                  <wp:posOffset>3057525</wp:posOffset>
                </wp:positionH>
                <wp:positionV relativeFrom="paragraph">
                  <wp:posOffset>1609535</wp:posOffset>
                </wp:positionV>
                <wp:extent cx="1009650" cy="795020"/>
                <wp:effectExtent l="0" t="0" r="0" b="5080"/>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95020"/>
                        </a:xfrm>
                        <a:prstGeom prst="rect">
                          <a:avLst/>
                        </a:prstGeom>
                        <a:noFill/>
                        <a:ln w="9525">
                          <a:noFill/>
                          <a:miter lim="800000"/>
                          <a:headEnd/>
                          <a:tailEnd/>
                        </a:ln>
                      </wps:spPr>
                      <wps:txbx>
                        <w:txbxContent>
                          <w:p w14:paraId="6B82A995" w14:textId="77777777" w:rsidR="00FE289C" w:rsidRPr="00E81B7D" w:rsidRDefault="00FE289C" w:rsidP="00B54B73">
                            <w:pPr>
                              <w:jc w:val="center"/>
                              <w:rPr>
                                <w:rFonts w:cs="Gotham Light"/>
                                <w:i/>
                                <w:iCs/>
                                <w:color w:val="FFFFFF"/>
                                <w:sz w:val="21"/>
                                <w:szCs w:val="21"/>
                              </w:rPr>
                            </w:pPr>
                            <w:r w:rsidRPr="00E81B7D">
                              <w:rPr>
                                <w:i/>
                                <w:color w:val="FFFFFF"/>
                                <w:sz w:val="21"/>
                                <w:szCs w:val="21"/>
                              </w:rPr>
                              <w:t>Фіолетовий захисний екран голки з'являється, щоб закрити її</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24891770" id="Text Box 312" o:spid="_x0000_s1044" type="#_x0000_t202" style="position:absolute;margin-left:240.75pt;margin-top:126.75pt;width:79.5pt;height:62.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" filled="f" stroked="f">
                <v:textbox inset="0,0,0,0">
                  <w:txbxContent>
                    <w:p w14:paraId="6B82A995" w14:textId="77777777" w:rsidR="00FE289C" w:rsidRPr="00E81B7D" w:rsidRDefault="00FE289C" w:rsidP="00B54B73">
                      <w:pPr>
                        <w:jc w:val="center"/>
                        <w:rPr>
                          <w:rFonts w:cs="Gotham Light"/>
                          <w:i/>
                          <w:iCs/>
                          <w:color w:val="FFFFFF"/>
                          <w:sz w:val="21"/>
                          <w:szCs w:val="21"/>
                        </w:rPr>
                      </w:pPr>
                      <w:r w:rsidRPr="00E81B7D">
                        <w:rPr>
                          <w:i/>
                          <w:color w:val="FFFFFF"/>
                          <w:sz w:val="21"/>
                          <w:szCs w:val="21"/>
                        </w:rPr>
                        <w:t>Фіолетовий захисний екран голки з'являється, щоб закрити її</w:t>
                      </w:r>
                    </w:p>
                  </w:txbxContent>
                </v:textbox>
              </v:shape>
            </w:pict>
          </mc:Fallback>
        </mc:AlternateContent>
      </w:r>
      <w:r w:rsidRPr="008F6347">
        <w:rPr>
          <w:noProof/>
          <w:kern w:val="2"/>
          <w:lang w:bidi="ar-SA"/>
        </w:rPr>
        <mc:AlternateContent>
          <mc:Choice Requires="wps">
            <w:drawing>
              <wp:anchor distT="0" distB="0" distL="114300" distR="114300" simplePos="0" relativeHeight="251651584" behindDoc="0" locked="0" layoutInCell="1" allowOverlap="1" wp14:anchorId="66645A2F" wp14:editId="32E4A1B4">
                <wp:simplePos x="0" y="0"/>
                <wp:positionH relativeFrom="column">
                  <wp:posOffset>564079</wp:posOffset>
                </wp:positionH>
                <wp:positionV relativeFrom="paragraph">
                  <wp:posOffset>814944</wp:posOffset>
                </wp:positionV>
                <wp:extent cx="771212" cy="230505"/>
                <wp:effectExtent l="0" t="0" r="10160" b="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212" cy="230505"/>
                        </a:xfrm>
                        <a:prstGeom prst="rect">
                          <a:avLst/>
                        </a:prstGeom>
                        <a:noFill/>
                        <a:ln w="9525">
                          <a:noFill/>
                          <a:miter lim="800000"/>
                          <a:headEnd/>
                          <a:tailEnd/>
                        </a:ln>
                      </wps:spPr>
                      <wps:txbx>
                        <w:txbxContent>
                          <w:p w14:paraId="2B9AB0DF" w14:textId="77777777" w:rsidR="00FE289C" w:rsidRPr="00E81B7D" w:rsidRDefault="00FE289C" w:rsidP="00B54B73">
                            <w:pPr>
                              <w:rPr>
                                <w:rFonts w:cs="Gotham Light"/>
                                <w:i/>
                                <w:iCs/>
                                <w:color w:val="FFFFFF"/>
                                <w:sz w:val="21"/>
                                <w:szCs w:val="21"/>
                              </w:rPr>
                            </w:pPr>
                            <w:r w:rsidRPr="00E81B7D">
                              <w:rPr>
                                <w:i/>
                                <w:color w:val="FFFFFF"/>
                                <w:sz w:val="21"/>
                                <w:szCs w:val="21"/>
                              </w:rPr>
                              <w:t>КЛАЦАННЯ</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66645A2F" id="Text Box 308" o:spid="_x0000_s1045" type="#_x0000_t202" style="position:absolute;margin-left:44.4pt;margin-top:64.15pt;width:60.75pt;height:18.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" filled="f" stroked="f">
                <v:textbox inset="0,0,0,0">
                  <w:txbxContent>
                    <w:p w14:paraId="2B9AB0DF" w14:textId="77777777" w:rsidR="00FE289C" w:rsidRPr="00E81B7D" w:rsidRDefault="00FE289C" w:rsidP="00B54B73">
                      <w:pPr>
                        <w:rPr>
                          <w:rFonts w:cs="Gotham Light"/>
                          <w:i/>
                          <w:iCs/>
                          <w:color w:val="FFFFFF"/>
                          <w:sz w:val="21"/>
                          <w:szCs w:val="21"/>
                        </w:rPr>
                      </w:pPr>
                      <w:r w:rsidRPr="00E81B7D">
                        <w:rPr>
                          <w:i/>
                          <w:color w:val="FFFFFF"/>
                          <w:sz w:val="21"/>
                          <w:szCs w:val="21"/>
                        </w:rPr>
                        <w:t>КЛАЦАННЯ</w:t>
                      </w:r>
                    </w:p>
                  </w:txbxContent>
                </v:textbox>
              </v:shape>
            </w:pict>
          </mc:Fallback>
        </mc:AlternateContent>
      </w:r>
      <w:r w:rsidR="00B54B73" w:rsidRPr="008F6347">
        <w:rPr>
          <w:noProof/>
          <w:kern w:val="2"/>
          <w:lang w:bidi="ar-SA"/>
        </w:rPr>
        <mc:AlternateContent>
          <mc:Choice Requires="wps">
            <w:drawing>
              <wp:anchor distT="0" distB="0" distL="114300" distR="114300" simplePos="0" relativeHeight="251654656" behindDoc="0" locked="0" layoutInCell="1" allowOverlap="1" wp14:anchorId="081C4E0F" wp14:editId="40EB5CDB">
                <wp:simplePos x="0" y="0"/>
                <wp:positionH relativeFrom="column">
                  <wp:posOffset>2987749</wp:posOffset>
                </wp:positionH>
                <wp:positionV relativeFrom="paragraph">
                  <wp:posOffset>728773</wp:posOffset>
                </wp:positionV>
                <wp:extent cx="1010093" cy="733647"/>
                <wp:effectExtent l="0" t="0" r="0" b="9525"/>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733647"/>
                        </a:xfrm>
                        <a:prstGeom prst="rect">
                          <a:avLst/>
                        </a:prstGeom>
                        <a:noFill/>
                        <a:ln w="9525">
                          <a:noFill/>
                          <a:miter lim="800000"/>
                          <a:headEnd/>
                          <a:tailEnd/>
                        </a:ln>
                      </wps:spPr>
                      <wps:txbx>
                        <w:txbxContent>
                          <w:p w14:paraId="19C5FD61" w14:textId="77777777" w:rsidR="00FE289C" w:rsidRPr="00E81B7D" w:rsidRDefault="00FE289C" w:rsidP="00B54B73">
                            <w:pPr>
                              <w:jc w:val="center"/>
                              <w:rPr>
                                <w:rFonts w:cs="Gotham Light"/>
                                <w:i/>
                                <w:iCs/>
                                <w:color w:val="FFFFFF"/>
                                <w:sz w:val="21"/>
                                <w:szCs w:val="21"/>
                              </w:rPr>
                            </w:pPr>
                            <w:r w:rsidRPr="00E81B7D">
                              <w:rPr>
                                <w:i/>
                                <w:color w:val="FFFFFF"/>
                                <w:sz w:val="21"/>
                                <w:szCs w:val="21"/>
                              </w:rPr>
                              <w:t>Контрольне вікно стало фіолетового кольору</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081C4E0F" id="Text Box 311" o:spid="_x0000_s1046" type="#_x0000_t202" style="position:absolute;margin-left:235.25pt;margin-top:57.4pt;width:79.55pt;height:57.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" filled="f" stroked="f">
                <v:textbox inset="0,0,0,0">
                  <w:txbxContent>
                    <w:p w14:paraId="19C5FD61" w14:textId="77777777" w:rsidR="00FE289C" w:rsidRPr="00E81B7D" w:rsidRDefault="00FE289C" w:rsidP="00B54B73">
                      <w:pPr>
                        <w:jc w:val="center"/>
                        <w:rPr>
                          <w:rFonts w:cs="Gotham Light"/>
                          <w:i/>
                          <w:iCs/>
                          <w:color w:val="FFFFFF"/>
                          <w:sz w:val="21"/>
                          <w:szCs w:val="21"/>
                        </w:rPr>
                      </w:pPr>
                      <w:r w:rsidRPr="00E81B7D">
                        <w:rPr>
                          <w:i/>
                          <w:color w:val="FFFFFF"/>
                          <w:sz w:val="21"/>
                          <w:szCs w:val="21"/>
                        </w:rPr>
                        <w:t>Контрольне вікно стало фіолетового кольору</w:t>
                      </w:r>
                    </w:p>
                  </w:txbxContent>
                </v:textbox>
              </v:shape>
            </w:pict>
          </mc:Fallback>
        </mc:AlternateContent>
      </w:r>
      <w:r w:rsidR="00B54B73" w:rsidRPr="008F6347">
        <w:rPr>
          <w:noProof/>
          <w:kern w:val="2"/>
          <w:lang w:bidi="ar-SA"/>
        </w:rPr>
        <mc:AlternateContent>
          <mc:Choice Requires="wps">
            <w:drawing>
              <wp:anchor distT="0" distB="0" distL="114300" distR="114300" simplePos="0" relativeHeight="251653632" behindDoc="0" locked="0" layoutInCell="1" allowOverlap="1" wp14:anchorId="20561B5F" wp14:editId="2264CEE0">
                <wp:simplePos x="0" y="0"/>
                <wp:positionH relativeFrom="column">
                  <wp:posOffset>624707</wp:posOffset>
                </wp:positionH>
                <wp:positionV relativeFrom="paragraph">
                  <wp:posOffset>1575332</wp:posOffset>
                </wp:positionV>
                <wp:extent cx="527050" cy="230505"/>
                <wp:effectExtent l="0" t="0" r="6350" b="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230505"/>
                        </a:xfrm>
                        <a:prstGeom prst="rect">
                          <a:avLst/>
                        </a:prstGeom>
                        <a:noFill/>
                        <a:ln w="9525">
                          <a:noFill/>
                          <a:miter lim="800000"/>
                          <a:headEnd/>
                          <a:tailEnd/>
                        </a:ln>
                      </wps:spPr>
                      <wps:txbx>
                        <w:txbxContent>
                          <w:p w14:paraId="2AB30956" w14:textId="77777777" w:rsidR="00FE289C" w:rsidRPr="002809B3" w:rsidRDefault="00FE289C" w:rsidP="00B54B73">
                            <w:pPr>
                              <w:rPr>
                                <w:rFonts w:cs="Gotham Light"/>
                                <w:i/>
                                <w:iCs/>
                                <w:color w:val="FFFFFF"/>
                                <w:sz w:val="23"/>
                                <w:szCs w:val="23"/>
                              </w:rPr>
                            </w:pPr>
                            <w:r>
                              <w:rPr>
                                <w:i/>
                                <w:color w:val="FFFFFF"/>
                                <w:sz w:val="23"/>
                              </w:rPr>
                              <w:t>10 с</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20561B5F" id="Text Box 310" o:spid="_x0000_s1047" type="#_x0000_t202" style="position:absolute;margin-left:49.2pt;margin-top:124.05pt;width:41.5pt;height:18.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" filled="f" stroked="f">
                <v:textbox inset="0,0,0,0">
                  <w:txbxContent>
                    <w:p w14:paraId="2AB30956" w14:textId="77777777" w:rsidR="00FE289C" w:rsidRPr="002809B3" w:rsidRDefault="00FE289C" w:rsidP="00B54B73">
                      <w:pPr>
                        <w:rPr>
                          <w:rFonts w:cs="Gotham Light"/>
                          <w:i/>
                          <w:iCs/>
                          <w:color w:val="FFFFFF"/>
                          <w:sz w:val="23"/>
                          <w:szCs w:val="23"/>
                        </w:rPr>
                      </w:pPr>
                      <w:r>
                        <w:rPr>
                          <w:i/>
                          <w:color w:val="FFFFFF"/>
                          <w:sz w:val="23"/>
                        </w:rPr>
                        <w:t>10 с</w:t>
                      </w:r>
                    </w:p>
                  </w:txbxContent>
                </v:textbox>
              </v:shape>
            </w:pict>
          </mc:Fallback>
        </mc:AlternateContent>
      </w:r>
      <w:r w:rsidR="00B54B73" w:rsidRPr="008F6347">
        <w:rPr>
          <w:noProof/>
          <w:kern w:val="2"/>
          <w:lang w:bidi="ar-SA"/>
        </w:rPr>
        <mc:AlternateContent>
          <mc:Choice Requires="wps">
            <w:drawing>
              <wp:anchor distT="0" distB="0" distL="114300" distR="114300" simplePos="0" relativeHeight="251652608" behindDoc="0" locked="0" layoutInCell="1" allowOverlap="1" wp14:anchorId="1061262B" wp14:editId="7A01FB56">
                <wp:simplePos x="0" y="0"/>
                <wp:positionH relativeFrom="column">
                  <wp:posOffset>2984027</wp:posOffset>
                </wp:positionH>
                <wp:positionV relativeFrom="paragraph">
                  <wp:posOffset>80645</wp:posOffset>
                </wp:positionV>
                <wp:extent cx="2466975" cy="230505"/>
                <wp:effectExtent l="0" t="0" r="9525" b="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30505"/>
                        </a:xfrm>
                        <a:prstGeom prst="rect">
                          <a:avLst/>
                        </a:prstGeom>
                        <a:noFill/>
                        <a:ln w="9525">
                          <a:noFill/>
                          <a:miter lim="800000"/>
                          <a:headEnd/>
                          <a:tailEnd/>
                        </a:ln>
                      </wps:spPr>
                      <wps:txbx>
                        <w:txbxContent>
                          <w:p w14:paraId="2BD2094D" w14:textId="77777777" w:rsidR="00FE289C" w:rsidRPr="00D40B38" w:rsidRDefault="00FE289C" w:rsidP="00B54B73">
                            <w:pPr>
                              <w:rPr>
                                <w:rFonts w:cs="Arial"/>
                                <w:b/>
                                <w:bCs/>
                                <w:color w:val="428F9D"/>
                                <w:sz w:val="26"/>
                                <w:szCs w:val="26"/>
                              </w:rPr>
                            </w:pPr>
                            <w:r w:rsidRPr="00D40B38">
                              <w:rPr>
                                <w:b/>
                                <w:color w:val="428F9D"/>
                                <w:sz w:val="26"/>
                                <w:szCs w:val="26"/>
                              </w:rPr>
                              <w:t>Ілюстрація 7</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1061262B" id="Text Box 309" o:spid="_x0000_s1048" type="#_x0000_t202" style="position:absolute;margin-left:234.95pt;margin-top:6.35pt;width:194.25pt;height:18.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" filled="f" stroked="f">
                <v:textbox inset="0,0,0,0">
                  <w:txbxContent>
                    <w:p w14:paraId="2BD2094D" w14:textId="77777777" w:rsidR="00FE289C" w:rsidRPr="00D40B38" w:rsidRDefault="00FE289C" w:rsidP="00B54B73">
                      <w:pPr>
                        <w:rPr>
                          <w:rFonts w:cs="Arial"/>
                          <w:b/>
                          <w:bCs/>
                          <w:color w:val="428F9D"/>
                          <w:sz w:val="26"/>
                          <w:szCs w:val="26"/>
                        </w:rPr>
                      </w:pPr>
                      <w:r w:rsidRPr="00D40B38">
                        <w:rPr>
                          <w:b/>
                          <w:color w:val="428F9D"/>
                          <w:sz w:val="26"/>
                          <w:szCs w:val="26"/>
                        </w:rPr>
                        <w:t>Ілюстрація 7</w:t>
                      </w:r>
                    </w:p>
                  </w:txbxContent>
                </v:textbox>
              </v:shape>
            </w:pict>
          </mc:Fallback>
        </mc:AlternateContent>
      </w:r>
      <w:r w:rsidR="00B54B73" w:rsidRPr="008F6347">
        <w:rPr>
          <w:noProof/>
          <w:kern w:val="2"/>
          <w:lang w:bidi="ar-SA"/>
        </w:rPr>
        <mc:AlternateContent>
          <mc:Choice Requires="wps">
            <w:drawing>
              <wp:anchor distT="0" distB="0" distL="114300" distR="114300" simplePos="0" relativeHeight="251650560" behindDoc="0" locked="0" layoutInCell="1" allowOverlap="1" wp14:anchorId="39140987" wp14:editId="50BE607A">
                <wp:simplePos x="0" y="0"/>
                <wp:positionH relativeFrom="column">
                  <wp:posOffset>-1905</wp:posOffset>
                </wp:positionH>
                <wp:positionV relativeFrom="paragraph">
                  <wp:posOffset>80010</wp:posOffset>
                </wp:positionV>
                <wp:extent cx="2466975" cy="230505"/>
                <wp:effectExtent l="0" t="0" r="9525"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30505"/>
                        </a:xfrm>
                        <a:prstGeom prst="rect">
                          <a:avLst/>
                        </a:prstGeom>
                        <a:noFill/>
                        <a:ln w="9525">
                          <a:noFill/>
                          <a:miter lim="800000"/>
                          <a:headEnd/>
                          <a:tailEnd/>
                        </a:ln>
                      </wps:spPr>
                      <wps:txbx>
                        <w:txbxContent>
                          <w:p w14:paraId="3E6B0636" w14:textId="77777777" w:rsidR="00FE289C" w:rsidRPr="00D40B38" w:rsidRDefault="00FE289C" w:rsidP="00B54B73">
                            <w:pPr>
                              <w:rPr>
                                <w:rFonts w:cs="Arial"/>
                                <w:b/>
                                <w:bCs/>
                                <w:color w:val="428F9D"/>
                                <w:sz w:val="26"/>
                                <w:szCs w:val="26"/>
                              </w:rPr>
                            </w:pPr>
                            <w:r w:rsidRPr="00D40B38">
                              <w:rPr>
                                <w:b/>
                                <w:color w:val="428F9D"/>
                                <w:sz w:val="26"/>
                                <w:szCs w:val="26"/>
                              </w:rPr>
                              <w:t>Ілюстрація 6</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39140987" id="Text Box 306" o:spid="_x0000_s1049" type="#_x0000_t202" style="position:absolute;margin-left:-.15pt;margin-top:6.3pt;width:194.25pt;height:18.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" filled="f" stroked="f">
                <v:textbox inset="0,0,0,0">
                  <w:txbxContent>
                    <w:p w14:paraId="3E6B0636" w14:textId="77777777" w:rsidR="00FE289C" w:rsidRPr="00D40B38" w:rsidRDefault="00FE289C" w:rsidP="00B54B73">
                      <w:pPr>
                        <w:rPr>
                          <w:rFonts w:cs="Arial"/>
                          <w:b/>
                          <w:bCs/>
                          <w:color w:val="428F9D"/>
                          <w:sz w:val="26"/>
                          <w:szCs w:val="26"/>
                        </w:rPr>
                      </w:pPr>
                      <w:r w:rsidRPr="00D40B38">
                        <w:rPr>
                          <w:b/>
                          <w:color w:val="428F9D"/>
                          <w:sz w:val="26"/>
                          <w:szCs w:val="26"/>
                        </w:rPr>
                        <w:t>Ілюстрація 6</w:t>
                      </w:r>
                    </w:p>
                  </w:txbxContent>
                </v:textbox>
              </v:shape>
            </w:pict>
          </mc:Fallback>
        </mc:AlternateContent>
      </w:r>
      <w:r w:rsidR="00B54B73" w:rsidRPr="008F6347">
        <w:rPr>
          <w:noProof/>
          <w:kern w:val="2"/>
          <w:lang w:bidi="ar-SA"/>
        </w:rPr>
        <w:drawing>
          <wp:inline distT="0" distB="0" distL="0" distR="0" wp14:anchorId="3287F965" wp14:editId="25775FB3">
            <wp:extent cx="5577840" cy="2610076"/>
            <wp:effectExtent l="0" t="0" r="381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7840" cy="2610076"/>
                    </a:xfrm>
                    <a:prstGeom prst="rect">
                      <a:avLst/>
                    </a:prstGeom>
                    <a:noFill/>
                    <a:ln>
                      <a:noFill/>
                    </a:ln>
                  </pic:spPr>
                </pic:pic>
              </a:graphicData>
            </a:graphic>
          </wp:inline>
        </w:drawing>
      </w:r>
    </w:p>
    <w:p w14:paraId="6A40F0E6" w14:textId="77777777" w:rsidR="00697489" w:rsidRPr="008F6347" w:rsidRDefault="00697489" w:rsidP="00445F1F">
      <w:pPr>
        <w:pStyle w:val="a9"/>
        <w:rPr>
          <w:kern w:val="2"/>
        </w:rPr>
      </w:pPr>
    </w:p>
    <w:p w14:paraId="58668E6E" w14:textId="77777777" w:rsidR="00697489" w:rsidRPr="008F6347" w:rsidRDefault="00697489" w:rsidP="00445F1F">
      <w:pPr>
        <w:pStyle w:val="a9"/>
        <w:rPr>
          <w:kern w:val="2"/>
        </w:rPr>
      </w:pPr>
    </w:p>
    <w:p w14:paraId="7172FADC" w14:textId="77777777" w:rsidR="00B54B73" w:rsidRPr="008F6347" w:rsidRDefault="00B54B73">
      <w:pPr>
        <w:spacing w:after="200" w:line="276" w:lineRule="auto"/>
        <w:rPr>
          <w:kern w:val="2"/>
        </w:rPr>
      </w:pPr>
      <w:r w:rsidRPr="008F6347">
        <w:rPr>
          <w:kern w:val="2"/>
        </w:rPr>
        <w:br w:type="page"/>
      </w:r>
    </w:p>
    <w:p w14:paraId="630EAF26" w14:textId="77777777" w:rsidR="004B7ED7" w:rsidRPr="008F6347" w:rsidRDefault="004B7ED7" w:rsidP="00445F1F">
      <w:pPr>
        <w:pStyle w:val="a9"/>
        <w:rPr>
          <w:kern w:val="2"/>
        </w:rPr>
      </w:pPr>
    </w:p>
    <w:p w14:paraId="45622DEE" w14:textId="77777777" w:rsidR="004328DF" w:rsidRPr="008F6347" w:rsidRDefault="004328DF" w:rsidP="00445F1F">
      <w:pPr>
        <w:pStyle w:val="a9"/>
        <w:rPr>
          <w:kern w:val="2"/>
        </w:rPr>
      </w:pPr>
    </w:p>
    <w:p w14:paraId="6288D73B" w14:textId="77777777" w:rsidR="004328DF" w:rsidRPr="008F6347" w:rsidRDefault="004328DF" w:rsidP="00445F1F">
      <w:pPr>
        <w:pStyle w:val="a9"/>
        <w:rPr>
          <w:kern w:val="2"/>
        </w:rPr>
      </w:pPr>
    </w:p>
    <w:p w14:paraId="36B5CF1F" w14:textId="77777777" w:rsidR="004328DF" w:rsidRPr="008F6347" w:rsidRDefault="004328DF" w:rsidP="00445F1F">
      <w:pPr>
        <w:pStyle w:val="a9"/>
        <w:rPr>
          <w:kern w:val="2"/>
        </w:rPr>
      </w:pPr>
    </w:p>
    <w:p w14:paraId="77D7A62F" w14:textId="77777777" w:rsidR="00B54B73" w:rsidRPr="008F6347" w:rsidRDefault="00B54B73" w:rsidP="00445F1F">
      <w:pPr>
        <w:pStyle w:val="a9"/>
        <w:rPr>
          <w:kern w:val="2"/>
        </w:rPr>
      </w:pPr>
    </w:p>
    <w:p w14:paraId="270F55AF" w14:textId="77777777" w:rsidR="00C61464" w:rsidRPr="008F6347" w:rsidRDefault="00C61464" w:rsidP="00840F6F">
      <w:pPr>
        <w:pStyle w:val="h2"/>
        <w:ind w:left="576"/>
        <w:rPr>
          <w:kern w:val="2"/>
          <w:sz w:val="26"/>
          <w:szCs w:val="26"/>
        </w:rPr>
      </w:pPr>
      <w:bookmarkStart w:id="12" w:name="_Toc508028207"/>
      <w:bookmarkStart w:id="13" w:name="_Toc508809543"/>
      <w:r w:rsidRPr="008F6347">
        <w:rPr>
          <w:kern w:val="2"/>
          <w:sz w:val="26"/>
          <w:szCs w:val="26"/>
        </w:rPr>
        <w:t>Крок 4.</w:t>
      </w:r>
      <w:r w:rsidRPr="008F6347">
        <w:rPr>
          <w:color w:val="202377"/>
          <w:kern w:val="2"/>
          <w:sz w:val="26"/>
          <w:szCs w:val="26"/>
        </w:rPr>
        <w:t xml:space="preserve"> Утилізація використаної шприц-ручки МАЙ КЛІК</w:t>
      </w:r>
      <w:r w:rsidRPr="008F6347">
        <w:rPr>
          <w:color w:val="202377"/>
          <w:kern w:val="2"/>
          <w:sz w:val="26"/>
          <w:szCs w:val="26"/>
          <w:vertAlign w:val="superscript"/>
        </w:rPr>
        <w:t>®1</w:t>
      </w:r>
      <w:bookmarkEnd w:id="12"/>
      <w:bookmarkEnd w:id="13"/>
    </w:p>
    <w:p w14:paraId="1256D0C0" w14:textId="77777777" w:rsidR="00C61464" w:rsidRPr="008F6347" w:rsidRDefault="00C61464" w:rsidP="00C61464">
      <w:pPr>
        <w:autoSpaceDE w:val="0"/>
        <w:autoSpaceDN w:val="0"/>
        <w:adjustRightInd w:val="0"/>
        <w:ind w:left="576"/>
        <w:rPr>
          <w:rFonts w:cs="Arial"/>
          <w:color w:val="211D1E"/>
          <w:kern w:val="2"/>
          <w:sz w:val="14"/>
          <w:szCs w:val="28"/>
        </w:rPr>
      </w:pPr>
    </w:p>
    <w:p w14:paraId="279315BE" w14:textId="21169A1F" w:rsidR="00C61464" w:rsidRPr="008F6347" w:rsidRDefault="00C61464" w:rsidP="00D40B38">
      <w:pPr>
        <w:autoSpaceDE w:val="0"/>
        <w:autoSpaceDN w:val="0"/>
        <w:adjustRightInd w:val="0"/>
        <w:ind w:left="576"/>
        <w:rPr>
          <w:rFonts w:cs="Arial"/>
          <w:color w:val="211D1E"/>
          <w:kern w:val="2"/>
          <w:sz w:val="26"/>
          <w:szCs w:val="26"/>
        </w:rPr>
      </w:pPr>
      <w:r w:rsidRPr="00FE135F">
        <w:rPr>
          <w:color w:val="211D1E"/>
          <w:kern w:val="2"/>
          <w:sz w:val="26"/>
          <w:szCs w:val="26"/>
        </w:rPr>
        <w:t>Шприц-ручку МАЙ КЛІК використовують тільки один раз. Її не можна використовувати повторно. Не намагайтеся надіти ковпачок на використану шприц-ручку</w:t>
      </w:r>
      <w:r w:rsidRPr="00FE135F">
        <w:rPr>
          <w:color w:val="211D1E"/>
          <w:kern w:val="2"/>
          <w:sz w:val="26"/>
          <w:szCs w:val="26"/>
          <w:vertAlign w:val="superscript"/>
        </w:rPr>
        <w:t>1</w:t>
      </w:r>
      <w:r w:rsidRPr="00FE135F">
        <w:rPr>
          <w:color w:val="211D1E"/>
          <w:kern w:val="2"/>
          <w:sz w:val="26"/>
          <w:szCs w:val="26"/>
        </w:rPr>
        <w:t xml:space="preserve">. Медичні препарати не викидають у каналізацію або побутові відходи. </w:t>
      </w:r>
      <w:r w:rsidR="003C0CA9" w:rsidRPr="00FE135F">
        <w:rPr>
          <w:color w:val="211D1E"/>
          <w:kern w:val="2"/>
          <w:sz w:val="26"/>
          <w:szCs w:val="26"/>
        </w:rPr>
        <w:t>Порадьте вашим пацієнтам з</w:t>
      </w:r>
      <w:r w:rsidRPr="00FE135F">
        <w:rPr>
          <w:color w:val="211D1E"/>
          <w:kern w:val="2"/>
          <w:sz w:val="26"/>
          <w:szCs w:val="26"/>
        </w:rPr>
        <w:t>апитат</w:t>
      </w:r>
      <w:r w:rsidR="003C0CA9" w:rsidRPr="00FE135F">
        <w:rPr>
          <w:color w:val="211D1E"/>
          <w:kern w:val="2"/>
          <w:sz w:val="26"/>
          <w:szCs w:val="26"/>
        </w:rPr>
        <w:t>и</w:t>
      </w:r>
      <w:r w:rsidRPr="00FE135F">
        <w:rPr>
          <w:color w:val="211D1E"/>
          <w:kern w:val="2"/>
          <w:sz w:val="26"/>
          <w:szCs w:val="26"/>
        </w:rPr>
        <w:t xml:space="preserve"> в лікаря, медсестри чи фармацевта, як утилізувати непотрібні препарати</w:t>
      </w:r>
      <w:r w:rsidRPr="00FE135F">
        <w:rPr>
          <w:color w:val="211D1E"/>
          <w:kern w:val="2"/>
          <w:sz w:val="26"/>
          <w:szCs w:val="26"/>
          <w:vertAlign w:val="superscript"/>
        </w:rPr>
        <w:t>1</w:t>
      </w:r>
      <w:r w:rsidRPr="00FE135F">
        <w:rPr>
          <w:color w:val="211D1E"/>
          <w:kern w:val="2"/>
          <w:sz w:val="26"/>
          <w:szCs w:val="26"/>
        </w:rPr>
        <w:t>. Такі заходи допомагають захистити навколишнє середовище.</w:t>
      </w:r>
    </w:p>
    <w:p w14:paraId="50B5D225" w14:textId="77777777" w:rsidR="00C61464" w:rsidRPr="008F6347" w:rsidRDefault="00C61464" w:rsidP="00C61464">
      <w:pPr>
        <w:autoSpaceDE w:val="0"/>
        <w:autoSpaceDN w:val="0"/>
        <w:adjustRightInd w:val="0"/>
        <w:ind w:left="576"/>
        <w:rPr>
          <w:kern w:val="2"/>
        </w:rPr>
      </w:pPr>
    </w:p>
    <w:p w14:paraId="6A4BB127" w14:textId="77777777" w:rsidR="00BB59C9" w:rsidRPr="008F6347" w:rsidRDefault="00BB59C9" w:rsidP="00C61464">
      <w:pPr>
        <w:autoSpaceDE w:val="0"/>
        <w:autoSpaceDN w:val="0"/>
        <w:adjustRightInd w:val="0"/>
        <w:ind w:left="576"/>
        <w:rPr>
          <w:kern w:val="2"/>
        </w:rPr>
      </w:pPr>
    </w:p>
    <w:p w14:paraId="74D80B98" w14:textId="77777777" w:rsidR="00C61464" w:rsidRPr="008F6347" w:rsidRDefault="00C61464" w:rsidP="00C61464">
      <w:pPr>
        <w:autoSpaceDE w:val="0"/>
        <w:autoSpaceDN w:val="0"/>
        <w:adjustRightInd w:val="0"/>
        <w:ind w:left="576"/>
        <w:rPr>
          <w:kern w:val="2"/>
        </w:rPr>
      </w:pPr>
    </w:p>
    <w:p w14:paraId="1F41ABAD" w14:textId="77777777" w:rsidR="00C61464" w:rsidRPr="008F6347" w:rsidRDefault="00C61464" w:rsidP="00DE529C">
      <w:pPr>
        <w:pStyle w:val="h10"/>
        <w:ind w:left="594"/>
        <w:rPr>
          <w:kern w:val="2"/>
          <w:sz w:val="32"/>
        </w:rPr>
      </w:pPr>
      <w:bookmarkStart w:id="14" w:name="_Toc508028208"/>
      <w:bookmarkStart w:id="15" w:name="_Toc508809544"/>
      <w:r w:rsidRPr="008F6347">
        <w:rPr>
          <w:kern w:val="2"/>
          <w:sz w:val="32"/>
        </w:rPr>
        <w:t>Поїздки з препаратом ЕНБРЕЛ</w:t>
      </w:r>
      <w:r w:rsidRPr="008F6347">
        <w:rPr>
          <w:kern w:val="2"/>
          <w:sz w:val="32"/>
          <w:vertAlign w:val="superscript"/>
        </w:rPr>
        <w:t>®</w:t>
      </w:r>
      <w:bookmarkEnd w:id="14"/>
      <w:bookmarkEnd w:id="15"/>
    </w:p>
    <w:p w14:paraId="3563BD3A" w14:textId="77777777" w:rsidR="00C61464" w:rsidRPr="008F6347" w:rsidRDefault="00C61464" w:rsidP="00C61464">
      <w:pPr>
        <w:autoSpaceDE w:val="0"/>
        <w:autoSpaceDN w:val="0"/>
        <w:adjustRightInd w:val="0"/>
        <w:ind w:left="576"/>
        <w:rPr>
          <w:rFonts w:cs="Arial"/>
          <w:color w:val="211D1E"/>
          <w:kern w:val="2"/>
          <w:sz w:val="14"/>
          <w:szCs w:val="28"/>
        </w:rPr>
      </w:pPr>
    </w:p>
    <w:p w14:paraId="4E5F2872" w14:textId="77777777" w:rsidR="00C61464" w:rsidRPr="008F6347" w:rsidRDefault="00C61464" w:rsidP="00C61464">
      <w:pPr>
        <w:autoSpaceDE w:val="0"/>
        <w:autoSpaceDN w:val="0"/>
        <w:adjustRightInd w:val="0"/>
        <w:ind w:left="576"/>
        <w:rPr>
          <w:rFonts w:cs="Arial"/>
          <w:color w:val="211D1E"/>
          <w:kern w:val="2"/>
          <w:sz w:val="26"/>
          <w:szCs w:val="26"/>
        </w:rPr>
      </w:pPr>
      <w:r w:rsidRPr="008F6347">
        <w:rPr>
          <w:color w:val="211D1E"/>
          <w:kern w:val="2"/>
          <w:sz w:val="26"/>
          <w:szCs w:val="26"/>
        </w:rPr>
        <w:t>Нагадування. Препарат ЕНБРЕЛ повинен зберігатися за температури 2–8 °C</w:t>
      </w:r>
      <w:r w:rsidRPr="008F6347">
        <w:rPr>
          <w:color w:val="211D1E"/>
          <w:kern w:val="2"/>
          <w:sz w:val="26"/>
          <w:szCs w:val="26"/>
          <w:vertAlign w:val="superscript"/>
        </w:rPr>
        <w:t>1</w:t>
      </w:r>
      <w:r w:rsidRPr="008F6347">
        <w:rPr>
          <w:color w:val="211D1E"/>
          <w:kern w:val="2"/>
          <w:sz w:val="26"/>
          <w:szCs w:val="26"/>
        </w:rPr>
        <w:t xml:space="preserve">. </w:t>
      </w:r>
    </w:p>
    <w:p w14:paraId="339F771B" w14:textId="77777777" w:rsidR="00C61464" w:rsidRPr="008F6347" w:rsidRDefault="00C61464" w:rsidP="00C61464">
      <w:pPr>
        <w:autoSpaceDE w:val="0"/>
        <w:autoSpaceDN w:val="0"/>
        <w:adjustRightInd w:val="0"/>
        <w:ind w:left="576"/>
        <w:rPr>
          <w:rFonts w:cs="Arial"/>
          <w:color w:val="211D1E"/>
          <w:kern w:val="2"/>
          <w:sz w:val="14"/>
          <w:szCs w:val="28"/>
        </w:rPr>
      </w:pPr>
    </w:p>
    <w:p w14:paraId="07A90A8C" w14:textId="19424C4B" w:rsidR="00C61464" w:rsidRPr="00FE135F" w:rsidRDefault="00C61464" w:rsidP="00D40B38">
      <w:pPr>
        <w:autoSpaceDE w:val="0"/>
        <w:autoSpaceDN w:val="0"/>
        <w:adjustRightInd w:val="0"/>
        <w:ind w:left="576"/>
        <w:rPr>
          <w:rFonts w:cs="Arial"/>
          <w:color w:val="211D1E"/>
          <w:kern w:val="2"/>
          <w:sz w:val="26"/>
          <w:szCs w:val="26"/>
        </w:rPr>
      </w:pPr>
      <w:r w:rsidRPr="008F6347">
        <w:rPr>
          <w:color w:val="211D1E"/>
          <w:kern w:val="2"/>
          <w:sz w:val="26"/>
          <w:szCs w:val="26"/>
        </w:rPr>
        <w:t xml:space="preserve">Препарат ЕНБРЕЛ можна зберігати за температури, яка не перевищує 25 °C, </w:t>
      </w:r>
      <w:r w:rsidRPr="008F6347">
        <w:rPr>
          <w:color w:val="211D1E"/>
          <w:spacing w:val="-2"/>
          <w:kern w:val="2"/>
          <w:sz w:val="26"/>
          <w:szCs w:val="26"/>
        </w:rPr>
        <w:t xml:space="preserve">протягом одного періоду в межах чотирьох тижнів. Після цього препарат не </w:t>
      </w:r>
      <w:r w:rsidR="00B5422B" w:rsidRPr="00B5422B">
        <w:rPr>
          <w:color w:val="211D1E"/>
          <w:spacing w:val="-2"/>
          <w:kern w:val="2"/>
          <w:sz w:val="26"/>
          <w:szCs w:val="26"/>
        </w:rPr>
        <w:t xml:space="preserve">слід знову зберігати в </w:t>
      </w:r>
      <w:r w:rsidR="00B5422B" w:rsidRPr="00FE135F">
        <w:rPr>
          <w:color w:val="211D1E"/>
          <w:spacing w:val="-2"/>
          <w:kern w:val="2"/>
          <w:sz w:val="26"/>
          <w:szCs w:val="26"/>
        </w:rPr>
        <w:t>холодильнику</w:t>
      </w:r>
      <w:r w:rsidRPr="00FE135F">
        <w:rPr>
          <w:color w:val="211D1E"/>
          <w:spacing w:val="-4"/>
          <w:kern w:val="2"/>
          <w:sz w:val="26"/>
          <w:szCs w:val="26"/>
        </w:rPr>
        <w:t>. Якщо протягом чотирьох тижнів зберігання не в холодильнику</w:t>
      </w:r>
      <w:r w:rsidRPr="00FE135F">
        <w:rPr>
          <w:color w:val="211D1E"/>
          <w:kern w:val="2"/>
          <w:sz w:val="26"/>
          <w:szCs w:val="26"/>
        </w:rPr>
        <w:t xml:space="preserve"> ЕНБРЕЛ не був використаний, його слід викинути. Рекомендовано записувати дату, коли ви в</w:t>
      </w:r>
      <w:r w:rsidR="00531263" w:rsidRPr="00FE135F">
        <w:rPr>
          <w:color w:val="211D1E"/>
          <w:kern w:val="2"/>
          <w:sz w:val="26"/>
          <w:szCs w:val="26"/>
        </w:rPr>
        <w:t>ийня</w:t>
      </w:r>
      <w:r w:rsidRPr="00FE135F">
        <w:rPr>
          <w:color w:val="211D1E"/>
          <w:kern w:val="2"/>
          <w:sz w:val="26"/>
          <w:szCs w:val="26"/>
        </w:rPr>
        <w:t>ли ЕНБРЕЛ із холодильника, і дату, після якої препарат слід викинути (через 4 тижні)</w:t>
      </w:r>
      <w:r w:rsidRPr="00FE135F">
        <w:rPr>
          <w:color w:val="211D1E"/>
          <w:kern w:val="2"/>
          <w:sz w:val="26"/>
          <w:szCs w:val="26"/>
          <w:vertAlign w:val="superscript"/>
        </w:rPr>
        <w:t>1</w:t>
      </w:r>
      <w:r w:rsidRPr="00FE135F">
        <w:rPr>
          <w:color w:val="211D1E"/>
          <w:kern w:val="2"/>
          <w:sz w:val="26"/>
          <w:szCs w:val="26"/>
        </w:rPr>
        <w:t>.</w:t>
      </w:r>
    </w:p>
    <w:p w14:paraId="7B065820" w14:textId="77777777" w:rsidR="00C61464" w:rsidRPr="00FE135F" w:rsidRDefault="00C61464" w:rsidP="00C61464">
      <w:pPr>
        <w:autoSpaceDE w:val="0"/>
        <w:autoSpaceDN w:val="0"/>
        <w:adjustRightInd w:val="0"/>
        <w:ind w:left="576"/>
        <w:rPr>
          <w:rFonts w:cs="Arial"/>
          <w:color w:val="211D1E"/>
          <w:kern w:val="2"/>
          <w:sz w:val="14"/>
          <w:szCs w:val="28"/>
        </w:rPr>
      </w:pPr>
    </w:p>
    <w:p w14:paraId="3D6FB777" w14:textId="5DA23E20" w:rsidR="00C61464" w:rsidRPr="00FE135F" w:rsidRDefault="00C61464" w:rsidP="00D40B38">
      <w:pPr>
        <w:autoSpaceDE w:val="0"/>
        <w:autoSpaceDN w:val="0"/>
        <w:adjustRightInd w:val="0"/>
        <w:ind w:left="576"/>
        <w:rPr>
          <w:rFonts w:cs="Arial"/>
          <w:color w:val="211D1E"/>
          <w:kern w:val="2"/>
          <w:sz w:val="26"/>
          <w:szCs w:val="26"/>
        </w:rPr>
      </w:pPr>
      <w:r w:rsidRPr="00FE135F">
        <w:rPr>
          <w:color w:val="211D1E"/>
          <w:kern w:val="2"/>
          <w:sz w:val="26"/>
          <w:szCs w:val="26"/>
        </w:rPr>
        <w:t xml:space="preserve">Якщо </w:t>
      </w:r>
      <w:r w:rsidR="003C0CA9" w:rsidRPr="00FE135F">
        <w:rPr>
          <w:color w:val="211D1E"/>
          <w:kern w:val="2"/>
          <w:sz w:val="26"/>
          <w:szCs w:val="26"/>
        </w:rPr>
        <w:t>ваш пацієнт</w:t>
      </w:r>
      <w:r w:rsidRPr="00FE135F">
        <w:rPr>
          <w:color w:val="211D1E"/>
          <w:kern w:val="2"/>
          <w:sz w:val="26"/>
          <w:szCs w:val="26"/>
        </w:rPr>
        <w:t xml:space="preserve"> подорожуєте літаком, </w:t>
      </w:r>
      <w:r w:rsidR="003C0CA9" w:rsidRPr="00FE135F">
        <w:rPr>
          <w:color w:val="211D1E"/>
          <w:kern w:val="2"/>
          <w:sz w:val="26"/>
          <w:szCs w:val="26"/>
        </w:rPr>
        <w:t xml:space="preserve">порадьте </w:t>
      </w:r>
      <w:r w:rsidRPr="00FE135F">
        <w:rPr>
          <w:color w:val="211D1E"/>
          <w:kern w:val="2"/>
          <w:sz w:val="26"/>
          <w:szCs w:val="26"/>
        </w:rPr>
        <w:t xml:space="preserve">заздалегідь </w:t>
      </w:r>
      <w:r w:rsidR="003C0CA9" w:rsidRPr="00FE135F">
        <w:rPr>
          <w:color w:val="211D1E"/>
          <w:kern w:val="2"/>
          <w:sz w:val="26"/>
          <w:szCs w:val="26"/>
        </w:rPr>
        <w:t>запитати</w:t>
      </w:r>
      <w:r w:rsidRPr="00FE135F">
        <w:rPr>
          <w:color w:val="211D1E"/>
          <w:kern w:val="2"/>
          <w:sz w:val="26"/>
          <w:szCs w:val="26"/>
        </w:rPr>
        <w:t xml:space="preserve"> в авіакомпанії або відповідних органів, чи може </w:t>
      </w:r>
      <w:r w:rsidR="003C0CA9" w:rsidRPr="00FE135F">
        <w:rPr>
          <w:color w:val="211D1E"/>
          <w:kern w:val="2"/>
          <w:sz w:val="26"/>
          <w:szCs w:val="26"/>
        </w:rPr>
        <w:t>він</w:t>
      </w:r>
      <w:r w:rsidRPr="00FE135F">
        <w:rPr>
          <w:color w:val="211D1E"/>
          <w:kern w:val="2"/>
          <w:sz w:val="26"/>
          <w:szCs w:val="26"/>
        </w:rPr>
        <w:t xml:space="preserve"> взяти препарат ЕНБРЕЛ із собою в літак як ручну поклажу або чи можна його покласти до холодильника на час польоту.</w:t>
      </w:r>
    </w:p>
    <w:p w14:paraId="01DE232E" w14:textId="77777777" w:rsidR="00300E60" w:rsidRPr="00FE135F" w:rsidRDefault="00300E60" w:rsidP="00C61464">
      <w:pPr>
        <w:autoSpaceDE w:val="0"/>
        <w:autoSpaceDN w:val="0"/>
        <w:adjustRightInd w:val="0"/>
        <w:ind w:left="576"/>
        <w:rPr>
          <w:rFonts w:cs="Arial"/>
          <w:color w:val="211D1E"/>
          <w:kern w:val="2"/>
          <w:sz w:val="14"/>
          <w:szCs w:val="28"/>
        </w:rPr>
      </w:pPr>
    </w:p>
    <w:p w14:paraId="41F8521C" w14:textId="31B01B5A" w:rsidR="00C61464" w:rsidRPr="00FE135F" w:rsidRDefault="00C61464" w:rsidP="00D40B38">
      <w:pPr>
        <w:autoSpaceDE w:val="0"/>
        <w:autoSpaceDN w:val="0"/>
        <w:adjustRightInd w:val="0"/>
        <w:ind w:left="576"/>
        <w:rPr>
          <w:rFonts w:cs="Arial"/>
          <w:color w:val="211D1E"/>
          <w:kern w:val="2"/>
          <w:sz w:val="26"/>
          <w:szCs w:val="26"/>
        </w:rPr>
      </w:pPr>
      <w:r w:rsidRPr="00FE135F">
        <w:rPr>
          <w:color w:val="211D1E"/>
          <w:kern w:val="2"/>
          <w:sz w:val="26"/>
          <w:szCs w:val="26"/>
        </w:rPr>
        <w:t xml:space="preserve">Рекомендовано </w:t>
      </w:r>
      <w:r w:rsidR="003C0CA9" w:rsidRPr="00FE135F">
        <w:rPr>
          <w:color w:val="211D1E"/>
          <w:kern w:val="2"/>
          <w:sz w:val="26"/>
          <w:szCs w:val="26"/>
        </w:rPr>
        <w:t xml:space="preserve">пацієнту </w:t>
      </w:r>
      <w:r w:rsidRPr="00FE135F">
        <w:rPr>
          <w:color w:val="211D1E"/>
          <w:kern w:val="2"/>
          <w:sz w:val="26"/>
          <w:szCs w:val="26"/>
        </w:rPr>
        <w:t xml:space="preserve">мати із собою рецепт на препарат ЕНБРЕЛ та лист від лікаря на той випадок, якщо знадобиться пояснити митній службі та службі безпеки аеропорту, чому </w:t>
      </w:r>
      <w:r w:rsidR="00FE289C" w:rsidRPr="00FE135F">
        <w:rPr>
          <w:color w:val="211D1E"/>
          <w:kern w:val="2"/>
          <w:sz w:val="26"/>
          <w:szCs w:val="26"/>
        </w:rPr>
        <w:t xml:space="preserve">йому/їй </w:t>
      </w:r>
      <w:r w:rsidRPr="00FE135F">
        <w:rPr>
          <w:color w:val="211D1E"/>
          <w:kern w:val="2"/>
          <w:sz w:val="26"/>
          <w:szCs w:val="26"/>
        </w:rPr>
        <w:t xml:space="preserve">потрібно мати МАЙ КЛІК при собі. Вдома </w:t>
      </w:r>
      <w:r w:rsidR="003C0CA9" w:rsidRPr="00FE135F">
        <w:rPr>
          <w:color w:val="211D1E"/>
          <w:kern w:val="2"/>
          <w:sz w:val="26"/>
          <w:szCs w:val="26"/>
        </w:rPr>
        <w:t xml:space="preserve">необхідно </w:t>
      </w:r>
      <w:r w:rsidRPr="00FE135F">
        <w:rPr>
          <w:color w:val="211D1E"/>
          <w:kern w:val="2"/>
          <w:sz w:val="26"/>
          <w:szCs w:val="26"/>
        </w:rPr>
        <w:t>залиш</w:t>
      </w:r>
      <w:r w:rsidR="003C0CA9" w:rsidRPr="00FE135F">
        <w:rPr>
          <w:color w:val="211D1E"/>
          <w:kern w:val="2"/>
          <w:sz w:val="26"/>
          <w:szCs w:val="26"/>
        </w:rPr>
        <w:t>ити</w:t>
      </w:r>
      <w:r w:rsidRPr="00FE135F">
        <w:rPr>
          <w:color w:val="211D1E"/>
          <w:kern w:val="2"/>
          <w:sz w:val="26"/>
          <w:szCs w:val="26"/>
        </w:rPr>
        <w:t xml:space="preserve"> копії рецепт</w:t>
      </w:r>
      <w:r w:rsidR="00FE289C" w:rsidRPr="00FE135F">
        <w:rPr>
          <w:color w:val="211D1E"/>
          <w:kern w:val="2"/>
          <w:sz w:val="26"/>
          <w:szCs w:val="26"/>
        </w:rPr>
        <w:t>а</w:t>
      </w:r>
      <w:r w:rsidRPr="00FE135F">
        <w:rPr>
          <w:color w:val="211D1E"/>
          <w:kern w:val="2"/>
          <w:sz w:val="26"/>
          <w:szCs w:val="26"/>
        </w:rPr>
        <w:t xml:space="preserve"> та листа на той випадок, якщо </w:t>
      </w:r>
      <w:r w:rsidR="003C0CA9" w:rsidRPr="00FE135F">
        <w:rPr>
          <w:color w:val="211D1E"/>
          <w:kern w:val="2"/>
          <w:sz w:val="26"/>
          <w:szCs w:val="26"/>
        </w:rPr>
        <w:t>пацієнт</w:t>
      </w:r>
      <w:r w:rsidRPr="00FE135F">
        <w:rPr>
          <w:color w:val="211D1E"/>
          <w:kern w:val="2"/>
          <w:sz w:val="26"/>
          <w:szCs w:val="26"/>
        </w:rPr>
        <w:t xml:space="preserve"> загуб</w:t>
      </w:r>
      <w:r w:rsidR="00FE289C" w:rsidRPr="00FE135F">
        <w:rPr>
          <w:color w:val="211D1E"/>
          <w:kern w:val="2"/>
          <w:sz w:val="26"/>
          <w:szCs w:val="26"/>
        </w:rPr>
        <w:t>ить</w:t>
      </w:r>
      <w:r w:rsidRPr="00FE135F">
        <w:rPr>
          <w:color w:val="211D1E"/>
          <w:kern w:val="2"/>
          <w:sz w:val="26"/>
          <w:szCs w:val="26"/>
        </w:rPr>
        <w:t xml:space="preserve"> оригінали. </w:t>
      </w:r>
    </w:p>
    <w:p w14:paraId="6E72D111" w14:textId="77777777" w:rsidR="00C61464" w:rsidRPr="00FE135F" w:rsidRDefault="00C61464" w:rsidP="00C61464">
      <w:pPr>
        <w:ind w:left="576"/>
        <w:rPr>
          <w:kern w:val="2"/>
        </w:rPr>
      </w:pPr>
    </w:p>
    <w:p w14:paraId="45CB624D" w14:textId="77777777" w:rsidR="00BB59C9" w:rsidRPr="00FE135F" w:rsidRDefault="00BB59C9" w:rsidP="00C61464">
      <w:pPr>
        <w:ind w:left="576"/>
        <w:rPr>
          <w:kern w:val="2"/>
        </w:rPr>
      </w:pPr>
    </w:p>
    <w:p w14:paraId="2686F7D2" w14:textId="77777777" w:rsidR="00C61464" w:rsidRPr="00FE135F" w:rsidRDefault="00C61464" w:rsidP="00C61464">
      <w:pPr>
        <w:ind w:left="576"/>
        <w:rPr>
          <w:kern w:val="2"/>
        </w:rPr>
      </w:pPr>
    </w:p>
    <w:p w14:paraId="22DDF095" w14:textId="3D10F905" w:rsidR="00C61464" w:rsidRPr="008F6347" w:rsidRDefault="00C61464" w:rsidP="00E81B7D">
      <w:pPr>
        <w:autoSpaceDE w:val="0"/>
        <w:autoSpaceDN w:val="0"/>
        <w:adjustRightInd w:val="0"/>
        <w:ind w:left="576" w:right="3098"/>
        <w:rPr>
          <w:rFonts w:cs="Arial"/>
          <w:color w:val="428F9D"/>
          <w:kern w:val="2"/>
          <w:sz w:val="21"/>
          <w:szCs w:val="21"/>
        </w:rPr>
      </w:pPr>
      <w:r w:rsidRPr="00FE135F">
        <w:rPr>
          <w:b/>
          <w:color w:val="428F9D"/>
          <w:kern w:val="2"/>
          <w:sz w:val="21"/>
          <w:szCs w:val="21"/>
        </w:rPr>
        <w:t xml:space="preserve">Якщо у </w:t>
      </w:r>
      <w:r w:rsidR="003C0CA9" w:rsidRPr="00FE135F">
        <w:rPr>
          <w:b/>
          <w:color w:val="428F9D"/>
          <w:kern w:val="2"/>
          <w:sz w:val="21"/>
          <w:szCs w:val="21"/>
        </w:rPr>
        <w:t>пацієнта</w:t>
      </w:r>
      <w:r w:rsidRPr="00FE135F">
        <w:rPr>
          <w:b/>
          <w:color w:val="428F9D"/>
          <w:kern w:val="2"/>
          <w:sz w:val="21"/>
          <w:szCs w:val="21"/>
        </w:rPr>
        <w:t xml:space="preserve"> є запитання або потрібна додаткова інформація, </w:t>
      </w:r>
      <w:r w:rsidR="003C0CA9" w:rsidRPr="00FE135F">
        <w:rPr>
          <w:b/>
          <w:color w:val="428F9D"/>
          <w:kern w:val="2"/>
          <w:sz w:val="21"/>
          <w:szCs w:val="21"/>
        </w:rPr>
        <w:t>порекомендуйте звернутися</w:t>
      </w:r>
      <w:r w:rsidRPr="00FE135F">
        <w:rPr>
          <w:b/>
          <w:color w:val="428F9D"/>
          <w:kern w:val="2"/>
          <w:sz w:val="21"/>
          <w:szCs w:val="21"/>
        </w:rPr>
        <w:t xml:space="preserve"> до лікаря, медсестри або фармацевта.</w:t>
      </w:r>
      <w:r w:rsidRPr="008F6347">
        <w:rPr>
          <w:b/>
          <w:color w:val="428F9D"/>
          <w:kern w:val="2"/>
          <w:sz w:val="21"/>
          <w:szCs w:val="21"/>
        </w:rPr>
        <w:t xml:space="preserve"> </w:t>
      </w:r>
    </w:p>
    <w:p w14:paraId="37634DEF" w14:textId="77777777" w:rsidR="00F35812" w:rsidRPr="008F6347" w:rsidRDefault="00F35812" w:rsidP="00F35812">
      <w:pPr>
        <w:autoSpaceDE w:val="0"/>
        <w:autoSpaceDN w:val="0"/>
        <w:adjustRightInd w:val="0"/>
        <w:ind w:left="576"/>
        <w:rPr>
          <w:rFonts w:cs="Arial"/>
          <w:color w:val="211D1E"/>
          <w:kern w:val="2"/>
          <w:sz w:val="14"/>
          <w:szCs w:val="28"/>
        </w:rPr>
      </w:pPr>
    </w:p>
    <w:p w14:paraId="7464E7FD" w14:textId="77777777" w:rsidR="00C61464" w:rsidRPr="008F6347" w:rsidRDefault="00C61464" w:rsidP="00C61464">
      <w:pPr>
        <w:pStyle w:val="a9"/>
        <w:rPr>
          <w:kern w:val="2"/>
        </w:rPr>
      </w:pPr>
    </w:p>
    <w:p w14:paraId="5E24C620" w14:textId="77777777" w:rsidR="00C61464" w:rsidRPr="008F6347" w:rsidRDefault="00C61464" w:rsidP="00445F1F">
      <w:pPr>
        <w:pStyle w:val="a9"/>
        <w:rPr>
          <w:kern w:val="2"/>
        </w:rPr>
      </w:pPr>
    </w:p>
    <w:p w14:paraId="43D1A526" w14:textId="77777777" w:rsidR="00B54B73" w:rsidRPr="008F6347" w:rsidRDefault="00B54B73" w:rsidP="00445F1F">
      <w:pPr>
        <w:pStyle w:val="a9"/>
        <w:rPr>
          <w:kern w:val="2"/>
        </w:rPr>
      </w:pPr>
    </w:p>
    <w:p w14:paraId="5CB96F61" w14:textId="77777777" w:rsidR="00075562" w:rsidRPr="008F6347" w:rsidRDefault="00075562">
      <w:pPr>
        <w:spacing w:after="200" w:line="276" w:lineRule="auto"/>
        <w:rPr>
          <w:kern w:val="2"/>
        </w:rPr>
      </w:pPr>
      <w:r w:rsidRPr="008F6347">
        <w:rPr>
          <w:kern w:val="2"/>
        </w:rPr>
        <w:br w:type="page"/>
      </w:r>
    </w:p>
    <w:p w14:paraId="50F2CE81" w14:textId="77777777" w:rsidR="00075562" w:rsidRPr="008F6347" w:rsidRDefault="00075562" w:rsidP="00445F1F">
      <w:pPr>
        <w:pStyle w:val="a9"/>
        <w:rPr>
          <w:kern w:val="2"/>
        </w:rPr>
      </w:pPr>
    </w:p>
    <w:p w14:paraId="0DE904C8" w14:textId="77777777" w:rsidR="00075562" w:rsidRPr="008F6347" w:rsidRDefault="00075562" w:rsidP="00445F1F">
      <w:pPr>
        <w:pStyle w:val="a9"/>
        <w:rPr>
          <w:kern w:val="2"/>
        </w:rPr>
      </w:pPr>
    </w:p>
    <w:p w14:paraId="3F691EEF" w14:textId="77777777" w:rsidR="00075562" w:rsidRPr="008F6347" w:rsidRDefault="00075562" w:rsidP="00445F1F">
      <w:pPr>
        <w:pStyle w:val="a9"/>
        <w:rPr>
          <w:kern w:val="2"/>
        </w:rPr>
      </w:pPr>
    </w:p>
    <w:p w14:paraId="3ED48C18" w14:textId="77777777" w:rsidR="00075562" w:rsidRPr="005C5F28" w:rsidRDefault="00075562" w:rsidP="00075562">
      <w:pPr>
        <w:pStyle w:val="a9"/>
        <w:ind w:left="144"/>
        <w:rPr>
          <w:rFonts w:cs="Arial"/>
          <w:b/>
          <w:bCs/>
          <w:color w:val="202377"/>
          <w:kern w:val="2"/>
          <w:sz w:val="40"/>
          <w:szCs w:val="40"/>
          <w:lang w:val="ru-RU"/>
        </w:rPr>
      </w:pPr>
      <w:r w:rsidRPr="00FE135F">
        <w:rPr>
          <w:b/>
          <w:color w:val="202377"/>
          <w:kern w:val="2"/>
          <w:sz w:val="40"/>
        </w:rPr>
        <w:t>ПРИМІТКИ</w:t>
      </w:r>
    </w:p>
    <w:p w14:paraId="7B0F4351" w14:textId="77777777" w:rsidR="00075562" w:rsidRPr="008F6347" w:rsidRDefault="00075562" w:rsidP="00445F1F">
      <w:pPr>
        <w:pStyle w:val="a9"/>
        <w:rPr>
          <w:kern w:val="2"/>
        </w:rPr>
      </w:pPr>
    </w:p>
    <w:p w14:paraId="13966906" w14:textId="7F187E86" w:rsidR="00075562" w:rsidRPr="008F6347" w:rsidRDefault="00075562" w:rsidP="00075562">
      <w:pPr>
        <w:pStyle w:val="a9"/>
        <w:tabs>
          <w:tab w:val="left" w:leader="underscore" w:pos="8622"/>
        </w:tabs>
        <w:spacing w:after="600"/>
        <w:ind w:left="202"/>
        <w:rPr>
          <w:kern w:val="2"/>
        </w:rPr>
      </w:pPr>
      <w:r w:rsidRPr="008F6347">
        <w:rPr>
          <w:kern w:val="2"/>
        </w:rPr>
        <w:tab/>
      </w:r>
    </w:p>
    <w:p w14:paraId="0C47C28E" w14:textId="77777777" w:rsidR="004B7ED7" w:rsidRPr="008F6347" w:rsidRDefault="00075562" w:rsidP="00075562">
      <w:pPr>
        <w:pStyle w:val="a9"/>
        <w:tabs>
          <w:tab w:val="left" w:leader="underscore" w:pos="8622"/>
        </w:tabs>
        <w:spacing w:after="600"/>
        <w:ind w:left="202"/>
        <w:rPr>
          <w:kern w:val="2"/>
        </w:rPr>
      </w:pPr>
      <w:r w:rsidRPr="008F6347">
        <w:rPr>
          <w:kern w:val="2"/>
        </w:rPr>
        <w:tab/>
      </w:r>
    </w:p>
    <w:p w14:paraId="37FF7DFB"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5F90C918"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507F7F6D"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46484D0B"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5EC06DAB"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173C2EB0"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7AD7C92F"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434E1991"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2637B581"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423AE9EF"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692D4805" w14:textId="77777777" w:rsidR="00075562" w:rsidRPr="008F6347" w:rsidRDefault="00075562" w:rsidP="00075562">
      <w:pPr>
        <w:pStyle w:val="a9"/>
        <w:tabs>
          <w:tab w:val="left" w:leader="underscore" w:pos="8622"/>
        </w:tabs>
        <w:spacing w:after="600"/>
        <w:ind w:left="202"/>
        <w:rPr>
          <w:kern w:val="2"/>
        </w:rPr>
      </w:pPr>
      <w:r w:rsidRPr="008F6347">
        <w:rPr>
          <w:kern w:val="2"/>
        </w:rPr>
        <w:tab/>
      </w:r>
    </w:p>
    <w:p w14:paraId="0930CBA0" w14:textId="77777777" w:rsidR="00075562" w:rsidRPr="008F6347" w:rsidRDefault="00075562" w:rsidP="00445F1F">
      <w:pPr>
        <w:pStyle w:val="a9"/>
        <w:rPr>
          <w:kern w:val="2"/>
        </w:rPr>
      </w:pPr>
    </w:p>
    <w:p w14:paraId="30006A81" w14:textId="77777777" w:rsidR="00075562" w:rsidRPr="008F6347" w:rsidRDefault="00075562" w:rsidP="00445F1F">
      <w:pPr>
        <w:pStyle w:val="a9"/>
        <w:rPr>
          <w:kern w:val="2"/>
        </w:rPr>
      </w:pPr>
    </w:p>
    <w:p w14:paraId="1B02A53E" w14:textId="77777777" w:rsidR="00075562" w:rsidRPr="008F6347" w:rsidRDefault="00075562" w:rsidP="00445F1F">
      <w:pPr>
        <w:pStyle w:val="a9"/>
        <w:rPr>
          <w:kern w:val="2"/>
        </w:rPr>
      </w:pPr>
    </w:p>
    <w:p w14:paraId="4F89EED9" w14:textId="77777777" w:rsidR="00075562" w:rsidRPr="008F6347" w:rsidRDefault="00075562">
      <w:pPr>
        <w:spacing w:after="200" w:line="276" w:lineRule="auto"/>
        <w:rPr>
          <w:kern w:val="2"/>
        </w:rPr>
      </w:pPr>
      <w:r w:rsidRPr="008F6347">
        <w:rPr>
          <w:kern w:val="2"/>
        </w:rPr>
        <w:br w:type="page"/>
      </w:r>
    </w:p>
    <w:p w14:paraId="799CE4ED" w14:textId="77777777" w:rsidR="00075562" w:rsidRPr="008F6347" w:rsidRDefault="00075562" w:rsidP="00445F1F">
      <w:pPr>
        <w:pStyle w:val="a9"/>
        <w:rPr>
          <w:kern w:val="2"/>
        </w:rPr>
      </w:pPr>
    </w:p>
    <w:p w14:paraId="13076018" w14:textId="77777777" w:rsidR="00075562" w:rsidRPr="008F6347" w:rsidRDefault="00075562" w:rsidP="00445F1F">
      <w:pPr>
        <w:pStyle w:val="a9"/>
        <w:rPr>
          <w:kern w:val="2"/>
        </w:rPr>
      </w:pPr>
    </w:p>
    <w:p w14:paraId="1CFE4646" w14:textId="77777777" w:rsidR="004328DF" w:rsidRPr="008F6347" w:rsidRDefault="004328DF" w:rsidP="00445F1F">
      <w:pPr>
        <w:pStyle w:val="a9"/>
        <w:rPr>
          <w:kern w:val="2"/>
        </w:rPr>
      </w:pPr>
    </w:p>
    <w:p w14:paraId="61DA9ED4" w14:textId="77777777" w:rsidR="004328DF" w:rsidRPr="008F6347" w:rsidRDefault="004328DF" w:rsidP="00445F1F">
      <w:pPr>
        <w:pStyle w:val="a9"/>
        <w:rPr>
          <w:kern w:val="2"/>
        </w:rPr>
      </w:pPr>
    </w:p>
    <w:p w14:paraId="1B0C1C16" w14:textId="77777777" w:rsidR="00F45559" w:rsidRPr="008F6347" w:rsidRDefault="00A22F8E" w:rsidP="00F45559">
      <w:pPr>
        <w:pStyle w:val="Pa7"/>
        <w:spacing w:line="240" w:lineRule="auto"/>
        <w:ind w:left="576"/>
        <w:rPr>
          <w:rFonts w:ascii="Arial" w:hAnsi="Arial" w:cs="Arial"/>
          <w:b/>
          <w:bCs/>
          <w:color w:val="202377"/>
          <w:kern w:val="2"/>
          <w:sz w:val="26"/>
          <w:szCs w:val="26"/>
        </w:rPr>
      </w:pPr>
      <w:r w:rsidRPr="008F6347">
        <w:rPr>
          <w:rFonts w:ascii="Arial" w:hAnsi="Arial"/>
          <w:b/>
          <w:color w:val="202377"/>
          <w:kern w:val="2"/>
          <w:sz w:val="26"/>
          <w:szCs w:val="26"/>
        </w:rPr>
        <w:t>Список літератури</w:t>
      </w:r>
    </w:p>
    <w:p w14:paraId="3A9E2F24" w14:textId="77777777" w:rsidR="002570E9" w:rsidRPr="008F6347" w:rsidRDefault="002570E9" w:rsidP="002570E9">
      <w:pPr>
        <w:pStyle w:val="Default"/>
        <w:rPr>
          <w:kern w:val="2"/>
        </w:rPr>
      </w:pPr>
    </w:p>
    <w:p w14:paraId="618345ED" w14:textId="2B9B191C" w:rsidR="00F45559" w:rsidRPr="00FE135F" w:rsidRDefault="00F45559" w:rsidP="00F45559">
      <w:pPr>
        <w:pStyle w:val="Default"/>
        <w:ind w:left="1008" w:hanging="432"/>
      </w:pPr>
      <w:r w:rsidRPr="008F6347">
        <w:rPr>
          <w:rStyle w:val="A70"/>
          <w:rFonts w:ascii="Arial" w:hAnsi="Arial"/>
          <w:b/>
          <w:kern w:val="2"/>
          <w:sz w:val="26"/>
          <w:szCs w:val="26"/>
        </w:rPr>
        <w:t>1.</w:t>
      </w:r>
      <w:r w:rsidRPr="008F6347">
        <w:rPr>
          <w:kern w:val="2"/>
          <w:sz w:val="26"/>
          <w:szCs w:val="26"/>
        </w:rPr>
        <w:tab/>
      </w:r>
      <w:r w:rsidR="00BD7FB4" w:rsidRPr="00FE135F">
        <w:rPr>
          <w:rFonts w:ascii="Arial" w:hAnsi="Arial"/>
          <w:color w:val="4A5D6A"/>
          <w:kern w:val="2"/>
          <w:sz w:val="26"/>
          <w:szCs w:val="26"/>
        </w:rPr>
        <w:t>ІНСТРУКЦІЯ для медичного застосування лікарського засобу Енбрел®</w:t>
      </w:r>
      <w:r w:rsidR="004143CC" w:rsidRPr="00FE135F">
        <w:t>.</w:t>
      </w:r>
      <w:r w:rsidR="00BD7FB4" w:rsidRPr="00FE135F">
        <w:rPr>
          <w:rStyle w:val="A70"/>
          <w:rFonts w:ascii="Arial" w:hAnsi="Arial"/>
          <w:kern w:val="2"/>
          <w:sz w:val="26"/>
          <w:szCs w:val="26"/>
          <w:lang w:val="ru-RU"/>
        </w:rPr>
        <w:t xml:space="preserve"> </w:t>
      </w:r>
      <w:r w:rsidR="00BD7FB4" w:rsidRPr="00FE135F">
        <w:rPr>
          <w:rFonts w:ascii="Arial" w:hAnsi="Arial"/>
          <w:color w:val="4A5D6A"/>
          <w:kern w:val="2"/>
          <w:sz w:val="26"/>
          <w:szCs w:val="26"/>
        </w:rPr>
        <w:t>Реєстраційне посвідчення № UA/16786/01/01</w:t>
      </w:r>
      <w:r w:rsidR="00BD7FB4" w:rsidRPr="00FE135F">
        <w:rPr>
          <w:rFonts w:ascii="Arial" w:hAnsi="Arial"/>
          <w:color w:val="4A5D6A"/>
          <w:kern w:val="2"/>
          <w:sz w:val="26"/>
          <w:szCs w:val="26"/>
          <w:lang w:val="en-US"/>
        </w:rPr>
        <w:t xml:space="preserve"> </w:t>
      </w:r>
      <w:r w:rsidR="00BD7FB4" w:rsidRPr="00FE135F">
        <w:rPr>
          <w:rFonts w:ascii="Arial" w:hAnsi="Arial"/>
          <w:color w:val="4A5D6A"/>
          <w:kern w:val="2"/>
          <w:sz w:val="26"/>
          <w:szCs w:val="26"/>
        </w:rPr>
        <w:t xml:space="preserve">від </w:t>
      </w:r>
      <w:r w:rsidR="00FE289C" w:rsidRPr="00FE135F">
        <w:rPr>
          <w:rFonts w:ascii="Arial" w:hAnsi="Arial"/>
          <w:color w:val="4A5D6A"/>
          <w:kern w:val="2"/>
          <w:sz w:val="26"/>
          <w:szCs w:val="26"/>
        </w:rPr>
        <w:t>21</w:t>
      </w:r>
      <w:r w:rsidR="00754F73" w:rsidRPr="00FE135F">
        <w:rPr>
          <w:rFonts w:ascii="Arial" w:hAnsi="Arial"/>
          <w:color w:val="4A5D6A"/>
          <w:kern w:val="2"/>
          <w:sz w:val="26"/>
          <w:szCs w:val="26"/>
        </w:rPr>
        <w:t>.0</w:t>
      </w:r>
      <w:r w:rsidR="00FE289C" w:rsidRPr="00FE135F">
        <w:rPr>
          <w:rFonts w:ascii="Arial" w:hAnsi="Arial"/>
          <w:color w:val="4A5D6A"/>
          <w:kern w:val="2"/>
          <w:sz w:val="26"/>
          <w:szCs w:val="26"/>
        </w:rPr>
        <w:t>6.2018</w:t>
      </w:r>
      <w:r w:rsidR="00754F73" w:rsidRPr="00FE135F">
        <w:rPr>
          <w:rFonts w:ascii="Arial" w:hAnsi="Arial"/>
          <w:color w:val="4A5D6A"/>
          <w:kern w:val="2"/>
          <w:sz w:val="26"/>
          <w:szCs w:val="26"/>
        </w:rPr>
        <w:t xml:space="preserve">, </w:t>
      </w:r>
      <w:r w:rsidR="00FE289C" w:rsidRPr="00FE135F">
        <w:rPr>
          <w:rFonts w:ascii="Arial" w:hAnsi="Arial"/>
          <w:color w:val="4A5D6A"/>
          <w:kern w:val="2"/>
          <w:sz w:val="26"/>
          <w:szCs w:val="26"/>
        </w:rPr>
        <w:t xml:space="preserve">наказ МОЗ України № </w:t>
      </w:r>
      <w:r w:rsidR="00BD7FB4" w:rsidRPr="00FE135F">
        <w:rPr>
          <w:rFonts w:ascii="Arial" w:hAnsi="Arial"/>
          <w:color w:val="4A5D6A"/>
          <w:kern w:val="2"/>
          <w:sz w:val="26"/>
          <w:szCs w:val="26"/>
        </w:rPr>
        <w:t>1192.</w:t>
      </w:r>
    </w:p>
    <w:p w14:paraId="041E8ABD" w14:textId="77777777" w:rsidR="00F45559" w:rsidRPr="00FE135F" w:rsidRDefault="00F45559" w:rsidP="00F45559">
      <w:pPr>
        <w:rPr>
          <w:kern w:val="2"/>
          <w:sz w:val="26"/>
          <w:szCs w:val="26"/>
        </w:rPr>
      </w:pPr>
    </w:p>
    <w:p w14:paraId="22BD2EE2" w14:textId="4812D57B" w:rsidR="00075562" w:rsidRPr="004143CC" w:rsidRDefault="00F45559" w:rsidP="00F45559">
      <w:pPr>
        <w:pStyle w:val="a9"/>
        <w:autoSpaceDE w:val="0"/>
        <w:autoSpaceDN w:val="0"/>
        <w:adjustRightInd w:val="0"/>
        <w:ind w:left="1008" w:hanging="432"/>
        <w:rPr>
          <w:rStyle w:val="A70"/>
          <w:kern w:val="2"/>
          <w:sz w:val="26"/>
          <w:szCs w:val="26"/>
        </w:rPr>
      </w:pPr>
      <w:r w:rsidRPr="00FE135F">
        <w:rPr>
          <w:rStyle w:val="A70"/>
          <w:b/>
          <w:kern w:val="2"/>
          <w:sz w:val="26"/>
          <w:szCs w:val="26"/>
        </w:rPr>
        <w:t>2.</w:t>
      </w:r>
      <w:r w:rsidRPr="00FE135F">
        <w:rPr>
          <w:kern w:val="2"/>
          <w:sz w:val="26"/>
          <w:szCs w:val="26"/>
        </w:rPr>
        <w:tab/>
      </w:r>
      <w:r w:rsidR="004143CC" w:rsidRPr="00FE135F">
        <w:rPr>
          <w:rStyle w:val="A70"/>
          <w:kern w:val="2"/>
          <w:sz w:val="26"/>
          <w:szCs w:val="26"/>
        </w:rPr>
        <w:t>Müller-Ladner U, Flipo RM, Vincendon P, Brault Y, Kielar D. Comparison of patient satisfaction with two different etanercept delivery systems. Z Rheumatol. 2012;71(10):890-899.</w:t>
      </w:r>
    </w:p>
    <w:p w14:paraId="4EBC4CBF" w14:textId="77777777" w:rsidR="00F45559" w:rsidRPr="008F6347" w:rsidRDefault="00F45559" w:rsidP="00445F1F">
      <w:pPr>
        <w:pStyle w:val="a9"/>
        <w:rPr>
          <w:kern w:val="2"/>
        </w:rPr>
      </w:pPr>
    </w:p>
    <w:p w14:paraId="28D92184" w14:textId="77777777" w:rsidR="00F45559" w:rsidRPr="008F6347" w:rsidRDefault="00F45559" w:rsidP="00445F1F">
      <w:pPr>
        <w:pStyle w:val="a9"/>
        <w:rPr>
          <w:kern w:val="2"/>
        </w:rPr>
      </w:pPr>
    </w:p>
    <w:p w14:paraId="2CE78E89" w14:textId="77777777" w:rsidR="00F45559" w:rsidRPr="008F6347" w:rsidRDefault="00F45559" w:rsidP="00445F1F">
      <w:pPr>
        <w:pStyle w:val="a9"/>
        <w:rPr>
          <w:kern w:val="2"/>
        </w:rPr>
      </w:pPr>
    </w:p>
    <w:p w14:paraId="4A53DF7B" w14:textId="77777777" w:rsidR="00F5560E" w:rsidRPr="008F6347" w:rsidRDefault="00F5560E" w:rsidP="00445F1F">
      <w:pPr>
        <w:pStyle w:val="a9"/>
        <w:rPr>
          <w:kern w:val="2"/>
        </w:rPr>
        <w:sectPr w:rsidR="00F5560E" w:rsidRPr="008F6347" w:rsidSect="006836FB">
          <w:headerReference w:type="even" r:id="rId23"/>
          <w:footerReference w:type="even" r:id="rId24"/>
          <w:headerReference w:type="first" r:id="rId25"/>
          <w:footerReference w:type="first" r:id="rId26"/>
          <w:pgSz w:w="11909" w:h="16834" w:code="9"/>
          <w:pgMar w:top="720" w:right="720" w:bottom="720" w:left="720" w:header="288" w:footer="288" w:gutter="0"/>
          <w:cols w:space="720"/>
          <w:titlePg/>
          <w:docGrid w:linePitch="360"/>
        </w:sectPr>
      </w:pPr>
    </w:p>
    <w:p w14:paraId="6683BEB3" w14:textId="6373DA34" w:rsidR="007A1663" w:rsidRDefault="007A1663" w:rsidP="00445F1F">
      <w:pPr>
        <w:pStyle w:val="a9"/>
        <w:rPr>
          <w:kern w:val="2"/>
        </w:rPr>
      </w:pPr>
    </w:p>
    <w:tbl>
      <w:tblPr>
        <w:tblW w:w="9639" w:type="dxa"/>
        <w:tblLayout w:type="fixed"/>
        <w:tblLook w:val="0000" w:firstRow="0" w:lastRow="0" w:firstColumn="0" w:lastColumn="0" w:noHBand="0" w:noVBand="0"/>
      </w:tblPr>
      <w:tblGrid>
        <w:gridCol w:w="5040"/>
        <w:gridCol w:w="4599"/>
      </w:tblGrid>
      <w:tr w:rsidR="00FE289C" w:rsidRPr="00FE289C" w14:paraId="70920CD5" w14:textId="77777777" w:rsidTr="00FE289C">
        <w:tc>
          <w:tcPr>
            <w:tcW w:w="5040" w:type="dxa"/>
          </w:tcPr>
          <w:p w14:paraId="6ECB470C" w14:textId="77777777" w:rsidR="00407401" w:rsidRPr="00407401" w:rsidRDefault="00407401" w:rsidP="00407401">
            <w:pPr>
              <w:pStyle w:val="a9"/>
              <w:ind w:right="594"/>
              <w:jc w:val="right"/>
              <w:rPr>
                <w:kern w:val="2"/>
              </w:rPr>
            </w:pPr>
            <w:r w:rsidRPr="00407401">
              <w:rPr>
                <w:kern w:val="2"/>
              </w:rPr>
              <w:t>ЗАТВЕРДЖЕНО</w:t>
            </w:r>
          </w:p>
          <w:p w14:paraId="077187D5" w14:textId="77777777" w:rsidR="00407401" w:rsidRPr="00407401" w:rsidRDefault="00407401" w:rsidP="00407401">
            <w:pPr>
              <w:pStyle w:val="a9"/>
              <w:ind w:right="594"/>
              <w:jc w:val="right"/>
              <w:rPr>
                <w:kern w:val="2"/>
              </w:rPr>
            </w:pPr>
            <w:r w:rsidRPr="00407401">
              <w:rPr>
                <w:kern w:val="2"/>
              </w:rPr>
              <w:t xml:space="preserve">Наказ Міністерства охорони </w:t>
            </w:r>
          </w:p>
          <w:p w14:paraId="29749C38" w14:textId="77777777" w:rsidR="00407401" w:rsidRPr="00407401" w:rsidRDefault="00407401" w:rsidP="00407401">
            <w:pPr>
              <w:pStyle w:val="a9"/>
              <w:ind w:right="594"/>
              <w:jc w:val="right"/>
              <w:rPr>
                <w:kern w:val="2"/>
              </w:rPr>
            </w:pPr>
            <w:r w:rsidRPr="00407401">
              <w:rPr>
                <w:kern w:val="2"/>
              </w:rPr>
              <w:t>здоров’я України</w:t>
            </w:r>
          </w:p>
          <w:p w14:paraId="7999DFC4" w14:textId="77777777" w:rsidR="00407401" w:rsidRPr="00407401" w:rsidRDefault="00407401" w:rsidP="00407401">
            <w:pPr>
              <w:pStyle w:val="a9"/>
              <w:ind w:right="594"/>
              <w:jc w:val="right"/>
              <w:rPr>
                <w:kern w:val="2"/>
              </w:rPr>
            </w:pPr>
            <w:r w:rsidRPr="00407401">
              <w:rPr>
                <w:kern w:val="2"/>
              </w:rPr>
              <w:t>21.06.2018 № 1192</w:t>
            </w:r>
          </w:p>
          <w:p w14:paraId="1F2A50BA" w14:textId="77777777" w:rsidR="00407401" w:rsidRPr="00407401" w:rsidRDefault="00407401" w:rsidP="00407401">
            <w:pPr>
              <w:pStyle w:val="a9"/>
              <w:ind w:right="594"/>
              <w:jc w:val="right"/>
              <w:rPr>
                <w:kern w:val="2"/>
              </w:rPr>
            </w:pPr>
            <w:r w:rsidRPr="00407401">
              <w:rPr>
                <w:kern w:val="2"/>
              </w:rPr>
              <w:t xml:space="preserve">Реєстраційне посвідчення </w:t>
            </w:r>
          </w:p>
          <w:p w14:paraId="3567A00D" w14:textId="77777777" w:rsidR="00407401" w:rsidRPr="00407401" w:rsidRDefault="00407401" w:rsidP="00407401">
            <w:pPr>
              <w:pStyle w:val="a9"/>
              <w:ind w:right="594"/>
              <w:jc w:val="right"/>
              <w:rPr>
                <w:kern w:val="2"/>
              </w:rPr>
            </w:pPr>
            <w:r w:rsidRPr="00407401">
              <w:rPr>
                <w:kern w:val="2"/>
              </w:rPr>
              <w:t>№ UA/16786/01/01</w:t>
            </w:r>
          </w:p>
          <w:p w14:paraId="74643F83" w14:textId="77777777" w:rsidR="00FE289C" w:rsidRPr="00FE289C" w:rsidRDefault="00FE289C" w:rsidP="00FE289C">
            <w:pPr>
              <w:pStyle w:val="a9"/>
              <w:rPr>
                <w:kern w:val="2"/>
              </w:rPr>
            </w:pPr>
          </w:p>
        </w:tc>
        <w:tc>
          <w:tcPr>
            <w:tcW w:w="4599" w:type="dxa"/>
            <w:shd w:val="clear" w:color="auto" w:fill="auto"/>
          </w:tcPr>
          <w:p w14:paraId="44E56ACB" w14:textId="77777777" w:rsidR="00FE289C" w:rsidRPr="00FE289C" w:rsidRDefault="00FE289C" w:rsidP="00FE289C">
            <w:pPr>
              <w:pStyle w:val="a9"/>
              <w:rPr>
                <w:b/>
                <w:bCs/>
                <w:kern w:val="2"/>
              </w:rPr>
            </w:pPr>
            <w:r w:rsidRPr="00FE289C">
              <w:rPr>
                <w:b/>
                <w:bCs/>
                <w:kern w:val="2"/>
              </w:rPr>
              <w:t>ЗАТВЕРДЖЕНО</w:t>
            </w:r>
          </w:p>
          <w:p w14:paraId="303EBE4C" w14:textId="77777777" w:rsidR="00FE289C" w:rsidRPr="00FE289C" w:rsidRDefault="00FE289C" w:rsidP="00FE289C">
            <w:pPr>
              <w:pStyle w:val="a9"/>
              <w:rPr>
                <w:b/>
                <w:kern w:val="2"/>
              </w:rPr>
            </w:pPr>
            <w:r w:rsidRPr="00FE289C">
              <w:rPr>
                <w:b/>
                <w:kern w:val="2"/>
              </w:rPr>
              <w:t xml:space="preserve">Наказ Міністерства охорони </w:t>
            </w:r>
          </w:p>
          <w:p w14:paraId="72172733" w14:textId="77777777" w:rsidR="00FE289C" w:rsidRPr="00FE289C" w:rsidRDefault="00FE289C" w:rsidP="00FE289C">
            <w:pPr>
              <w:pStyle w:val="a9"/>
              <w:rPr>
                <w:b/>
                <w:kern w:val="2"/>
              </w:rPr>
            </w:pPr>
            <w:r w:rsidRPr="00FE289C">
              <w:rPr>
                <w:b/>
                <w:kern w:val="2"/>
              </w:rPr>
              <w:t>здоров’я України</w:t>
            </w:r>
          </w:p>
          <w:p w14:paraId="7D47B534" w14:textId="77777777" w:rsidR="00FE289C" w:rsidRPr="00FE289C" w:rsidRDefault="00FE289C" w:rsidP="00FE289C">
            <w:pPr>
              <w:pStyle w:val="a9"/>
              <w:rPr>
                <w:b/>
                <w:kern w:val="2"/>
                <w:lang w:val="en-US"/>
              </w:rPr>
            </w:pPr>
            <w:r w:rsidRPr="00FE289C">
              <w:rPr>
                <w:b/>
                <w:kern w:val="2"/>
                <w:u w:val="single"/>
              </w:rPr>
              <w:t>21.06.</w:t>
            </w:r>
            <w:r w:rsidRPr="00FE289C">
              <w:rPr>
                <w:b/>
                <w:kern w:val="2"/>
                <w:u w:val="single"/>
                <w:lang w:val="en-US"/>
              </w:rPr>
              <w:t>2018</w:t>
            </w:r>
            <w:r w:rsidRPr="00FE289C">
              <w:rPr>
                <w:b/>
                <w:kern w:val="2"/>
                <w:lang w:val="en-US"/>
              </w:rPr>
              <w:t xml:space="preserve"> </w:t>
            </w:r>
            <w:r w:rsidRPr="00FE289C">
              <w:rPr>
                <w:b/>
                <w:kern w:val="2"/>
              </w:rPr>
              <w:t xml:space="preserve">№ </w:t>
            </w:r>
            <w:r w:rsidRPr="00FE289C">
              <w:rPr>
                <w:b/>
                <w:kern w:val="2"/>
                <w:u w:val="single"/>
              </w:rPr>
              <w:t>1192</w:t>
            </w:r>
          </w:p>
          <w:p w14:paraId="42FF7876" w14:textId="77777777" w:rsidR="00FE289C" w:rsidRPr="00FE289C" w:rsidRDefault="00FE289C" w:rsidP="00FE289C">
            <w:pPr>
              <w:pStyle w:val="a9"/>
              <w:rPr>
                <w:b/>
                <w:bCs/>
                <w:kern w:val="2"/>
              </w:rPr>
            </w:pPr>
            <w:r w:rsidRPr="00FE289C">
              <w:rPr>
                <w:b/>
                <w:bCs/>
                <w:kern w:val="2"/>
              </w:rPr>
              <w:t xml:space="preserve">Реєстраційне посвідчення </w:t>
            </w:r>
          </w:p>
          <w:p w14:paraId="5DBD2859" w14:textId="77777777" w:rsidR="00FE289C" w:rsidRPr="00FE289C" w:rsidRDefault="00FE289C" w:rsidP="00FE289C">
            <w:pPr>
              <w:pStyle w:val="a9"/>
              <w:rPr>
                <w:b/>
                <w:bCs/>
                <w:kern w:val="2"/>
                <w:u w:val="single"/>
              </w:rPr>
            </w:pPr>
            <w:r w:rsidRPr="00FE289C">
              <w:rPr>
                <w:b/>
                <w:bCs/>
                <w:kern w:val="2"/>
              </w:rPr>
              <w:t xml:space="preserve">№ </w:t>
            </w:r>
            <w:r w:rsidRPr="00FE289C">
              <w:rPr>
                <w:b/>
                <w:bCs/>
                <w:kern w:val="2"/>
                <w:u w:val="single"/>
                <w:lang w:val="en-US"/>
              </w:rPr>
              <w:t>UA/16786/01/01</w:t>
            </w:r>
          </w:p>
          <w:p w14:paraId="3CC1C43C" w14:textId="77777777" w:rsidR="00FE289C" w:rsidRPr="00FE289C" w:rsidRDefault="00FE289C" w:rsidP="00FE289C">
            <w:pPr>
              <w:pStyle w:val="a9"/>
              <w:rPr>
                <w:b/>
                <w:bCs/>
                <w:kern w:val="2"/>
                <w:lang w:val="en-US"/>
              </w:rPr>
            </w:pPr>
          </w:p>
        </w:tc>
      </w:tr>
    </w:tbl>
    <w:p w14:paraId="2E033BD2" w14:textId="77777777" w:rsidR="00FE289C" w:rsidRPr="00FE289C" w:rsidRDefault="00FE289C" w:rsidP="00FE289C">
      <w:pPr>
        <w:pStyle w:val="a9"/>
        <w:rPr>
          <w:b/>
          <w:kern w:val="2"/>
          <w:lang w:val="en-US"/>
        </w:rPr>
      </w:pPr>
    </w:p>
    <w:p w14:paraId="4D1AA51B" w14:textId="77777777" w:rsidR="00FE289C" w:rsidRPr="00FE289C" w:rsidRDefault="00FE289C" w:rsidP="00FE289C">
      <w:pPr>
        <w:pStyle w:val="a9"/>
        <w:rPr>
          <w:b/>
          <w:kern w:val="2"/>
        </w:rPr>
      </w:pPr>
      <w:r w:rsidRPr="00FE289C">
        <w:rPr>
          <w:b/>
          <w:kern w:val="2"/>
        </w:rPr>
        <w:t>ІНСТРУКЦІЯ</w:t>
      </w:r>
    </w:p>
    <w:p w14:paraId="123CD108" w14:textId="77777777" w:rsidR="00FE289C" w:rsidRPr="00FE289C" w:rsidRDefault="00FE289C" w:rsidP="00FE289C">
      <w:pPr>
        <w:pStyle w:val="a9"/>
        <w:rPr>
          <w:b/>
          <w:kern w:val="2"/>
          <w:lang w:val="en-US"/>
        </w:rPr>
      </w:pPr>
      <w:r w:rsidRPr="00FE289C">
        <w:rPr>
          <w:b/>
          <w:kern w:val="2"/>
        </w:rPr>
        <w:t>для медичного застосування лікарського засобу</w:t>
      </w:r>
    </w:p>
    <w:p w14:paraId="422BD9AD" w14:textId="77777777" w:rsidR="00FE289C" w:rsidRPr="00FE289C" w:rsidRDefault="00FE289C" w:rsidP="00FE289C">
      <w:pPr>
        <w:pStyle w:val="a9"/>
        <w:rPr>
          <w:b/>
          <w:kern w:val="2"/>
          <w:lang w:val="en-US"/>
        </w:rPr>
      </w:pPr>
    </w:p>
    <w:p w14:paraId="274A9D69" w14:textId="77777777" w:rsidR="00FE289C" w:rsidRPr="00FE289C" w:rsidRDefault="00FE289C" w:rsidP="00FE289C">
      <w:pPr>
        <w:pStyle w:val="a9"/>
        <w:rPr>
          <w:b/>
          <w:bCs/>
          <w:kern w:val="2"/>
        </w:rPr>
      </w:pPr>
      <w:r w:rsidRPr="00FE289C">
        <w:rPr>
          <w:b/>
          <w:bCs/>
          <w:kern w:val="2"/>
        </w:rPr>
        <w:t>Енбрел</w:t>
      </w:r>
      <w:r w:rsidRPr="00FE289C">
        <w:rPr>
          <w:b/>
          <w:bCs/>
          <w:kern w:val="2"/>
          <w:vertAlign w:val="superscript"/>
        </w:rPr>
        <w:t>®</w:t>
      </w:r>
      <w:r w:rsidRPr="00FE289C">
        <w:rPr>
          <w:b/>
          <w:bCs/>
          <w:kern w:val="2"/>
        </w:rPr>
        <w:t xml:space="preserve"> </w:t>
      </w:r>
    </w:p>
    <w:p w14:paraId="74859DA2" w14:textId="77777777" w:rsidR="00FE289C" w:rsidRPr="00FE289C" w:rsidRDefault="00FE289C" w:rsidP="00FE289C">
      <w:pPr>
        <w:pStyle w:val="a9"/>
        <w:rPr>
          <w:b/>
          <w:kern w:val="2"/>
        </w:rPr>
      </w:pPr>
      <w:r w:rsidRPr="00FE289C">
        <w:rPr>
          <w:b/>
          <w:bCs/>
          <w:kern w:val="2"/>
          <w:lang w:val="en-US"/>
        </w:rPr>
        <w:t>(Enbrel</w:t>
      </w:r>
      <w:r w:rsidRPr="00FE289C">
        <w:rPr>
          <w:b/>
          <w:bCs/>
          <w:kern w:val="2"/>
          <w:vertAlign w:val="superscript"/>
        </w:rPr>
        <w:t>®</w:t>
      </w:r>
      <w:r w:rsidRPr="00FE289C">
        <w:rPr>
          <w:b/>
          <w:bCs/>
          <w:kern w:val="2"/>
          <w:lang w:val="en-US"/>
        </w:rPr>
        <w:t>)</w:t>
      </w:r>
      <w:r w:rsidRPr="00FE289C">
        <w:rPr>
          <w:b/>
          <w:bCs/>
          <w:kern w:val="2"/>
        </w:rPr>
        <w:t xml:space="preserve"> </w:t>
      </w:r>
    </w:p>
    <w:p w14:paraId="44FD3D8C" w14:textId="77777777" w:rsidR="00FE289C" w:rsidRPr="00FE289C" w:rsidRDefault="00FE289C" w:rsidP="00FE289C">
      <w:pPr>
        <w:pStyle w:val="a9"/>
        <w:rPr>
          <w:kern w:val="2"/>
        </w:rPr>
      </w:pPr>
      <w:r w:rsidRPr="00FE289C">
        <w:rPr>
          <w:b/>
          <w:bCs/>
          <w:iCs/>
          <w:kern w:val="2"/>
        </w:rPr>
        <w:t>Склад:</w:t>
      </w:r>
    </w:p>
    <w:p w14:paraId="422EFAB4" w14:textId="77777777" w:rsidR="00FE289C" w:rsidRPr="00FE289C" w:rsidRDefault="00FE289C" w:rsidP="00FE289C">
      <w:pPr>
        <w:pStyle w:val="a9"/>
        <w:rPr>
          <w:kern w:val="2"/>
        </w:rPr>
      </w:pPr>
      <w:r w:rsidRPr="00FE289C">
        <w:rPr>
          <w:i/>
          <w:kern w:val="2"/>
        </w:rPr>
        <w:t xml:space="preserve">діюча речовина: </w:t>
      </w:r>
      <w:r w:rsidRPr="00FE289C">
        <w:rPr>
          <w:kern w:val="2"/>
        </w:rPr>
        <w:t>етанерцепт;</w:t>
      </w:r>
    </w:p>
    <w:p w14:paraId="1F5492E0" w14:textId="77777777" w:rsidR="00FE289C" w:rsidRPr="00FE289C" w:rsidRDefault="00FE289C" w:rsidP="00FE289C">
      <w:pPr>
        <w:pStyle w:val="a9"/>
        <w:rPr>
          <w:i/>
          <w:kern w:val="2"/>
        </w:rPr>
      </w:pPr>
      <w:r w:rsidRPr="00FE289C">
        <w:rPr>
          <w:kern w:val="2"/>
        </w:rPr>
        <w:t>1 мл розчину містить 50 мг етанерцепту;</w:t>
      </w:r>
    </w:p>
    <w:p w14:paraId="0A9359CB" w14:textId="77777777" w:rsidR="00FE289C" w:rsidRPr="00FE289C" w:rsidRDefault="00FE289C" w:rsidP="00FE289C">
      <w:pPr>
        <w:pStyle w:val="a9"/>
        <w:rPr>
          <w:kern w:val="2"/>
        </w:rPr>
      </w:pPr>
      <w:r w:rsidRPr="00FE289C">
        <w:rPr>
          <w:kern w:val="2"/>
        </w:rPr>
        <w:t>1 попередньо наповнений шприц містить 25 мг або 50 мг етанерцепту; 1 попередньо наповнена ручка містить 50 мг етанерцепту;</w:t>
      </w:r>
    </w:p>
    <w:p w14:paraId="51E87FFC" w14:textId="77777777" w:rsidR="00FE289C" w:rsidRPr="00FE289C" w:rsidRDefault="00FE289C" w:rsidP="00FE289C">
      <w:pPr>
        <w:pStyle w:val="a9"/>
        <w:rPr>
          <w:kern w:val="2"/>
        </w:rPr>
      </w:pPr>
      <w:r w:rsidRPr="00FE289C">
        <w:rPr>
          <w:i/>
          <w:iCs/>
          <w:kern w:val="2"/>
        </w:rPr>
        <w:t>допоміжні речовини</w:t>
      </w:r>
      <w:r w:rsidRPr="00FE289C">
        <w:rPr>
          <w:kern w:val="2"/>
        </w:rPr>
        <w:t>:</w:t>
      </w:r>
      <w:r w:rsidRPr="00FE289C">
        <w:rPr>
          <w:bCs/>
          <w:kern w:val="2"/>
        </w:rPr>
        <w:t xml:space="preserve"> </w:t>
      </w:r>
      <w:r w:rsidRPr="00FE289C">
        <w:rPr>
          <w:kern w:val="2"/>
        </w:rPr>
        <w:t xml:space="preserve">сахароза, вода для ін’єкцій, натрію фосфат двохосновний дигідрат, натрію фосфат одноосновний дигідрат, </w:t>
      </w:r>
      <w:r w:rsidRPr="00FE289C">
        <w:rPr>
          <w:kern w:val="2"/>
          <w:lang w:val="de-DE"/>
        </w:rPr>
        <w:t>L</w:t>
      </w:r>
      <w:r w:rsidRPr="00FE289C">
        <w:rPr>
          <w:kern w:val="2"/>
        </w:rPr>
        <w:t>-аргініну гідрохлорид, натрію хлорид.</w:t>
      </w:r>
    </w:p>
    <w:p w14:paraId="5F82CC13" w14:textId="77777777" w:rsidR="00FE289C" w:rsidRPr="00FE289C" w:rsidRDefault="00FE289C" w:rsidP="00FE289C">
      <w:pPr>
        <w:pStyle w:val="a9"/>
        <w:rPr>
          <w:b/>
          <w:kern w:val="2"/>
        </w:rPr>
      </w:pPr>
    </w:p>
    <w:p w14:paraId="37DBD376" w14:textId="77777777" w:rsidR="00FE289C" w:rsidRPr="00FE289C" w:rsidRDefault="00FE289C" w:rsidP="00FE289C">
      <w:pPr>
        <w:pStyle w:val="a9"/>
        <w:rPr>
          <w:bCs/>
          <w:kern w:val="2"/>
        </w:rPr>
      </w:pPr>
      <w:r w:rsidRPr="00FE289C">
        <w:rPr>
          <w:b/>
          <w:kern w:val="2"/>
        </w:rPr>
        <w:t>Лікарська форма</w:t>
      </w:r>
      <w:r w:rsidRPr="00FE289C">
        <w:rPr>
          <w:kern w:val="2"/>
        </w:rPr>
        <w:t>. Р</w:t>
      </w:r>
      <w:r w:rsidRPr="00FE289C">
        <w:rPr>
          <w:bCs/>
          <w:kern w:val="2"/>
        </w:rPr>
        <w:t xml:space="preserve">озчин для ін’єкцій. </w:t>
      </w:r>
    </w:p>
    <w:p w14:paraId="074C388D" w14:textId="77777777" w:rsidR="00FE289C" w:rsidRPr="00FE289C" w:rsidRDefault="00FE289C" w:rsidP="00FE289C">
      <w:pPr>
        <w:pStyle w:val="a9"/>
        <w:rPr>
          <w:b/>
          <w:kern w:val="2"/>
        </w:rPr>
      </w:pPr>
      <w:r w:rsidRPr="00FE289C">
        <w:rPr>
          <w:i/>
          <w:kern w:val="2"/>
        </w:rPr>
        <w:t>Основні фізико-хімічні властивості:</w:t>
      </w:r>
      <w:r w:rsidRPr="00FE289C">
        <w:rPr>
          <w:kern w:val="2"/>
        </w:rPr>
        <w:t xml:space="preserve"> рідина від безбарвного до жовтого кольору, прозора або опалесцентна; може містити незначну кількість напівпрозорих або білих аморфних часток.</w:t>
      </w:r>
    </w:p>
    <w:p w14:paraId="1222352B" w14:textId="77777777" w:rsidR="00FE289C" w:rsidRPr="00FE289C" w:rsidRDefault="00FE289C" w:rsidP="00FE289C">
      <w:pPr>
        <w:pStyle w:val="a9"/>
        <w:rPr>
          <w:b/>
          <w:bCs/>
          <w:kern w:val="2"/>
        </w:rPr>
      </w:pPr>
    </w:p>
    <w:p w14:paraId="455E7216" w14:textId="77777777" w:rsidR="00FE289C" w:rsidRPr="00FE289C" w:rsidRDefault="00FE289C" w:rsidP="00FE289C">
      <w:pPr>
        <w:pStyle w:val="a9"/>
        <w:rPr>
          <w:kern w:val="2"/>
        </w:rPr>
      </w:pPr>
      <w:r w:rsidRPr="00FE289C">
        <w:rPr>
          <w:b/>
          <w:bCs/>
          <w:kern w:val="2"/>
        </w:rPr>
        <w:t>Фармакотерапевтична група.</w:t>
      </w:r>
      <w:r w:rsidRPr="00FE289C">
        <w:rPr>
          <w:kern w:val="2"/>
        </w:rPr>
        <w:t xml:space="preserve"> Імуносупресанти, інгібітори</w:t>
      </w:r>
      <w:r w:rsidRPr="00FE289C">
        <w:rPr>
          <w:bCs/>
          <w:kern w:val="2"/>
        </w:rPr>
        <w:t xml:space="preserve"> фактор</w:t>
      </w:r>
      <w:r w:rsidRPr="00FE289C">
        <w:rPr>
          <w:kern w:val="2"/>
        </w:rPr>
        <w:t>а-</w:t>
      </w:r>
      <w:r w:rsidRPr="00FE289C">
        <w:rPr>
          <w:kern w:val="2"/>
        </w:rPr>
        <w:sym w:font="Symbol" w:char="F061"/>
      </w:r>
      <w:r w:rsidRPr="00FE289C">
        <w:rPr>
          <w:kern w:val="2"/>
        </w:rPr>
        <w:t xml:space="preserve"> </w:t>
      </w:r>
      <w:r w:rsidRPr="00FE289C">
        <w:rPr>
          <w:bCs/>
          <w:kern w:val="2"/>
        </w:rPr>
        <w:t xml:space="preserve">некрозу пухлин. Етанерцепт. </w:t>
      </w:r>
      <w:r w:rsidRPr="00FE289C">
        <w:rPr>
          <w:kern w:val="2"/>
        </w:rPr>
        <w:t xml:space="preserve">Код АТХ </w:t>
      </w:r>
      <w:r w:rsidRPr="00FE289C">
        <w:rPr>
          <w:kern w:val="2"/>
          <w:lang w:val="en-US"/>
        </w:rPr>
        <w:t>L</w:t>
      </w:r>
      <w:r w:rsidRPr="00FE289C">
        <w:rPr>
          <w:kern w:val="2"/>
        </w:rPr>
        <w:t>04</w:t>
      </w:r>
      <w:r w:rsidRPr="00FE289C">
        <w:rPr>
          <w:kern w:val="2"/>
          <w:lang w:val="en-US"/>
        </w:rPr>
        <w:t>A</w:t>
      </w:r>
      <w:r w:rsidRPr="00FE289C">
        <w:rPr>
          <w:kern w:val="2"/>
        </w:rPr>
        <w:t xml:space="preserve"> </w:t>
      </w:r>
      <w:r w:rsidRPr="00FE289C">
        <w:rPr>
          <w:kern w:val="2"/>
          <w:lang w:val="en-US"/>
        </w:rPr>
        <w:t>B</w:t>
      </w:r>
      <w:r w:rsidRPr="00FE289C">
        <w:rPr>
          <w:kern w:val="2"/>
        </w:rPr>
        <w:t>01.</w:t>
      </w:r>
    </w:p>
    <w:p w14:paraId="534B8A10" w14:textId="77777777" w:rsidR="00FE289C" w:rsidRPr="00FE289C" w:rsidRDefault="00FE289C" w:rsidP="00FE289C">
      <w:pPr>
        <w:pStyle w:val="a9"/>
        <w:rPr>
          <w:kern w:val="2"/>
        </w:rPr>
      </w:pPr>
    </w:p>
    <w:p w14:paraId="13FC5A03" w14:textId="77777777" w:rsidR="00FE289C" w:rsidRPr="00FE289C" w:rsidRDefault="00FE289C" w:rsidP="00FE289C">
      <w:pPr>
        <w:pStyle w:val="a9"/>
        <w:rPr>
          <w:b/>
          <w:bCs/>
          <w:i/>
          <w:iCs/>
          <w:kern w:val="2"/>
        </w:rPr>
      </w:pPr>
      <w:bookmarkStart w:id="16" w:name="OLE_LINK1"/>
      <w:bookmarkStart w:id="17" w:name="OLE_LINK2"/>
      <w:r w:rsidRPr="00FE289C">
        <w:rPr>
          <w:b/>
          <w:bCs/>
          <w:i/>
          <w:iCs/>
          <w:kern w:val="2"/>
        </w:rPr>
        <w:t>Фармакологічні властивості.</w:t>
      </w:r>
    </w:p>
    <w:p w14:paraId="5315E288" w14:textId="77777777" w:rsidR="00FE289C" w:rsidRPr="00FE289C" w:rsidRDefault="00FE289C" w:rsidP="00FE289C">
      <w:pPr>
        <w:pStyle w:val="a9"/>
        <w:rPr>
          <w:i/>
          <w:kern w:val="2"/>
        </w:rPr>
      </w:pPr>
      <w:r w:rsidRPr="00FE289C">
        <w:rPr>
          <w:i/>
          <w:kern w:val="2"/>
        </w:rPr>
        <w:t>Фармакодинаміка.</w:t>
      </w:r>
    </w:p>
    <w:p w14:paraId="09A05327" w14:textId="77777777" w:rsidR="00FE289C" w:rsidRPr="00FE289C" w:rsidRDefault="00FE289C" w:rsidP="00FE289C">
      <w:pPr>
        <w:pStyle w:val="a9"/>
        <w:rPr>
          <w:kern w:val="2"/>
        </w:rPr>
      </w:pPr>
      <w:r w:rsidRPr="00FE289C">
        <w:rPr>
          <w:kern w:val="2"/>
        </w:rPr>
        <w:t>Етанерцепт – химерний білок</w:t>
      </w:r>
      <w:r w:rsidRPr="00FE289C">
        <w:rPr>
          <w:bCs/>
          <w:kern w:val="2"/>
        </w:rPr>
        <w:t xml:space="preserve"> рецептора</w:t>
      </w:r>
      <w:r w:rsidRPr="00FE289C">
        <w:rPr>
          <w:kern w:val="2"/>
        </w:rPr>
        <w:t xml:space="preserve"> </w:t>
      </w:r>
      <w:r w:rsidRPr="00FE289C">
        <w:rPr>
          <w:bCs/>
          <w:kern w:val="2"/>
        </w:rPr>
        <w:t>фактор</w:t>
      </w:r>
      <w:r w:rsidRPr="00FE289C">
        <w:rPr>
          <w:kern w:val="2"/>
        </w:rPr>
        <w:t xml:space="preserve">а </w:t>
      </w:r>
      <w:r w:rsidRPr="00FE289C">
        <w:rPr>
          <w:bCs/>
          <w:kern w:val="2"/>
        </w:rPr>
        <w:t xml:space="preserve">некрозу пухлин </w:t>
      </w:r>
      <w:r w:rsidRPr="00FE289C">
        <w:rPr>
          <w:kern w:val="2"/>
        </w:rPr>
        <w:t>л</w:t>
      </w:r>
      <w:r w:rsidRPr="00FE289C">
        <w:rPr>
          <w:bCs/>
          <w:kern w:val="2"/>
        </w:rPr>
        <w:t>юдський</w:t>
      </w:r>
      <w:r w:rsidRPr="00FE289C">
        <w:rPr>
          <w:kern w:val="2"/>
        </w:rPr>
        <w:t xml:space="preserve"> та </w:t>
      </w:r>
      <w:r w:rsidRPr="00FE289C">
        <w:rPr>
          <w:kern w:val="2"/>
          <w:lang w:val="en-US"/>
        </w:rPr>
        <w:t>p</w:t>
      </w:r>
      <w:r w:rsidRPr="00FE289C">
        <w:rPr>
          <w:kern w:val="2"/>
        </w:rPr>
        <w:t>75</w:t>
      </w:r>
      <w:r w:rsidRPr="00FE289C">
        <w:rPr>
          <w:kern w:val="2"/>
          <w:lang w:val="en-US"/>
        </w:rPr>
        <w:t>Fc</w:t>
      </w:r>
      <w:r w:rsidRPr="00FE289C">
        <w:rPr>
          <w:kern w:val="2"/>
        </w:rPr>
        <w:t xml:space="preserve">, отриманий за технологією рекомбінантної ДНК із використанням клітин ссавців (клітин яєчника китайського хом’яка) як системи експресії. </w:t>
      </w:r>
    </w:p>
    <w:p w14:paraId="66A2A72D" w14:textId="77777777" w:rsidR="00FE289C" w:rsidRPr="00FE289C" w:rsidRDefault="00FE289C" w:rsidP="00FE289C">
      <w:pPr>
        <w:pStyle w:val="a9"/>
        <w:rPr>
          <w:kern w:val="2"/>
        </w:rPr>
      </w:pPr>
      <w:r w:rsidRPr="00FE289C">
        <w:rPr>
          <w:kern w:val="2"/>
        </w:rPr>
        <w:t xml:space="preserve">Фактор некрозу пухлин (TNF, ФНП) – цитокін, що відіграє основну роль у розвитку запального процесу при ревматоїдному артриті. Підвищений рівень ФНП також виявляється у синовіальній оболонці та псоріатичних бляшках пацієнтів із псоріатичним артритом, а також у сироватці та синовіальній тканині пацієнтів із анкілозивним спондилітом. Інфільтрація псоріатичної бляшки запальними клітинами, включаючи Т-клітини, призводить до підвищення рівня ФНП у місцях псоріатичного ураження порівняно з неураженими ділянками шкіри. Етанерцепт є конкурентним інгібітором зв’язування ФНП із його поверхневими клітинними рецепторами, а отже, він пригнічує біологічну активність ФНП. ФНП та лімфотоксин-прозапальні цитокіни, які зв’язуються із двома окремими клітинними поверхневими рецепторами фактора некрозу пухлин (РФНП): 55 кДа (р55) та 75 кДа (р75). Обидва РФНП існують в організмі </w:t>
      </w:r>
      <w:r w:rsidRPr="00FE289C">
        <w:rPr>
          <w:kern w:val="2"/>
          <w:lang w:val="ru-RU"/>
        </w:rPr>
        <w:t>в</w:t>
      </w:r>
      <w:r w:rsidRPr="00FE289C">
        <w:rPr>
          <w:kern w:val="2"/>
        </w:rPr>
        <w:t xml:space="preserve"> мембранозв’язаній та розчинній формах. Розчинні РФНП регулюють біологічну активність ФНП.</w:t>
      </w:r>
    </w:p>
    <w:p w14:paraId="08F46967" w14:textId="77777777" w:rsidR="00FE289C" w:rsidRPr="00FE289C" w:rsidRDefault="00FE289C" w:rsidP="00FE289C">
      <w:pPr>
        <w:pStyle w:val="a9"/>
        <w:rPr>
          <w:kern w:val="2"/>
        </w:rPr>
      </w:pPr>
      <w:r w:rsidRPr="00FE289C">
        <w:rPr>
          <w:kern w:val="2"/>
        </w:rPr>
        <w:t>ФНП та лімфотоксин існують переважно у вигляді гомотримерів, а їх біологічна активність залежить від перехресного зшивання рецепторів ФНП, що знаходяться на поверхні клітини. Димерні розчинні рецептори, такі як етанерцепт, мають більшу афінність до ФНП, ніж мономерні рецептори, а тому є значно потужнішими конкурентними інгібіторами зв'язування ФНП з його клітинними рецепторами. Крім того, використання фрагмента Fc імуноглобуліну як елементу зв</w:t>
      </w:r>
      <w:r w:rsidRPr="00FE289C">
        <w:rPr>
          <w:kern w:val="2"/>
          <w:lang w:val="ru-RU"/>
        </w:rPr>
        <w:t>’</w:t>
      </w:r>
      <w:r w:rsidRPr="00FE289C">
        <w:rPr>
          <w:kern w:val="2"/>
        </w:rPr>
        <w:t xml:space="preserve">язування у </w:t>
      </w:r>
      <w:r w:rsidRPr="00FE289C">
        <w:rPr>
          <w:kern w:val="2"/>
        </w:rPr>
        <w:lastRenderedPageBreak/>
        <w:t>структурі димерного рецептора подовжує період напіввиведення препарату із сироватки крові.</w:t>
      </w:r>
    </w:p>
    <w:p w14:paraId="237C5828" w14:textId="77777777" w:rsidR="00FE289C" w:rsidRPr="00FE289C" w:rsidRDefault="00FE289C" w:rsidP="00FE289C">
      <w:pPr>
        <w:pStyle w:val="a9"/>
        <w:rPr>
          <w:kern w:val="2"/>
        </w:rPr>
      </w:pPr>
      <w:r w:rsidRPr="00FE289C">
        <w:rPr>
          <w:kern w:val="2"/>
        </w:rPr>
        <w:t xml:space="preserve">Таким чином, етанерцепт перешкоджає виникненню клітинної відповіді, опосередкованої ФНП, за рахунок біологічної інактивації ФНП. Етанерцепт також здатний модулювати біологічні відповіді, що контролюються додатковими молекулами, які передають сигнал у низхідному напрямку (наприклад, цитокіни, адгезивні молекули або протеїнази), та стимулюються  або регулюються ФНП. </w:t>
      </w:r>
    </w:p>
    <w:bookmarkEnd w:id="16"/>
    <w:bookmarkEnd w:id="17"/>
    <w:p w14:paraId="744EB1CC" w14:textId="77777777" w:rsidR="00FE289C" w:rsidRPr="00FE289C" w:rsidRDefault="00FE289C" w:rsidP="00FE289C">
      <w:pPr>
        <w:pStyle w:val="a9"/>
        <w:rPr>
          <w:i/>
          <w:kern w:val="2"/>
        </w:rPr>
      </w:pPr>
      <w:r w:rsidRPr="00FE289C">
        <w:rPr>
          <w:i/>
          <w:kern w:val="2"/>
        </w:rPr>
        <w:t>Фармакокінетика.</w:t>
      </w:r>
    </w:p>
    <w:p w14:paraId="0A07D2F4" w14:textId="77777777" w:rsidR="00FE289C" w:rsidRPr="00FE289C" w:rsidRDefault="00FE289C" w:rsidP="00FE289C">
      <w:pPr>
        <w:pStyle w:val="a9"/>
        <w:rPr>
          <w:kern w:val="2"/>
          <w:u w:val="single"/>
        </w:rPr>
      </w:pPr>
      <w:r w:rsidRPr="00FE289C">
        <w:rPr>
          <w:kern w:val="2"/>
          <w:u w:val="single"/>
        </w:rPr>
        <w:t>Абсорбція</w:t>
      </w:r>
    </w:p>
    <w:p w14:paraId="69348712" w14:textId="77777777" w:rsidR="00FE289C" w:rsidRPr="00FE289C" w:rsidRDefault="00FE289C" w:rsidP="00FE289C">
      <w:pPr>
        <w:pStyle w:val="a9"/>
        <w:rPr>
          <w:kern w:val="2"/>
        </w:rPr>
      </w:pPr>
      <w:r w:rsidRPr="00FE289C">
        <w:rPr>
          <w:kern w:val="2"/>
        </w:rPr>
        <w:t xml:space="preserve">Етанерцепт повільно абсорбується з місця підшкірної ін’єкції, досягаючи максимальної концентрації приблизно через 48 годин після введення однократної дози. Абсолютна біодоступність становить 76 %. При введенні препарату 2 рази на тиждень очікується, що рівноважні концентрації будуть вдвічі вищі за ті, що спостерігаються після введення разових доз. Після однократного підшкірного введення 25 мг етанерцепту середня максимальна концентрація у плазмі здорових добровольців становила 1,65 ± 0,66 мкг/мл, площа під кривою «концентрація – час» (AUC) – 235 ± 96,6 мкг•год/мл. </w:t>
      </w:r>
    </w:p>
    <w:p w14:paraId="1F2EB2BB" w14:textId="77777777" w:rsidR="00FE289C" w:rsidRPr="00FE289C" w:rsidRDefault="00FE289C" w:rsidP="00FE289C">
      <w:pPr>
        <w:pStyle w:val="a9"/>
        <w:rPr>
          <w:kern w:val="2"/>
          <w:u w:val="single"/>
        </w:rPr>
      </w:pPr>
      <w:r w:rsidRPr="00FE289C">
        <w:rPr>
          <w:kern w:val="2"/>
          <w:u w:val="single"/>
        </w:rPr>
        <w:t>Розподіл</w:t>
      </w:r>
    </w:p>
    <w:p w14:paraId="5D8B66B4" w14:textId="77777777" w:rsidR="00FE289C" w:rsidRPr="00FE289C" w:rsidRDefault="00FE289C" w:rsidP="00FE289C">
      <w:pPr>
        <w:pStyle w:val="a9"/>
        <w:rPr>
          <w:kern w:val="2"/>
        </w:rPr>
      </w:pPr>
      <w:r w:rsidRPr="00FE289C">
        <w:rPr>
          <w:kern w:val="2"/>
        </w:rPr>
        <w:t>Залежність концентрації етанерцепту від часу описується біекспоненціальною кривою. Центральний об</w:t>
      </w:r>
      <w:r w:rsidRPr="00FE289C">
        <w:rPr>
          <w:kern w:val="2"/>
          <w:lang w:val="ru-RU"/>
        </w:rPr>
        <w:t>’</w:t>
      </w:r>
      <w:r w:rsidRPr="00FE289C">
        <w:rPr>
          <w:kern w:val="2"/>
        </w:rPr>
        <w:t xml:space="preserve">єм розподілу становить </w:t>
      </w:r>
      <w:smartTag w:uri="urn:schemas-microsoft-com:office:smarttags" w:element="metricconverter">
        <w:smartTagPr>
          <w:attr w:name="ProductID" w:val="7,6 л"/>
        </w:smartTagPr>
        <w:r w:rsidRPr="00FE289C">
          <w:rPr>
            <w:kern w:val="2"/>
          </w:rPr>
          <w:t>7,6 л</w:t>
        </w:r>
      </w:smartTag>
      <w:r w:rsidRPr="00FE289C">
        <w:rPr>
          <w:kern w:val="2"/>
        </w:rPr>
        <w:t xml:space="preserve">, тоді як об’єм розподілу в рівноважному стані становить 10,41 л. </w:t>
      </w:r>
    </w:p>
    <w:p w14:paraId="47EFFF20" w14:textId="77777777" w:rsidR="00FE289C" w:rsidRPr="00FE289C" w:rsidRDefault="00FE289C" w:rsidP="00FE289C">
      <w:pPr>
        <w:pStyle w:val="a9"/>
        <w:rPr>
          <w:kern w:val="2"/>
          <w:u w:val="single"/>
        </w:rPr>
      </w:pPr>
      <w:r w:rsidRPr="00FE289C">
        <w:rPr>
          <w:kern w:val="2"/>
          <w:u w:val="single"/>
        </w:rPr>
        <w:t>Виведення</w:t>
      </w:r>
    </w:p>
    <w:p w14:paraId="5D1B5281" w14:textId="77777777" w:rsidR="00FE289C" w:rsidRPr="00FE289C" w:rsidRDefault="00FE289C" w:rsidP="00FE289C">
      <w:pPr>
        <w:pStyle w:val="a9"/>
        <w:rPr>
          <w:kern w:val="2"/>
        </w:rPr>
      </w:pPr>
      <w:r w:rsidRPr="00FE289C">
        <w:rPr>
          <w:kern w:val="2"/>
        </w:rPr>
        <w:t>Етанерцепт повільно виводиться з організму. Період напіввиведення є тривалим і становить приблизно 70 годин. У пацієнтів з ревматоїдним артритом кліренс становить приблизно 0,066 л/год, що трохи нижче цього показника у здорових добровольців (0,11 л/год). Фармакокінетика етанерцепту в пацієнтів з ревматоїдним артритом, анкілозивним спондилітом та бляшковим псоріазом є подібною.</w:t>
      </w:r>
    </w:p>
    <w:p w14:paraId="7C38FD92" w14:textId="77777777" w:rsidR="00FE289C" w:rsidRPr="00FE289C" w:rsidRDefault="00FE289C" w:rsidP="00FE289C">
      <w:pPr>
        <w:pStyle w:val="a9"/>
        <w:rPr>
          <w:kern w:val="2"/>
        </w:rPr>
      </w:pPr>
      <w:r w:rsidRPr="00FE289C">
        <w:rPr>
          <w:kern w:val="2"/>
        </w:rPr>
        <w:t xml:space="preserve">Явних відмінностей фармакокінетики етанерцепту у чоловіків і жінок немає. </w:t>
      </w:r>
    </w:p>
    <w:p w14:paraId="3164BAA8" w14:textId="77777777" w:rsidR="00FE289C" w:rsidRPr="00FE289C" w:rsidRDefault="00FE289C" w:rsidP="00FE289C">
      <w:pPr>
        <w:pStyle w:val="a9"/>
        <w:rPr>
          <w:kern w:val="2"/>
          <w:u w:val="single"/>
        </w:rPr>
      </w:pPr>
      <w:r w:rsidRPr="00FE289C">
        <w:rPr>
          <w:kern w:val="2"/>
          <w:u w:val="single"/>
        </w:rPr>
        <w:t>Лінійність</w:t>
      </w:r>
    </w:p>
    <w:p w14:paraId="0059992D" w14:textId="77777777" w:rsidR="00FE289C" w:rsidRPr="00FE289C" w:rsidRDefault="00FE289C" w:rsidP="00FE289C">
      <w:pPr>
        <w:pStyle w:val="a9"/>
        <w:rPr>
          <w:kern w:val="2"/>
        </w:rPr>
      </w:pPr>
      <w:r w:rsidRPr="00FE289C">
        <w:rPr>
          <w:kern w:val="2"/>
        </w:rPr>
        <w:t>Офіційно пропорційність доз не досліджувалась, але немає видимого насичення кліренсу для будь-якого дозування.</w:t>
      </w:r>
    </w:p>
    <w:p w14:paraId="0855F42C" w14:textId="77777777" w:rsidR="00FE289C" w:rsidRPr="00FE289C" w:rsidRDefault="00FE289C" w:rsidP="00FE289C">
      <w:pPr>
        <w:pStyle w:val="a9"/>
        <w:rPr>
          <w:i/>
          <w:kern w:val="2"/>
          <w:u w:val="single"/>
        </w:rPr>
      </w:pPr>
      <w:r w:rsidRPr="00FE289C">
        <w:rPr>
          <w:i/>
          <w:kern w:val="2"/>
          <w:u w:val="single"/>
        </w:rPr>
        <w:t>Особливі популяції</w:t>
      </w:r>
    </w:p>
    <w:p w14:paraId="6484DE87" w14:textId="77777777" w:rsidR="00FE289C" w:rsidRPr="00FE289C" w:rsidRDefault="00FE289C" w:rsidP="00FE289C">
      <w:pPr>
        <w:pStyle w:val="a9"/>
        <w:rPr>
          <w:kern w:val="2"/>
          <w:u w:val="single"/>
        </w:rPr>
      </w:pPr>
      <w:r w:rsidRPr="00FE289C">
        <w:rPr>
          <w:kern w:val="2"/>
          <w:u w:val="single"/>
        </w:rPr>
        <w:t>Пацієнти з нирковою недостатністю</w:t>
      </w:r>
    </w:p>
    <w:p w14:paraId="5859BF24" w14:textId="77777777" w:rsidR="00FE289C" w:rsidRPr="00FE289C" w:rsidRDefault="00FE289C" w:rsidP="00FE289C">
      <w:pPr>
        <w:pStyle w:val="a9"/>
        <w:rPr>
          <w:kern w:val="2"/>
        </w:rPr>
      </w:pPr>
      <w:r w:rsidRPr="00FE289C">
        <w:rPr>
          <w:kern w:val="2"/>
        </w:rPr>
        <w:t>Хоча виведення радіоактивної речовини після введення радіоактивно міченого етанерцепту пацієнтам та здоровим добровольцям відбувається із сечею, у пацієнтів з гострою нирковою недостатністю зростання концентрації етанерцепту у плазмі не спостерігалося. Порушення функції нирок не вимагає корекції дози.</w:t>
      </w:r>
    </w:p>
    <w:p w14:paraId="0606BE65" w14:textId="77777777" w:rsidR="00FE289C" w:rsidRPr="00FE289C" w:rsidRDefault="00FE289C" w:rsidP="00FE289C">
      <w:pPr>
        <w:pStyle w:val="a9"/>
        <w:rPr>
          <w:kern w:val="2"/>
          <w:lang w:val="ru-RU"/>
        </w:rPr>
      </w:pPr>
      <w:r w:rsidRPr="00FE289C">
        <w:rPr>
          <w:kern w:val="2"/>
          <w:u w:val="single"/>
        </w:rPr>
        <w:t>Пацієнти з печінковою недостатністю</w:t>
      </w:r>
      <w:r w:rsidRPr="00FE289C">
        <w:rPr>
          <w:kern w:val="2"/>
        </w:rPr>
        <w:t xml:space="preserve"> </w:t>
      </w:r>
    </w:p>
    <w:p w14:paraId="4BC2D4E6" w14:textId="77777777" w:rsidR="00FE289C" w:rsidRPr="00FE289C" w:rsidRDefault="00FE289C" w:rsidP="00FE289C">
      <w:pPr>
        <w:pStyle w:val="a9"/>
        <w:rPr>
          <w:kern w:val="2"/>
        </w:rPr>
      </w:pPr>
      <w:r w:rsidRPr="00FE289C">
        <w:rPr>
          <w:kern w:val="2"/>
        </w:rPr>
        <w:t>Збільшення концентрації етанерцепт</w:t>
      </w:r>
      <w:r w:rsidRPr="00FE289C">
        <w:rPr>
          <w:kern w:val="2"/>
          <w:lang w:val="ru-RU"/>
        </w:rPr>
        <w:t>у</w:t>
      </w:r>
      <w:r w:rsidRPr="00FE289C">
        <w:rPr>
          <w:kern w:val="2"/>
        </w:rPr>
        <w:t xml:space="preserve"> не спостерігалося у пацієнтів з гострою печінковою недостатністю. Порушення функції печінки не вимагає корекції дози.</w:t>
      </w:r>
    </w:p>
    <w:p w14:paraId="0C6E5BD7" w14:textId="77777777" w:rsidR="00FE289C" w:rsidRPr="00FE289C" w:rsidRDefault="00FE289C" w:rsidP="00FE289C">
      <w:pPr>
        <w:pStyle w:val="a9"/>
        <w:rPr>
          <w:kern w:val="2"/>
          <w:u w:val="single"/>
        </w:rPr>
      </w:pPr>
      <w:r w:rsidRPr="00FE289C">
        <w:rPr>
          <w:kern w:val="2"/>
          <w:u w:val="single"/>
        </w:rPr>
        <w:t>Пацієнти літнього віку</w:t>
      </w:r>
    </w:p>
    <w:p w14:paraId="00C60A3F" w14:textId="77777777" w:rsidR="00FE289C" w:rsidRPr="00FE289C" w:rsidRDefault="00FE289C" w:rsidP="00FE289C">
      <w:pPr>
        <w:pStyle w:val="a9"/>
        <w:rPr>
          <w:kern w:val="2"/>
        </w:rPr>
      </w:pPr>
      <w:r w:rsidRPr="00FE289C">
        <w:rPr>
          <w:kern w:val="2"/>
        </w:rPr>
        <w:t xml:space="preserve">Розраховані показники кліренсу та об’єму розподілу у пацієнтів віком від 65 до 87 років були подібні до таких у пацієнтів віком до 65 років. </w:t>
      </w:r>
    </w:p>
    <w:p w14:paraId="4883BCC5" w14:textId="77777777" w:rsidR="00FE289C" w:rsidRPr="00FE289C" w:rsidRDefault="00FE289C" w:rsidP="00FE289C">
      <w:pPr>
        <w:pStyle w:val="a9"/>
        <w:rPr>
          <w:kern w:val="2"/>
          <w:u w:val="single"/>
        </w:rPr>
      </w:pPr>
      <w:r w:rsidRPr="00FE289C">
        <w:rPr>
          <w:kern w:val="2"/>
          <w:u w:val="single"/>
        </w:rPr>
        <w:t xml:space="preserve">Діти з ювенільним ідіопатичним артритом </w:t>
      </w:r>
    </w:p>
    <w:p w14:paraId="00EDC004" w14:textId="77777777" w:rsidR="00FE289C" w:rsidRPr="00FE289C" w:rsidRDefault="00FE289C" w:rsidP="00FE289C">
      <w:pPr>
        <w:pStyle w:val="a9"/>
        <w:rPr>
          <w:kern w:val="2"/>
        </w:rPr>
      </w:pPr>
      <w:r w:rsidRPr="00FE289C">
        <w:rPr>
          <w:kern w:val="2"/>
        </w:rPr>
        <w:t xml:space="preserve">Профілі концентрації етанерцепту у сироватці дітей з поліартикулярним ювенільним ідіопатичним артритом аналогічні таким у дорослих пацієнтів з ревматоїдним артритом. У наймолодших дітей (4 роки) при проведенні досліджень кліренс був зниженим (при стандартизації за масою тіла </w:t>
      </w:r>
      <w:r w:rsidRPr="00FE289C">
        <w:rPr>
          <w:kern w:val="2"/>
        </w:rPr>
        <w:lastRenderedPageBreak/>
        <w:t>кліренс був збільшений) порівняно з дітьми старшого віку (12 років) та дорослими. Моделювання дозування дає змогу припустити, що у дітей старшого віку (10–17 років) і дорослих пацієнтів концентрації етанерцепту в плазмі крові приблизно однакові, а у дітей молодшого віку – істотно нижчі.</w:t>
      </w:r>
    </w:p>
    <w:p w14:paraId="3BEC0E5A" w14:textId="77777777" w:rsidR="00FE289C" w:rsidRPr="00FE289C" w:rsidRDefault="00FE289C" w:rsidP="00FE289C">
      <w:pPr>
        <w:pStyle w:val="a9"/>
        <w:rPr>
          <w:kern w:val="2"/>
          <w:u w:val="single"/>
        </w:rPr>
      </w:pPr>
      <w:r w:rsidRPr="00FE289C">
        <w:rPr>
          <w:kern w:val="2"/>
          <w:u w:val="single"/>
        </w:rPr>
        <w:t xml:space="preserve">Діти з псоріазом </w:t>
      </w:r>
    </w:p>
    <w:p w14:paraId="69EF75AD" w14:textId="77777777" w:rsidR="00FE289C" w:rsidRPr="00FE289C" w:rsidRDefault="00FE289C" w:rsidP="00FE289C">
      <w:pPr>
        <w:pStyle w:val="a9"/>
        <w:rPr>
          <w:kern w:val="2"/>
        </w:rPr>
      </w:pPr>
      <w:r w:rsidRPr="00FE289C">
        <w:rPr>
          <w:kern w:val="2"/>
        </w:rPr>
        <w:t>Діти з бляшковим псоріазом (віком від 4 до17 років) отримували етанерцепт із розрахунку 0,8 мг/кг маси тіла (максимальна доза 50 мг на тиждень) один раз на тиждень впродовж періоду до 48 тижнів. Середня рівноважна концентрація етанерцепту в плазмі крові була в межах від 1,6 до 2,1 мкг/мл на 12</w:t>
      </w:r>
      <w:r w:rsidRPr="00FE289C">
        <w:rPr>
          <w:kern w:val="2"/>
          <w:lang w:val="ru-RU"/>
        </w:rPr>
        <w:t>-му</w:t>
      </w:r>
      <w:r w:rsidRPr="00FE289C">
        <w:rPr>
          <w:kern w:val="2"/>
        </w:rPr>
        <w:t>, 24</w:t>
      </w:r>
      <w:r w:rsidRPr="00FE289C">
        <w:rPr>
          <w:kern w:val="2"/>
          <w:lang w:val="ru-RU"/>
        </w:rPr>
        <w:t>-му</w:t>
      </w:r>
      <w:r w:rsidRPr="00FE289C">
        <w:rPr>
          <w:kern w:val="2"/>
        </w:rPr>
        <w:t xml:space="preserve"> та 48</w:t>
      </w:r>
      <w:r w:rsidRPr="00FE289C">
        <w:rPr>
          <w:kern w:val="2"/>
          <w:lang w:val="ru-RU"/>
        </w:rPr>
        <w:t>-му</w:t>
      </w:r>
      <w:r w:rsidRPr="00FE289C">
        <w:rPr>
          <w:kern w:val="2"/>
        </w:rPr>
        <w:t xml:space="preserve"> тижні. Вищезазначені середні концентрації у дітей з бляшковим псоріазом були подібні до тих, що спостерігалися у дітей з ювенільним ідіопатичним артритом при застосуванні етанерцепту із розрахунку 0,4 мг/кг 2 рази на тиждень (максимальна доза – 50 мг на тиждень). Ці значення були подібними </w:t>
      </w:r>
      <w:r w:rsidRPr="00FE289C">
        <w:rPr>
          <w:kern w:val="2"/>
          <w:lang w:val="ru-RU"/>
        </w:rPr>
        <w:t>до</w:t>
      </w:r>
      <w:r w:rsidRPr="00FE289C">
        <w:rPr>
          <w:kern w:val="2"/>
        </w:rPr>
        <w:t xml:space="preserve"> таки</w:t>
      </w:r>
      <w:r w:rsidRPr="00FE289C">
        <w:rPr>
          <w:kern w:val="2"/>
          <w:lang w:val="ru-RU"/>
        </w:rPr>
        <w:t>х</w:t>
      </w:r>
      <w:r w:rsidRPr="00FE289C">
        <w:rPr>
          <w:kern w:val="2"/>
        </w:rPr>
        <w:t xml:space="preserve"> у дорослих пацієнтів з бляшковим псоріазом, які отримували етанерцепт у дозі 25 мг два рази на тиждень.</w:t>
      </w:r>
    </w:p>
    <w:p w14:paraId="22825121" w14:textId="77777777" w:rsidR="00FE289C" w:rsidRPr="00FE289C" w:rsidRDefault="00FE289C" w:rsidP="00FE289C">
      <w:pPr>
        <w:pStyle w:val="a9"/>
        <w:rPr>
          <w:kern w:val="2"/>
        </w:rPr>
      </w:pPr>
    </w:p>
    <w:p w14:paraId="7C6F2C50" w14:textId="77777777" w:rsidR="00FE289C" w:rsidRPr="00FE289C" w:rsidRDefault="00FE289C" w:rsidP="00FE289C">
      <w:pPr>
        <w:pStyle w:val="a9"/>
        <w:rPr>
          <w:b/>
          <w:bCs/>
          <w:kern w:val="2"/>
        </w:rPr>
      </w:pPr>
      <w:r w:rsidRPr="00FE289C">
        <w:rPr>
          <w:b/>
          <w:bCs/>
          <w:kern w:val="2"/>
          <w:lang w:val="ru-RU"/>
        </w:rPr>
        <w:t>Клінічні характеристики.</w:t>
      </w:r>
    </w:p>
    <w:p w14:paraId="5003E449" w14:textId="77777777" w:rsidR="00FE289C" w:rsidRPr="00FE289C" w:rsidRDefault="00FE289C" w:rsidP="00FE289C">
      <w:pPr>
        <w:pStyle w:val="a9"/>
        <w:rPr>
          <w:b/>
          <w:bCs/>
          <w:i/>
          <w:iCs/>
          <w:kern w:val="2"/>
        </w:rPr>
      </w:pPr>
      <w:r w:rsidRPr="00FE289C">
        <w:rPr>
          <w:b/>
          <w:bCs/>
          <w:i/>
          <w:iCs/>
          <w:kern w:val="2"/>
        </w:rPr>
        <w:t>Показання.</w:t>
      </w:r>
    </w:p>
    <w:p w14:paraId="40599BA9" w14:textId="77777777" w:rsidR="00FE289C" w:rsidRPr="00FE289C" w:rsidRDefault="00FE289C" w:rsidP="00FE289C">
      <w:pPr>
        <w:pStyle w:val="a9"/>
        <w:rPr>
          <w:kern w:val="2"/>
        </w:rPr>
      </w:pPr>
      <w:r w:rsidRPr="00FE289C">
        <w:rPr>
          <w:kern w:val="2"/>
          <w:u w:val="single"/>
        </w:rPr>
        <w:t xml:space="preserve">Ревматоїдний артрит </w:t>
      </w:r>
    </w:p>
    <w:p w14:paraId="48B585C0" w14:textId="77777777" w:rsidR="00FE289C" w:rsidRPr="00FE289C" w:rsidRDefault="00FE289C" w:rsidP="00FE289C">
      <w:pPr>
        <w:pStyle w:val="a9"/>
        <w:rPr>
          <w:kern w:val="2"/>
        </w:rPr>
      </w:pPr>
      <w:r w:rsidRPr="00FE289C">
        <w:rPr>
          <w:kern w:val="2"/>
        </w:rPr>
        <w:t>Енбрел</w:t>
      </w:r>
      <w:r w:rsidRPr="00FE289C">
        <w:rPr>
          <w:kern w:val="2"/>
          <w:vertAlign w:val="superscript"/>
        </w:rPr>
        <w:t>®</w:t>
      </w:r>
      <w:r w:rsidRPr="00FE289C">
        <w:rPr>
          <w:kern w:val="2"/>
        </w:rPr>
        <w:t xml:space="preserve"> у комбінації з метотрексатом показаний для лікування активного ревматоїдного артриту від помірного до тяжкого ступен</w:t>
      </w:r>
      <w:r w:rsidRPr="00FE289C">
        <w:rPr>
          <w:kern w:val="2"/>
          <w:lang w:val="ru-RU"/>
        </w:rPr>
        <w:t>я</w:t>
      </w:r>
      <w:r w:rsidRPr="00FE289C">
        <w:rPr>
          <w:kern w:val="2"/>
        </w:rPr>
        <w:t xml:space="preserve"> в дорослих у випадках, коли відповідь на базові протиревматичні препарати, включаючи метотрексат (за відсутності протипоказань), є недостатньою.</w:t>
      </w:r>
    </w:p>
    <w:p w14:paraId="76D8EB0B" w14:textId="77777777" w:rsidR="00FE289C" w:rsidRPr="00FE289C" w:rsidRDefault="00FE289C" w:rsidP="00FE289C">
      <w:pPr>
        <w:pStyle w:val="a9"/>
        <w:rPr>
          <w:kern w:val="2"/>
        </w:rPr>
      </w:pPr>
      <w:r w:rsidRPr="00FE289C">
        <w:rPr>
          <w:kern w:val="2"/>
        </w:rPr>
        <w:t>Енбрел</w:t>
      </w:r>
      <w:r w:rsidRPr="00FE289C">
        <w:rPr>
          <w:kern w:val="2"/>
          <w:vertAlign w:val="superscript"/>
        </w:rPr>
        <w:t>®</w:t>
      </w:r>
      <w:r w:rsidRPr="00FE289C">
        <w:rPr>
          <w:kern w:val="2"/>
        </w:rPr>
        <w:t xml:space="preserve"> може призначатися у вигляді монотерапії у </w:t>
      </w:r>
      <w:r w:rsidRPr="00FE289C">
        <w:rPr>
          <w:kern w:val="2"/>
          <w:lang w:val="ru-RU"/>
        </w:rPr>
        <w:t>раз</w:t>
      </w:r>
      <w:r w:rsidRPr="00FE289C">
        <w:rPr>
          <w:kern w:val="2"/>
        </w:rPr>
        <w:t>і непереносимості метотрексату або у випадках, коли тривале лікування метотрексатом є недоцільним.</w:t>
      </w:r>
    </w:p>
    <w:p w14:paraId="7ABDEC18" w14:textId="77777777" w:rsidR="00FE289C" w:rsidRPr="00FE289C" w:rsidRDefault="00FE289C" w:rsidP="00FE289C">
      <w:pPr>
        <w:pStyle w:val="a9"/>
        <w:rPr>
          <w:kern w:val="2"/>
        </w:rPr>
      </w:pPr>
      <w:r w:rsidRPr="00FE289C">
        <w:rPr>
          <w:kern w:val="2"/>
        </w:rPr>
        <w:t>Також Енбрел</w:t>
      </w:r>
      <w:r w:rsidRPr="00FE289C">
        <w:rPr>
          <w:kern w:val="2"/>
          <w:vertAlign w:val="superscript"/>
        </w:rPr>
        <w:t>®</w:t>
      </w:r>
      <w:r w:rsidRPr="00FE289C">
        <w:rPr>
          <w:kern w:val="2"/>
        </w:rPr>
        <w:t xml:space="preserve"> показаний для лікування тяжкого активного і прогресуючого ревматоїдного артриту в дорослих пацієнтів, які раніше не отримували терапію метотрексатом.</w:t>
      </w:r>
    </w:p>
    <w:p w14:paraId="63175286" w14:textId="77777777" w:rsidR="00FE289C" w:rsidRPr="00FE289C" w:rsidRDefault="00FE289C" w:rsidP="00FE289C">
      <w:pPr>
        <w:pStyle w:val="a9"/>
        <w:rPr>
          <w:kern w:val="2"/>
          <w:u w:val="single"/>
        </w:rPr>
      </w:pPr>
      <w:r w:rsidRPr="00FE289C">
        <w:rPr>
          <w:kern w:val="2"/>
          <w:u w:val="single"/>
        </w:rPr>
        <w:t>Ювенільний ідіопатичний артрит</w:t>
      </w:r>
    </w:p>
    <w:p w14:paraId="10C5B79F" w14:textId="77777777" w:rsidR="00FE289C" w:rsidRPr="00FE289C" w:rsidRDefault="00FE289C" w:rsidP="00FE289C">
      <w:pPr>
        <w:pStyle w:val="a9"/>
        <w:rPr>
          <w:kern w:val="2"/>
        </w:rPr>
      </w:pPr>
      <w:r w:rsidRPr="00FE289C">
        <w:rPr>
          <w:kern w:val="2"/>
        </w:rPr>
        <w:t xml:space="preserve">Лікування поліартриту (ревматоїдний фактор позитивний або негативний) та поширеного олігоартриту в дітей та підлітків віком від 2 років, у яких спостерігається відома непереносимість або недостатня відповідь на терапію метотрексатом. </w:t>
      </w:r>
    </w:p>
    <w:p w14:paraId="0C22198B" w14:textId="77777777" w:rsidR="00FE289C" w:rsidRPr="00FE289C" w:rsidRDefault="00FE289C" w:rsidP="00FE289C">
      <w:pPr>
        <w:pStyle w:val="a9"/>
        <w:rPr>
          <w:kern w:val="2"/>
        </w:rPr>
      </w:pPr>
      <w:r w:rsidRPr="00FE289C">
        <w:rPr>
          <w:kern w:val="2"/>
        </w:rPr>
        <w:t xml:space="preserve">Лікування псоріатичного артриту в дітей віком від 12 років у разі відомої непереносимості або недостатньої відповіді на терапію метотрексатом. </w:t>
      </w:r>
    </w:p>
    <w:p w14:paraId="133AA79D" w14:textId="77777777" w:rsidR="00FE289C" w:rsidRPr="00FE289C" w:rsidRDefault="00FE289C" w:rsidP="00FE289C">
      <w:pPr>
        <w:pStyle w:val="a9"/>
        <w:rPr>
          <w:kern w:val="2"/>
        </w:rPr>
      </w:pPr>
      <w:r w:rsidRPr="00FE289C">
        <w:rPr>
          <w:kern w:val="2"/>
        </w:rPr>
        <w:t xml:space="preserve">Лікування ентерит асоційованого артриту в дітей віком від 12 років у разі відомої непереносимості або недостатньої відповіді на традиційну терапію. </w:t>
      </w:r>
    </w:p>
    <w:p w14:paraId="4C3CFBC4" w14:textId="77777777" w:rsidR="00FE289C" w:rsidRPr="00FE289C" w:rsidRDefault="00FE289C" w:rsidP="00FE289C">
      <w:pPr>
        <w:pStyle w:val="a9"/>
        <w:rPr>
          <w:kern w:val="2"/>
          <w:u w:val="single"/>
        </w:rPr>
      </w:pPr>
      <w:r w:rsidRPr="00FE289C">
        <w:rPr>
          <w:kern w:val="2"/>
          <w:u w:val="single"/>
        </w:rPr>
        <w:t>Псоріатичний артрит</w:t>
      </w:r>
    </w:p>
    <w:p w14:paraId="5A935DDA" w14:textId="77777777" w:rsidR="00FE289C" w:rsidRPr="00FE289C" w:rsidRDefault="00FE289C" w:rsidP="00FE289C">
      <w:pPr>
        <w:pStyle w:val="a9"/>
        <w:rPr>
          <w:kern w:val="2"/>
        </w:rPr>
      </w:pPr>
      <w:r w:rsidRPr="00FE289C">
        <w:rPr>
          <w:kern w:val="2"/>
        </w:rPr>
        <w:t xml:space="preserve">Лікування активного та прогресуючого псоріатичного артриту в дорослих у разі недостатньої відповіді на терапію базовими протиревматичними препаратами. </w:t>
      </w:r>
    </w:p>
    <w:p w14:paraId="62845141" w14:textId="77777777" w:rsidR="00FE289C" w:rsidRPr="00FE289C" w:rsidRDefault="00FE289C" w:rsidP="00FE289C">
      <w:pPr>
        <w:pStyle w:val="a9"/>
        <w:rPr>
          <w:kern w:val="2"/>
          <w:u w:val="single"/>
        </w:rPr>
      </w:pPr>
      <w:r w:rsidRPr="00FE289C">
        <w:rPr>
          <w:kern w:val="2"/>
          <w:u w:val="single"/>
        </w:rPr>
        <w:t>Аксіальний спондилоартрит</w:t>
      </w:r>
    </w:p>
    <w:p w14:paraId="092E1B62" w14:textId="77777777" w:rsidR="00FE289C" w:rsidRPr="00FE289C" w:rsidRDefault="00FE289C" w:rsidP="00FE289C">
      <w:pPr>
        <w:pStyle w:val="a9"/>
        <w:rPr>
          <w:kern w:val="2"/>
          <w:u w:val="single"/>
        </w:rPr>
      </w:pPr>
      <w:r w:rsidRPr="00FE289C">
        <w:rPr>
          <w:kern w:val="2"/>
          <w:u w:val="single"/>
        </w:rPr>
        <w:t>Анкілозивний спондиліт</w:t>
      </w:r>
    </w:p>
    <w:p w14:paraId="48DD403D" w14:textId="77777777" w:rsidR="00FE289C" w:rsidRPr="00FE289C" w:rsidRDefault="00FE289C" w:rsidP="00FE289C">
      <w:pPr>
        <w:pStyle w:val="a9"/>
        <w:rPr>
          <w:kern w:val="2"/>
        </w:rPr>
      </w:pPr>
      <w:r w:rsidRPr="00FE289C">
        <w:rPr>
          <w:kern w:val="2"/>
        </w:rPr>
        <w:t>Лікування дорослих з тяжким активним анкілозивним спондилітом у разі недостатньої ефективності традиційної терапії.</w:t>
      </w:r>
    </w:p>
    <w:p w14:paraId="6AF6427E" w14:textId="77777777" w:rsidR="00FE289C" w:rsidRPr="00FE289C" w:rsidRDefault="00FE289C" w:rsidP="00FE289C">
      <w:pPr>
        <w:pStyle w:val="a9"/>
        <w:rPr>
          <w:kern w:val="2"/>
          <w:u w:val="single"/>
        </w:rPr>
      </w:pPr>
      <w:r w:rsidRPr="00FE289C">
        <w:rPr>
          <w:kern w:val="2"/>
          <w:u w:val="single"/>
        </w:rPr>
        <w:t>Нерентгенологічний аксіальний спондилоартрит</w:t>
      </w:r>
    </w:p>
    <w:p w14:paraId="0461CFEB" w14:textId="77777777" w:rsidR="00FE289C" w:rsidRPr="00FE289C" w:rsidRDefault="00FE289C" w:rsidP="00FE289C">
      <w:pPr>
        <w:pStyle w:val="a9"/>
        <w:rPr>
          <w:kern w:val="2"/>
        </w:rPr>
      </w:pPr>
      <w:r w:rsidRPr="00FE289C">
        <w:rPr>
          <w:kern w:val="2"/>
        </w:rPr>
        <w:t>Лікування дорослих пацієнтів з тяжкою стадією нерентгенологічного аксіального спондилоартриту з об’єктивними симптомами запалення, на що вказує підвищений рівень С-реактивного білка та/або результати МРТ, які мають недостатню відповідь на лікування нестероїдними протизапальними лікарськими засобами (НПЛЗ).</w:t>
      </w:r>
    </w:p>
    <w:p w14:paraId="37720C51" w14:textId="77777777" w:rsidR="00FE289C" w:rsidRPr="00FE289C" w:rsidRDefault="00FE289C" w:rsidP="00FE289C">
      <w:pPr>
        <w:pStyle w:val="a9"/>
        <w:rPr>
          <w:kern w:val="2"/>
        </w:rPr>
      </w:pPr>
      <w:r w:rsidRPr="00FE289C">
        <w:rPr>
          <w:kern w:val="2"/>
          <w:u w:val="single"/>
        </w:rPr>
        <w:t>Бляшковий псоріаз</w:t>
      </w:r>
    </w:p>
    <w:p w14:paraId="2D4F3DC5" w14:textId="77777777" w:rsidR="00FE289C" w:rsidRPr="00FE289C" w:rsidRDefault="00FE289C" w:rsidP="00FE289C">
      <w:pPr>
        <w:pStyle w:val="a9"/>
        <w:rPr>
          <w:kern w:val="2"/>
        </w:rPr>
      </w:pPr>
      <w:r w:rsidRPr="00FE289C">
        <w:rPr>
          <w:kern w:val="2"/>
        </w:rPr>
        <w:lastRenderedPageBreak/>
        <w:t>Лікування дорослих пацієнтів з бляшковим псоріазом помірного або тяжкого ступеня та протипоказанням до застосування або непереносимістю іншої системної терапії, що включає циклоспорин, метотрексат, псорален та ультрафіолетове опромінення А (PUVA-терапія), або якщо це лікування було неефективним.</w:t>
      </w:r>
    </w:p>
    <w:p w14:paraId="540166D6" w14:textId="77777777" w:rsidR="00FE289C" w:rsidRPr="00FE289C" w:rsidRDefault="00FE289C" w:rsidP="00FE289C">
      <w:pPr>
        <w:pStyle w:val="a9"/>
        <w:rPr>
          <w:kern w:val="2"/>
          <w:u w:val="single"/>
        </w:rPr>
      </w:pPr>
      <w:r w:rsidRPr="00FE289C">
        <w:rPr>
          <w:kern w:val="2"/>
          <w:u w:val="single"/>
        </w:rPr>
        <w:t>Бляшковий псоріаз у дітей</w:t>
      </w:r>
    </w:p>
    <w:p w14:paraId="54D30964" w14:textId="77777777" w:rsidR="00FE289C" w:rsidRPr="00FE289C" w:rsidRDefault="00FE289C" w:rsidP="00FE289C">
      <w:pPr>
        <w:pStyle w:val="a9"/>
        <w:rPr>
          <w:kern w:val="2"/>
        </w:rPr>
      </w:pPr>
      <w:r w:rsidRPr="00FE289C">
        <w:rPr>
          <w:kern w:val="2"/>
        </w:rPr>
        <w:t>Лікування хронічного тяжкого бляшкового псоріазу в дітей віком від 6 років, у яких при застосуванні інших методів системної терапії або фототерапії не було досягнуто достатнього контролю над захворюванням або спостерігалась непереносимість такого лікування.</w:t>
      </w:r>
    </w:p>
    <w:p w14:paraId="3F1C1F83" w14:textId="77777777" w:rsidR="00FE289C" w:rsidRPr="00FE289C" w:rsidRDefault="00FE289C" w:rsidP="00FE289C">
      <w:pPr>
        <w:pStyle w:val="a9"/>
        <w:rPr>
          <w:kern w:val="2"/>
        </w:rPr>
      </w:pPr>
    </w:p>
    <w:p w14:paraId="34F1CACB" w14:textId="77777777" w:rsidR="00FE289C" w:rsidRPr="00FE289C" w:rsidRDefault="00FE289C" w:rsidP="00FE289C">
      <w:pPr>
        <w:pStyle w:val="a9"/>
        <w:rPr>
          <w:b/>
          <w:bCs/>
          <w:i/>
          <w:iCs/>
          <w:kern w:val="2"/>
        </w:rPr>
      </w:pPr>
      <w:r w:rsidRPr="00FE289C">
        <w:rPr>
          <w:b/>
          <w:bCs/>
          <w:i/>
          <w:iCs/>
          <w:kern w:val="2"/>
        </w:rPr>
        <w:t>Протипоказання.</w:t>
      </w:r>
    </w:p>
    <w:p w14:paraId="3AFD9E4B" w14:textId="77777777" w:rsidR="00FE289C" w:rsidRPr="00FE289C" w:rsidRDefault="00FE289C" w:rsidP="00FE289C">
      <w:pPr>
        <w:pStyle w:val="a9"/>
        <w:rPr>
          <w:kern w:val="2"/>
        </w:rPr>
      </w:pPr>
      <w:r w:rsidRPr="00FE289C">
        <w:rPr>
          <w:kern w:val="2"/>
        </w:rPr>
        <w:t>Підвищена чутливість до діючої речовини або до будь-якої з допоміжних речовин.</w:t>
      </w:r>
    </w:p>
    <w:p w14:paraId="2EAE8734" w14:textId="77777777" w:rsidR="00FE289C" w:rsidRPr="00FE289C" w:rsidRDefault="00FE289C" w:rsidP="00FE289C">
      <w:pPr>
        <w:pStyle w:val="a9"/>
        <w:rPr>
          <w:kern w:val="2"/>
        </w:rPr>
      </w:pPr>
      <w:r w:rsidRPr="00FE289C">
        <w:rPr>
          <w:kern w:val="2"/>
        </w:rPr>
        <w:t>Сепсис або ризик виникнення сепсису.</w:t>
      </w:r>
    </w:p>
    <w:p w14:paraId="78859534" w14:textId="77777777" w:rsidR="00FE289C" w:rsidRPr="00FE289C" w:rsidRDefault="00FE289C" w:rsidP="00FE289C">
      <w:pPr>
        <w:pStyle w:val="a9"/>
        <w:rPr>
          <w:kern w:val="2"/>
        </w:rPr>
      </w:pPr>
      <w:r w:rsidRPr="00FE289C">
        <w:rPr>
          <w:kern w:val="2"/>
        </w:rPr>
        <w:t>Наявність у пацієнтів активних інфекційних процесів, включаючи хронічні або локальні інфекції, на момент початку лікування препаратом Енбрел</w:t>
      </w:r>
      <w:r w:rsidRPr="00FE289C">
        <w:rPr>
          <w:kern w:val="2"/>
          <w:vertAlign w:val="superscript"/>
        </w:rPr>
        <w:t>®</w:t>
      </w:r>
      <w:r w:rsidRPr="00FE289C">
        <w:rPr>
          <w:kern w:val="2"/>
        </w:rPr>
        <w:t>.</w:t>
      </w:r>
    </w:p>
    <w:p w14:paraId="37B9D863" w14:textId="77777777" w:rsidR="00FE289C" w:rsidRPr="00FE289C" w:rsidRDefault="00FE289C" w:rsidP="00FE289C">
      <w:pPr>
        <w:pStyle w:val="a9"/>
        <w:rPr>
          <w:b/>
          <w:kern w:val="2"/>
        </w:rPr>
      </w:pPr>
    </w:p>
    <w:p w14:paraId="6FAF2867" w14:textId="77777777" w:rsidR="00FE289C" w:rsidRPr="00FE289C" w:rsidRDefault="00FE289C" w:rsidP="00FE289C">
      <w:pPr>
        <w:pStyle w:val="a9"/>
        <w:rPr>
          <w:b/>
          <w:i/>
          <w:kern w:val="2"/>
        </w:rPr>
      </w:pPr>
      <w:r w:rsidRPr="00FE289C">
        <w:rPr>
          <w:b/>
          <w:i/>
          <w:kern w:val="2"/>
        </w:rPr>
        <w:t>Взаємодія з іншими лікарськими засобами та інші види взаємодій.</w:t>
      </w:r>
    </w:p>
    <w:p w14:paraId="2DADDA7A" w14:textId="77777777" w:rsidR="00FE289C" w:rsidRPr="00FE289C" w:rsidRDefault="00FE289C" w:rsidP="00FE289C">
      <w:pPr>
        <w:pStyle w:val="a9"/>
        <w:rPr>
          <w:i/>
          <w:kern w:val="2"/>
        </w:rPr>
      </w:pPr>
      <w:r w:rsidRPr="00FE289C">
        <w:rPr>
          <w:i/>
          <w:kern w:val="2"/>
        </w:rPr>
        <w:t xml:space="preserve">Супутнє застосування анакінри. </w:t>
      </w:r>
    </w:p>
    <w:p w14:paraId="01A332BF" w14:textId="77777777" w:rsidR="00FE289C" w:rsidRPr="00FE289C" w:rsidRDefault="00FE289C" w:rsidP="00FE289C">
      <w:pPr>
        <w:pStyle w:val="a9"/>
        <w:rPr>
          <w:kern w:val="2"/>
        </w:rPr>
      </w:pPr>
      <w:r w:rsidRPr="00FE289C">
        <w:rPr>
          <w:kern w:val="2"/>
        </w:rPr>
        <w:t>У дорослих пацієнтів на фоні одночасного лікування препаратом Енбрел</w:t>
      </w:r>
      <w:r w:rsidRPr="00FE289C">
        <w:rPr>
          <w:kern w:val="2"/>
          <w:vertAlign w:val="superscript"/>
        </w:rPr>
        <w:t>®</w:t>
      </w:r>
      <w:r w:rsidRPr="00FE289C">
        <w:rPr>
          <w:kern w:val="2"/>
        </w:rPr>
        <w:t xml:space="preserve"> та анакінрою спостерігалося підвищення частоти виникнення тяжких інфекцій, порівняно з пацієнтами, які отримували тільки Енбрел</w:t>
      </w:r>
      <w:r w:rsidRPr="00FE289C">
        <w:rPr>
          <w:kern w:val="2"/>
          <w:vertAlign w:val="superscript"/>
        </w:rPr>
        <w:t>®</w:t>
      </w:r>
      <w:r w:rsidRPr="00FE289C">
        <w:rPr>
          <w:kern w:val="2"/>
        </w:rPr>
        <w:t xml:space="preserve"> або анакінру (за даними анамнезу). </w:t>
      </w:r>
    </w:p>
    <w:p w14:paraId="6CDE743E" w14:textId="77777777" w:rsidR="00FE289C" w:rsidRPr="00FE289C" w:rsidRDefault="00FE289C" w:rsidP="00FE289C">
      <w:pPr>
        <w:pStyle w:val="a9"/>
        <w:rPr>
          <w:kern w:val="2"/>
        </w:rPr>
      </w:pPr>
      <w:r w:rsidRPr="00FE289C">
        <w:rPr>
          <w:kern w:val="2"/>
        </w:rPr>
        <w:t>Крім цього, у подвійному сліпому плацебо-контрольованому дослідженні, проведеному за участю дорослих пацієнтів, які на фоні лікування метотрексатом отримували препарат Енбрел</w:t>
      </w:r>
      <w:r w:rsidRPr="00FE289C">
        <w:rPr>
          <w:kern w:val="2"/>
          <w:vertAlign w:val="superscript"/>
        </w:rPr>
        <w:t>®</w:t>
      </w:r>
      <w:r w:rsidRPr="00FE289C">
        <w:rPr>
          <w:kern w:val="2"/>
        </w:rPr>
        <w:t xml:space="preserve"> та анакінру, спостерігалося підвищення частоти виникнення тяжких інфекцій (7 %) та нейтропенії порівняно із пацієнтами, які отримували лише Енбрел</w:t>
      </w:r>
      <w:r w:rsidRPr="00FE289C">
        <w:rPr>
          <w:kern w:val="2"/>
          <w:vertAlign w:val="superscript"/>
        </w:rPr>
        <w:t>®</w:t>
      </w:r>
      <w:r w:rsidRPr="00FE289C">
        <w:rPr>
          <w:kern w:val="2"/>
        </w:rPr>
        <w:t xml:space="preserve"> (див. розділи «Особливості застосування» та «Побічні реакції»). </w:t>
      </w:r>
    </w:p>
    <w:p w14:paraId="2D1E6AD5" w14:textId="77777777" w:rsidR="00FE289C" w:rsidRPr="00FE289C" w:rsidRDefault="00FE289C" w:rsidP="00FE289C">
      <w:pPr>
        <w:pStyle w:val="a9"/>
        <w:rPr>
          <w:kern w:val="2"/>
        </w:rPr>
      </w:pPr>
      <w:r w:rsidRPr="00FE289C">
        <w:rPr>
          <w:kern w:val="2"/>
        </w:rPr>
        <w:t>Комбінація препарату Енбрел</w:t>
      </w:r>
      <w:r w:rsidRPr="00FE289C">
        <w:rPr>
          <w:kern w:val="2"/>
          <w:vertAlign w:val="superscript"/>
        </w:rPr>
        <w:t>®</w:t>
      </w:r>
      <w:r w:rsidRPr="00FE289C">
        <w:rPr>
          <w:kern w:val="2"/>
        </w:rPr>
        <w:t xml:space="preserve"> та анакінри не продемонструвала підвищеної клінічної користі, тому вона не рекомендується до застосування.</w:t>
      </w:r>
    </w:p>
    <w:p w14:paraId="02F5396F" w14:textId="77777777" w:rsidR="00FE289C" w:rsidRPr="00FE289C" w:rsidRDefault="00FE289C" w:rsidP="00FE289C">
      <w:pPr>
        <w:pStyle w:val="a9"/>
        <w:rPr>
          <w:i/>
          <w:kern w:val="2"/>
        </w:rPr>
      </w:pPr>
      <w:r w:rsidRPr="00FE289C">
        <w:rPr>
          <w:i/>
          <w:kern w:val="2"/>
        </w:rPr>
        <w:t>Супутнє застосування абатацепту.</w:t>
      </w:r>
    </w:p>
    <w:p w14:paraId="14A918D1" w14:textId="77777777" w:rsidR="00FE289C" w:rsidRPr="00FE289C" w:rsidRDefault="00FE289C" w:rsidP="00FE289C">
      <w:pPr>
        <w:pStyle w:val="a9"/>
        <w:rPr>
          <w:kern w:val="2"/>
        </w:rPr>
      </w:pPr>
      <w:r w:rsidRPr="00FE289C">
        <w:rPr>
          <w:kern w:val="2"/>
        </w:rPr>
        <w:t>У клінічних дослідженнях супутнє застосування абатацепту і препарату Енбрел</w:t>
      </w:r>
      <w:r w:rsidRPr="00FE289C">
        <w:rPr>
          <w:kern w:val="2"/>
          <w:vertAlign w:val="superscript"/>
        </w:rPr>
        <w:t>®</w:t>
      </w:r>
      <w:r w:rsidRPr="00FE289C">
        <w:rPr>
          <w:kern w:val="2"/>
        </w:rPr>
        <w:t xml:space="preserve"> призводило до підвищення частоти виникнення тяжких побічних реакцій. Така комбінація не продемонструвала підвищеної клінічної користі і тому не рекомендується до застосування.</w:t>
      </w:r>
    </w:p>
    <w:p w14:paraId="3629B3F7" w14:textId="77777777" w:rsidR="00FE289C" w:rsidRPr="00FE289C" w:rsidRDefault="00FE289C" w:rsidP="00FE289C">
      <w:pPr>
        <w:pStyle w:val="a9"/>
        <w:rPr>
          <w:i/>
          <w:kern w:val="2"/>
        </w:rPr>
      </w:pPr>
      <w:r w:rsidRPr="00FE289C">
        <w:rPr>
          <w:i/>
          <w:kern w:val="2"/>
        </w:rPr>
        <w:t>Супутнє застосування сульфасалазину.</w:t>
      </w:r>
    </w:p>
    <w:p w14:paraId="78E9D162" w14:textId="77777777" w:rsidR="00FE289C" w:rsidRPr="00FE289C" w:rsidRDefault="00FE289C" w:rsidP="00FE289C">
      <w:pPr>
        <w:pStyle w:val="a9"/>
        <w:rPr>
          <w:kern w:val="2"/>
        </w:rPr>
      </w:pPr>
      <w:r w:rsidRPr="00FE289C">
        <w:rPr>
          <w:kern w:val="2"/>
        </w:rPr>
        <w:t>У клінічному дослідженні із залученням дорослих пацієнтів, які на фоні лікування стандартними дозами сульфасалазину отримували Енбрел</w:t>
      </w:r>
      <w:r w:rsidRPr="00FE289C">
        <w:rPr>
          <w:kern w:val="2"/>
          <w:vertAlign w:val="superscript"/>
        </w:rPr>
        <w:t>®</w:t>
      </w:r>
      <w:r w:rsidRPr="00FE289C">
        <w:rPr>
          <w:kern w:val="2"/>
        </w:rPr>
        <w:t>, спостерігалося статистично значуще зниження середньої кількості лейкоцитів у пацієнтів, яким застосовували комбінацію препаратів, порівняно з пацієнтами, які отримували тільки Енбрел</w:t>
      </w:r>
      <w:r w:rsidRPr="00FE289C">
        <w:rPr>
          <w:kern w:val="2"/>
          <w:vertAlign w:val="superscript"/>
        </w:rPr>
        <w:t>®</w:t>
      </w:r>
      <w:r w:rsidRPr="00FE289C">
        <w:rPr>
          <w:kern w:val="2"/>
        </w:rPr>
        <w:t xml:space="preserve"> або сульфасалазин. Клінічне значення цієї комбінації невідоме. Лікарі повинні бути обережними, призначаючи вищезазначену комбінацію.</w:t>
      </w:r>
    </w:p>
    <w:p w14:paraId="3D12A7D2" w14:textId="77777777" w:rsidR="00FE289C" w:rsidRPr="00FE289C" w:rsidRDefault="00FE289C" w:rsidP="00FE289C">
      <w:pPr>
        <w:pStyle w:val="a9"/>
        <w:rPr>
          <w:i/>
          <w:kern w:val="2"/>
        </w:rPr>
      </w:pPr>
      <w:r w:rsidRPr="00FE289C">
        <w:rPr>
          <w:i/>
          <w:kern w:val="2"/>
        </w:rPr>
        <w:t>Відсутність взаємодії.</w:t>
      </w:r>
    </w:p>
    <w:p w14:paraId="0FBCE980" w14:textId="77777777" w:rsidR="00FE289C" w:rsidRPr="00FE289C" w:rsidRDefault="00FE289C" w:rsidP="00FE289C">
      <w:pPr>
        <w:pStyle w:val="a9"/>
        <w:rPr>
          <w:kern w:val="2"/>
        </w:rPr>
      </w:pPr>
      <w:r w:rsidRPr="00FE289C">
        <w:rPr>
          <w:kern w:val="2"/>
        </w:rPr>
        <w:t>У клінічних дослідженнях не спостерігалося жодних взаємодій при одночасному застосуванні препарату Енбрел</w:t>
      </w:r>
      <w:r w:rsidRPr="00FE289C">
        <w:rPr>
          <w:kern w:val="2"/>
          <w:vertAlign w:val="superscript"/>
        </w:rPr>
        <w:t>®</w:t>
      </w:r>
      <w:r w:rsidRPr="00FE289C">
        <w:rPr>
          <w:kern w:val="2"/>
        </w:rPr>
        <w:t xml:space="preserve"> з глюкокортикостероїдами, саліцилатами (за винятком сульфасалазину), нестероїдними протизапальними препаратами, анальгетиками або метотрексатом. Рекомендації щодо вакцинації наведено в розділі «Особливості застосування». </w:t>
      </w:r>
    </w:p>
    <w:p w14:paraId="5D568E8B" w14:textId="77777777" w:rsidR="00FE289C" w:rsidRPr="00FE289C" w:rsidRDefault="00FE289C" w:rsidP="00FE289C">
      <w:pPr>
        <w:pStyle w:val="a9"/>
        <w:rPr>
          <w:kern w:val="2"/>
        </w:rPr>
      </w:pPr>
      <w:r w:rsidRPr="00FE289C">
        <w:rPr>
          <w:kern w:val="2"/>
        </w:rPr>
        <w:t xml:space="preserve">Не спостерігалося жодних клінічно значущих міжлікарських фармакокінетичних взаємодій під </w:t>
      </w:r>
      <w:r w:rsidRPr="00FE289C">
        <w:rPr>
          <w:kern w:val="2"/>
        </w:rPr>
        <w:lastRenderedPageBreak/>
        <w:t>час досліджень з метотрексатом, дигоксином або варфарином.</w:t>
      </w:r>
    </w:p>
    <w:p w14:paraId="5CA7496E" w14:textId="77777777" w:rsidR="00FE289C" w:rsidRPr="00FE289C" w:rsidRDefault="00FE289C" w:rsidP="00FE289C">
      <w:pPr>
        <w:pStyle w:val="a9"/>
        <w:rPr>
          <w:kern w:val="2"/>
        </w:rPr>
      </w:pPr>
    </w:p>
    <w:p w14:paraId="18B8E01F" w14:textId="77777777" w:rsidR="00FE289C" w:rsidRPr="00FE289C" w:rsidRDefault="00FE289C" w:rsidP="00FE289C">
      <w:pPr>
        <w:pStyle w:val="a9"/>
        <w:rPr>
          <w:b/>
          <w:bCs/>
          <w:i/>
          <w:iCs/>
          <w:kern w:val="2"/>
        </w:rPr>
      </w:pPr>
      <w:r w:rsidRPr="00FE289C">
        <w:rPr>
          <w:b/>
          <w:bCs/>
          <w:i/>
          <w:iCs/>
          <w:kern w:val="2"/>
        </w:rPr>
        <w:t>Особливості застосування.</w:t>
      </w:r>
    </w:p>
    <w:p w14:paraId="077AD2F7" w14:textId="77777777" w:rsidR="00FE289C" w:rsidRPr="00FE289C" w:rsidRDefault="00FE289C" w:rsidP="00FE289C">
      <w:pPr>
        <w:pStyle w:val="a9"/>
        <w:rPr>
          <w:iCs/>
          <w:kern w:val="2"/>
        </w:rPr>
      </w:pPr>
      <w:r w:rsidRPr="00FE289C">
        <w:rPr>
          <w:iCs/>
          <w:kern w:val="2"/>
        </w:rPr>
        <w:t>Для полегшення відстеження біологічних лікарських засобів слід чітко записати (або зазначити) торгову назву та номер серії введеного препарату в карті пацієнта.</w:t>
      </w:r>
    </w:p>
    <w:p w14:paraId="0DFC0F12" w14:textId="77777777" w:rsidR="00FE289C" w:rsidRPr="00FE289C" w:rsidRDefault="00FE289C" w:rsidP="00FE289C">
      <w:pPr>
        <w:pStyle w:val="a9"/>
        <w:rPr>
          <w:kern w:val="2"/>
        </w:rPr>
      </w:pPr>
      <w:r w:rsidRPr="00FE289C">
        <w:rPr>
          <w:kern w:val="2"/>
        </w:rPr>
        <w:t>Було показано, що Енбрел</w:t>
      </w:r>
      <w:r w:rsidRPr="00FE289C">
        <w:rPr>
          <w:kern w:val="2"/>
          <w:vertAlign w:val="superscript"/>
        </w:rPr>
        <w:t>®</w:t>
      </w:r>
      <w:r w:rsidRPr="00FE289C">
        <w:rPr>
          <w:kern w:val="2"/>
        </w:rPr>
        <w:t xml:space="preserve">, як у вигляді монотерапії, так і в комбінації з метотрексатом, уповільнює динаміку прогресування ураження суглобів (згідно з даними рентгенографії) та поліпшує функцію суглобів. </w:t>
      </w:r>
    </w:p>
    <w:p w14:paraId="19DAE801" w14:textId="77777777" w:rsidR="00FE289C" w:rsidRPr="00FE289C" w:rsidRDefault="00FE289C" w:rsidP="00FE289C">
      <w:pPr>
        <w:pStyle w:val="a9"/>
        <w:rPr>
          <w:kern w:val="2"/>
        </w:rPr>
      </w:pPr>
      <w:r w:rsidRPr="00FE289C">
        <w:rPr>
          <w:kern w:val="2"/>
        </w:rPr>
        <w:t>Енбрел</w:t>
      </w:r>
      <w:r w:rsidRPr="00FE289C">
        <w:rPr>
          <w:kern w:val="2"/>
          <w:vertAlign w:val="superscript"/>
        </w:rPr>
        <w:t>®</w:t>
      </w:r>
      <w:r w:rsidRPr="00FE289C">
        <w:rPr>
          <w:kern w:val="2"/>
        </w:rPr>
        <w:t xml:space="preserve"> продемонстрував здатність покращувати фізичний стан пацієнтів із псоріатичним артритом та уповільнювати динаміку прогресування ураження периферичних суглобів (згідно з даними рентгенографії) в пацієнтів з поліартикулярними симетричними підтипами захворювання.</w:t>
      </w:r>
    </w:p>
    <w:p w14:paraId="7E032642" w14:textId="77777777" w:rsidR="00FE289C" w:rsidRPr="00FE289C" w:rsidRDefault="00FE289C" w:rsidP="00FE289C">
      <w:pPr>
        <w:pStyle w:val="a9"/>
        <w:rPr>
          <w:i/>
          <w:kern w:val="2"/>
        </w:rPr>
      </w:pPr>
      <w:r w:rsidRPr="00FE289C">
        <w:rPr>
          <w:i/>
          <w:kern w:val="2"/>
        </w:rPr>
        <w:t>Інфекції.</w:t>
      </w:r>
    </w:p>
    <w:p w14:paraId="59DF9F25" w14:textId="77777777" w:rsidR="00FE289C" w:rsidRPr="00FE289C" w:rsidRDefault="00FE289C" w:rsidP="00FE289C">
      <w:pPr>
        <w:pStyle w:val="a9"/>
        <w:rPr>
          <w:kern w:val="2"/>
        </w:rPr>
      </w:pPr>
      <w:r w:rsidRPr="00FE289C">
        <w:rPr>
          <w:kern w:val="2"/>
        </w:rPr>
        <w:t>Необхідно оцінити наявність інфекції у пацієнтів перед призначенням препарату Енбрел</w:t>
      </w:r>
      <w:r w:rsidRPr="00FE289C">
        <w:rPr>
          <w:kern w:val="2"/>
          <w:vertAlign w:val="superscript"/>
        </w:rPr>
        <w:t>®</w:t>
      </w:r>
      <w:r w:rsidRPr="00FE289C">
        <w:rPr>
          <w:kern w:val="2"/>
        </w:rPr>
        <w:t>, під час лікування і після закінчення курсу терапії, враховуючи, що середній період напіввиведення етанерцепту становить приблизно 70 годин (7–300 годин).</w:t>
      </w:r>
    </w:p>
    <w:p w14:paraId="72E9414E" w14:textId="77777777" w:rsidR="00FE289C" w:rsidRPr="00FE289C" w:rsidRDefault="00FE289C" w:rsidP="00FE289C">
      <w:pPr>
        <w:pStyle w:val="a9"/>
        <w:rPr>
          <w:kern w:val="2"/>
        </w:rPr>
      </w:pPr>
      <w:r w:rsidRPr="00FE289C">
        <w:rPr>
          <w:kern w:val="2"/>
        </w:rPr>
        <w:t>При застосуванні препарату Енбрел</w:t>
      </w:r>
      <w:r w:rsidRPr="00FE289C">
        <w:rPr>
          <w:kern w:val="2"/>
          <w:vertAlign w:val="superscript"/>
        </w:rPr>
        <w:t xml:space="preserve">® </w:t>
      </w:r>
      <w:r w:rsidRPr="00FE289C">
        <w:rPr>
          <w:kern w:val="2"/>
        </w:rPr>
        <w:t>повідомлялося про розвиток тяжких інфекцій, сепсису, туберкульозу та опортуністичних інфекцій, включаючи інвазивні грибкові інфекції, лістеріоз, легіонельоз (див. розділ «Побічні реакції»), які були спричинені бактеріями, мікобактеріями, грибами, вірусами та паразитами (включаючи найпростіші). У деяких випадках специфічний вид грибкової або іншої опортуністичної інфекції не був визначений, що призводило до затримки призначення необхідного лікування, а іноді – до смерті. При обстеженні пацієнтів щодо наявності інфекцій слід брати до уваги ризик певних опортуністичних інфекцій (наприклад, вплив ендемічних мікозів).</w:t>
      </w:r>
    </w:p>
    <w:p w14:paraId="797B38A1" w14:textId="77777777" w:rsidR="00FE289C" w:rsidRPr="00FE289C" w:rsidRDefault="00FE289C" w:rsidP="00FE289C">
      <w:pPr>
        <w:pStyle w:val="a9"/>
        <w:rPr>
          <w:kern w:val="2"/>
        </w:rPr>
      </w:pPr>
      <w:r w:rsidRPr="00FE289C">
        <w:rPr>
          <w:kern w:val="2"/>
        </w:rPr>
        <w:t>Пацієнти, у яких на фоні лікування препаратом Енбрел</w:t>
      </w:r>
      <w:r w:rsidRPr="00FE289C">
        <w:rPr>
          <w:kern w:val="2"/>
          <w:vertAlign w:val="superscript"/>
        </w:rPr>
        <w:t>®</w:t>
      </w:r>
      <w:r w:rsidRPr="00FE289C">
        <w:rPr>
          <w:kern w:val="2"/>
        </w:rPr>
        <w:t xml:space="preserve"> виникають нові інфекційні захворювання, повинні знаходитися під ретельним наглядом. У разі розвитку тяжкої інфекції застосування препарату Енбрел</w:t>
      </w:r>
      <w:r w:rsidRPr="00FE289C">
        <w:rPr>
          <w:kern w:val="2"/>
          <w:vertAlign w:val="superscript"/>
        </w:rPr>
        <w:t>®</w:t>
      </w:r>
      <w:r w:rsidRPr="00FE289C">
        <w:rPr>
          <w:kern w:val="2"/>
        </w:rPr>
        <w:t xml:space="preserve"> слід відмінити. Ефективність та безпеку застосування препарату Енбрел</w:t>
      </w:r>
      <w:r w:rsidRPr="00FE289C">
        <w:rPr>
          <w:kern w:val="2"/>
          <w:vertAlign w:val="superscript"/>
        </w:rPr>
        <w:t>®</w:t>
      </w:r>
      <w:r w:rsidRPr="00FE289C">
        <w:rPr>
          <w:kern w:val="2"/>
        </w:rPr>
        <w:t xml:space="preserve"> пацієнтами із хронічними інфекційними захворюваннями не оцінювали. Слід з обережністю призначати Енбрел</w:t>
      </w:r>
      <w:r w:rsidRPr="00FE289C">
        <w:rPr>
          <w:kern w:val="2"/>
          <w:vertAlign w:val="superscript"/>
        </w:rPr>
        <w:t>®</w:t>
      </w:r>
      <w:r w:rsidRPr="00FE289C">
        <w:rPr>
          <w:kern w:val="2"/>
        </w:rPr>
        <w:t xml:space="preserve"> пацієнтам з рецидивними чи хронічними інфекціями в анамнезі або пацієнтам, основні захворювання яких (наприклад ускладнений або погано контрольований діабет) можуть сприяти розвитку інфекції.</w:t>
      </w:r>
    </w:p>
    <w:p w14:paraId="07387CE4" w14:textId="77777777" w:rsidR="00FE289C" w:rsidRPr="00FE289C" w:rsidRDefault="00FE289C" w:rsidP="00FE289C">
      <w:pPr>
        <w:pStyle w:val="a9"/>
        <w:rPr>
          <w:i/>
          <w:kern w:val="2"/>
        </w:rPr>
      </w:pPr>
      <w:r w:rsidRPr="00FE289C">
        <w:rPr>
          <w:i/>
          <w:kern w:val="2"/>
        </w:rPr>
        <w:t>Туберкульоз.</w:t>
      </w:r>
    </w:p>
    <w:p w14:paraId="1D1BE8CF" w14:textId="77777777" w:rsidR="00FE289C" w:rsidRPr="00FE289C" w:rsidRDefault="00FE289C" w:rsidP="00FE289C">
      <w:pPr>
        <w:pStyle w:val="a9"/>
        <w:rPr>
          <w:kern w:val="2"/>
        </w:rPr>
      </w:pPr>
      <w:r w:rsidRPr="00FE289C">
        <w:rPr>
          <w:kern w:val="2"/>
        </w:rPr>
        <w:t>Повідомлялося про випадки виникнення активного туберкульозу, в тому числі міліарного туберкульозу та туберкульозу позалегеневої локалізації, у пацієнтів, які отримували Енбрел</w:t>
      </w:r>
      <w:r w:rsidRPr="00FE289C">
        <w:rPr>
          <w:kern w:val="2"/>
          <w:vertAlign w:val="superscript"/>
        </w:rPr>
        <w:t>®</w:t>
      </w:r>
      <w:r w:rsidRPr="00FE289C">
        <w:rPr>
          <w:kern w:val="2"/>
        </w:rPr>
        <w:t>.</w:t>
      </w:r>
    </w:p>
    <w:p w14:paraId="52BF0698" w14:textId="77777777" w:rsidR="00FE289C" w:rsidRPr="00FE289C" w:rsidRDefault="00FE289C" w:rsidP="00FE289C">
      <w:pPr>
        <w:pStyle w:val="a9"/>
        <w:rPr>
          <w:kern w:val="2"/>
        </w:rPr>
      </w:pPr>
      <w:r w:rsidRPr="00FE289C">
        <w:rPr>
          <w:kern w:val="2"/>
        </w:rPr>
        <w:t>Перед початком лікування препаратом Енбрел</w:t>
      </w:r>
      <w:r w:rsidRPr="00FE289C">
        <w:rPr>
          <w:kern w:val="2"/>
          <w:vertAlign w:val="superscript"/>
        </w:rPr>
        <w:t>®</w:t>
      </w:r>
      <w:r w:rsidRPr="00FE289C">
        <w:rPr>
          <w:kern w:val="2"/>
        </w:rPr>
        <w:t xml:space="preserve"> усіх пацієнтів потрібно обстежити щодо наявності як активного</w:t>
      </w:r>
      <w:r w:rsidRPr="00FE289C">
        <w:rPr>
          <w:kern w:val="2"/>
          <w:lang w:val="ru-RU"/>
        </w:rPr>
        <w:t>,</w:t>
      </w:r>
      <w:r w:rsidRPr="00FE289C">
        <w:rPr>
          <w:kern w:val="2"/>
        </w:rPr>
        <w:t xml:space="preserve"> так і неактивного (латентного) туберкульозу. Це обстеження повинно включати детальне вивчення медичного анамнезу, в тому числі індивідуального анамнезу захворювання на туберкульоз або можливих контактів з хворими на туберкульоз у минулому, і даних щодо проведеної раніше або поточної імуносупресивної терапії. Всім пацієнтам слід провести необхідні скринінгові тести, тобто туберкулінову шкірну пробу і рентгенографію легень (можна керуватися місцевими рекомендаціями). Рекомендовано відображати проведення цих тестів у карті пацієнта. Лікарям слід пам’ятати про ризик </w:t>
      </w:r>
      <w:r w:rsidRPr="00FE289C">
        <w:rPr>
          <w:kern w:val="2"/>
        </w:rPr>
        <w:lastRenderedPageBreak/>
        <w:t>отримання хибно негативних результатів туберкулінової шкірної проби, особливо у тяжкохворих пацієнтів або  осіб з ослабленим імунітетом.</w:t>
      </w:r>
    </w:p>
    <w:p w14:paraId="056CD44F" w14:textId="77777777" w:rsidR="00FE289C" w:rsidRPr="00FE289C" w:rsidRDefault="00FE289C" w:rsidP="00FE289C">
      <w:pPr>
        <w:pStyle w:val="a9"/>
        <w:rPr>
          <w:kern w:val="2"/>
        </w:rPr>
      </w:pPr>
      <w:r w:rsidRPr="00FE289C">
        <w:rPr>
          <w:kern w:val="2"/>
        </w:rPr>
        <w:t>У разі діагностування активного туберкульозу не слід призначати лікування препаратом Енбрел</w:t>
      </w:r>
      <w:r w:rsidRPr="00FE289C">
        <w:rPr>
          <w:kern w:val="2"/>
          <w:vertAlign w:val="superscript"/>
        </w:rPr>
        <w:t>®</w:t>
      </w:r>
      <w:r w:rsidRPr="00FE289C">
        <w:rPr>
          <w:kern w:val="2"/>
        </w:rPr>
        <w:t xml:space="preserve">. У разі діагностування неактивного («латентного») туберкульозу перед початком застосування </w:t>
      </w:r>
      <w:r w:rsidRPr="00FE289C">
        <w:rPr>
          <w:kern w:val="2"/>
          <w:lang w:val="ru-RU"/>
        </w:rPr>
        <w:t xml:space="preserve">препарату </w:t>
      </w:r>
      <w:r w:rsidRPr="00FE289C">
        <w:rPr>
          <w:kern w:val="2"/>
        </w:rPr>
        <w:t>Енбрел</w:t>
      </w:r>
      <w:r w:rsidRPr="00FE289C">
        <w:rPr>
          <w:kern w:val="2"/>
          <w:vertAlign w:val="superscript"/>
        </w:rPr>
        <w:t>®</w:t>
      </w:r>
      <w:r w:rsidRPr="00FE289C">
        <w:rPr>
          <w:kern w:val="2"/>
        </w:rPr>
        <w:t xml:space="preserve"> необхідно провести протитуберкульозну терапію згідно з місцевими рекомендаціями. У такій ситуації слід ретельно проаналізувати співвідношення користь/ризик лікування препаратом.</w:t>
      </w:r>
    </w:p>
    <w:p w14:paraId="3B197B12" w14:textId="77777777" w:rsidR="00FE289C" w:rsidRPr="00FE289C" w:rsidRDefault="00FE289C" w:rsidP="00FE289C">
      <w:pPr>
        <w:pStyle w:val="a9"/>
        <w:rPr>
          <w:kern w:val="2"/>
        </w:rPr>
      </w:pPr>
      <w:r w:rsidRPr="00FE289C">
        <w:rPr>
          <w:kern w:val="2"/>
        </w:rPr>
        <w:t>Усіх пацієнтів потрібно проінформувати про необхідність звернутися до лікаря у разі появи під час або після лікування препаратом Енбрел</w:t>
      </w:r>
      <w:r w:rsidRPr="00FE289C">
        <w:rPr>
          <w:kern w:val="2"/>
          <w:vertAlign w:val="superscript"/>
        </w:rPr>
        <w:t>®</w:t>
      </w:r>
      <w:r w:rsidRPr="00FE289C">
        <w:rPr>
          <w:kern w:val="2"/>
        </w:rPr>
        <w:t xml:space="preserve"> ознак або симптомів, характерних для туберкульозу (таких як постійний кашель, виснаження/втрата маси тіла, субфебрильна температура тіла). </w:t>
      </w:r>
    </w:p>
    <w:p w14:paraId="5B9326FF" w14:textId="77777777" w:rsidR="00FE289C" w:rsidRPr="00FE289C" w:rsidRDefault="00FE289C" w:rsidP="00FE289C">
      <w:pPr>
        <w:pStyle w:val="a9"/>
        <w:rPr>
          <w:i/>
          <w:kern w:val="2"/>
        </w:rPr>
      </w:pPr>
      <w:r w:rsidRPr="00FE289C">
        <w:rPr>
          <w:i/>
          <w:kern w:val="2"/>
        </w:rPr>
        <w:t>Реактивація гепатиту В.</w:t>
      </w:r>
    </w:p>
    <w:p w14:paraId="374BED16" w14:textId="77777777" w:rsidR="00FE289C" w:rsidRPr="00FE289C" w:rsidRDefault="00FE289C" w:rsidP="00FE289C">
      <w:pPr>
        <w:pStyle w:val="a9"/>
        <w:rPr>
          <w:kern w:val="2"/>
        </w:rPr>
      </w:pPr>
      <w:r w:rsidRPr="00FE289C">
        <w:rPr>
          <w:kern w:val="2"/>
        </w:rPr>
        <w:t>Повідомлялося про випадки реактивації гепатиту В у пацієнтів, які були раніше інфіковані вірусом гепатиту В і отримували супутнє лікування антагоністами ФНП, у тому числі препаратом Енбрел</w:t>
      </w:r>
      <w:r w:rsidRPr="00FE289C">
        <w:rPr>
          <w:kern w:val="2"/>
          <w:vertAlign w:val="superscript"/>
        </w:rPr>
        <w:t>®</w:t>
      </w:r>
      <w:r w:rsidRPr="00FE289C">
        <w:rPr>
          <w:kern w:val="2"/>
        </w:rPr>
        <w:t xml:space="preserve">. Також повідомлялося про реактивацію гепатиту В у пацієнтів, які </w:t>
      </w:r>
      <w:r w:rsidRPr="00FE289C">
        <w:rPr>
          <w:kern w:val="2"/>
          <w:lang w:val="ru-RU"/>
        </w:rPr>
        <w:t>мали позитивний результат</w:t>
      </w:r>
      <w:r w:rsidRPr="00FE289C">
        <w:rPr>
          <w:kern w:val="2"/>
        </w:rPr>
        <w:t xml:space="preserve"> тесту на наявність анти-НВс антитіл, але негативни</w:t>
      </w:r>
      <w:r w:rsidRPr="00FE289C">
        <w:rPr>
          <w:kern w:val="2"/>
          <w:lang w:val="ru-RU"/>
        </w:rPr>
        <w:t>й</w:t>
      </w:r>
      <w:r w:rsidRPr="00FE289C">
        <w:rPr>
          <w:kern w:val="2"/>
        </w:rPr>
        <w:t xml:space="preserve"> на наявність </w:t>
      </w:r>
      <w:r w:rsidRPr="00FE289C">
        <w:rPr>
          <w:kern w:val="2"/>
          <w:lang w:val="en-US"/>
        </w:rPr>
        <w:t>HBsAg</w:t>
      </w:r>
      <w:r w:rsidRPr="00FE289C">
        <w:rPr>
          <w:kern w:val="2"/>
          <w:lang w:val="ru-RU"/>
        </w:rPr>
        <w:t xml:space="preserve">. </w:t>
      </w:r>
      <w:r w:rsidRPr="00FE289C">
        <w:rPr>
          <w:kern w:val="2"/>
        </w:rPr>
        <w:t xml:space="preserve">Перед початком лікування </w:t>
      </w:r>
      <w:r w:rsidRPr="00FE289C">
        <w:rPr>
          <w:kern w:val="2"/>
          <w:lang w:val="ru-RU"/>
        </w:rPr>
        <w:t xml:space="preserve">препаратом </w:t>
      </w:r>
      <w:r w:rsidRPr="00FE289C">
        <w:rPr>
          <w:kern w:val="2"/>
        </w:rPr>
        <w:t>Енбрел</w:t>
      </w:r>
      <w:r w:rsidRPr="00FE289C">
        <w:rPr>
          <w:kern w:val="2"/>
          <w:vertAlign w:val="superscript"/>
        </w:rPr>
        <w:t>®</w:t>
      </w:r>
      <w:r w:rsidRPr="00FE289C">
        <w:rPr>
          <w:kern w:val="2"/>
        </w:rPr>
        <w:t xml:space="preserve"> пацієнтів слід обстежувати </w:t>
      </w:r>
      <w:r w:rsidRPr="00FE289C">
        <w:rPr>
          <w:kern w:val="2"/>
          <w:lang w:val="ru-RU"/>
        </w:rPr>
        <w:t>щодо</w:t>
      </w:r>
      <w:r w:rsidRPr="00FE289C">
        <w:rPr>
          <w:kern w:val="2"/>
        </w:rPr>
        <w:t xml:space="preserve"> наявн</w:t>
      </w:r>
      <w:r w:rsidRPr="00FE289C">
        <w:rPr>
          <w:kern w:val="2"/>
          <w:lang w:val="ru-RU"/>
        </w:rPr>
        <w:t>о</w:t>
      </w:r>
      <w:r w:rsidRPr="00FE289C">
        <w:rPr>
          <w:kern w:val="2"/>
        </w:rPr>
        <w:t>сті інфікування вірусом</w:t>
      </w:r>
      <w:r w:rsidRPr="00FE289C">
        <w:rPr>
          <w:kern w:val="2"/>
          <w:lang w:val="ru-RU"/>
        </w:rPr>
        <w:t xml:space="preserve"> </w:t>
      </w:r>
      <w:r w:rsidRPr="00FE289C">
        <w:rPr>
          <w:kern w:val="2"/>
        </w:rPr>
        <w:t>гепатиту В. Пацієнтам із позитивним результатом тесту щодо інфікування вірусом гепатиту В рекомендується проконсультуватися з лікарем, який має досвід у лікуванні гепатиту В. Енбрел</w:t>
      </w:r>
      <w:r w:rsidRPr="00FE289C">
        <w:rPr>
          <w:kern w:val="2"/>
          <w:vertAlign w:val="superscript"/>
        </w:rPr>
        <w:t>®</w:t>
      </w:r>
      <w:r w:rsidRPr="00FE289C">
        <w:rPr>
          <w:kern w:val="2"/>
        </w:rPr>
        <w:t xml:space="preserve"> слід з обережністю застосовувати пацієнтам, які були раніше інфіковані вірусом гепатиту В. Необхідний ретельний моніторинг стану таких пацієнтів щодо ознак і симптомів гострої інфекції, викликаної вірусом гепатиту В</w:t>
      </w:r>
      <w:r w:rsidRPr="00FE289C">
        <w:rPr>
          <w:kern w:val="2"/>
          <w:lang w:val="ru-RU"/>
        </w:rPr>
        <w:t>,</w:t>
      </w:r>
      <w:r w:rsidRPr="00FE289C">
        <w:rPr>
          <w:kern w:val="2"/>
        </w:rPr>
        <w:t xml:space="preserve"> протягом усього лікування та впродовж декількох тижнів після його закінчення. Достатніх даних щодо лікування пацієнтів, інфікованих вірусом гепатиту В, комбінацією противірусних засобів та антагоністів ФНП немає. У разі розвитку інфекції, спричиненої вірусом гепатиту В, застосування препарату Енбрел</w:t>
      </w:r>
      <w:r w:rsidRPr="00FE289C">
        <w:rPr>
          <w:kern w:val="2"/>
          <w:vertAlign w:val="superscript"/>
        </w:rPr>
        <w:t>®</w:t>
      </w:r>
      <w:r w:rsidRPr="00FE289C">
        <w:rPr>
          <w:kern w:val="2"/>
        </w:rPr>
        <w:t xml:space="preserve"> слід припинити та розпочати ефективне противірусне лікування разом із належною підтримуючою терапією.</w:t>
      </w:r>
    </w:p>
    <w:p w14:paraId="76D346C5" w14:textId="77777777" w:rsidR="00FE289C" w:rsidRPr="00FE289C" w:rsidRDefault="00FE289C" w:rsidP="00FE289C">
      <w:pPr>
        <w:pStyle w:val="a9"/>
        <w:rPr>
          <w:i/>
          <w:kern w:val="2"/>
        </w:rPr>
      </w:pPr>
      <w:r w:rsidRPr="00FE289C">
        <w:rPr>
          <w:i/>
          <w:kern w:val="2"/>
        </w:rPr>
        <w:t>Загострення гепатиту С.</w:t>
      </w:r>
    </w:p>
    <w:p w14:paraId="224EF558" w14:textId="77777777" w:rsidR="00FE289C" w:rsidRPr="00FE289C" w:rsidRDefault="00FE289C" w:rsidP="00FE289C">
      <w:pPr>
        <w:pStyle w:val="a9"/>
        <w:rPr>
          <w:kern w:val="2"/>
        </w:rPr>
      </w:pPr>
      <w:r w:rsidRPr="00FE289C">
        <w:rPr>
          <w:kern w:val="2"/>
        </w:rPr>
        <w:t>Зареєстровано випадки загострення гепатиту С у пацієнтів, які застосовують Енбрел</w:t>
      </w:r>
      <w:r w:rsidRPr="00FE289C">
        <w:rPr>
          <w:kern w:val="2"/>
          <w:vertAlign w:val="superscript"/>
        </w:rPr>
        <w:t>®</w:t>
      </w:r>
      <w:r w:rsidRPr="00FE289C">
        <w:rPr>
          <w:kern w:val="2"/>
        </w:rPr>
        <w:t>. Тому його слід із обережністю призначати пацієнтам з гепатитом С в анамнезі.</w:t>
      </w:r>
    </w:p>
    <w:p w14:paraId="4A26FB86" w14:textId="77777777" w:rsidR="00FE289C" w:rsidRPr="00FE289C" w:rsidRDefault="00FE289C" w:rsidP="00FE289C">
      <w:pPr>
        <w:pStyle w:val="a9"/>
        <w:rPr>
          <w:i/>
          <w:kern w:val="2"/>
        </w:rPr>
      </w:pPr>
      <w:r w:rsidRPr="00FE289C">
        <w:rPr>
          <w:i/>
          <w:kern w:val="2"/>
        </w:rPr>
        <w:t>Супутнє застосування анакінри.</w:t>
      </w:r>
    </w:p>
    <w:p w14:paraId="548C1341" w14:textId="77777777" w:rsidR="00FE289C" w:rsidRPr="00FE289C" w:rsidRDefault="00FE289C" w:rsidP="00FE289C">
      <w:pPr>
        <w:pStyle w:val="a9"/>
        <w:rPr>
          <w:kern w:val="2"/>
        </w:rPr>
      </w:pPr>
      <w:r w:rsidRPr="00FE289C">
        <w:rPr>
          <w:kern w:val="2"/>
        </w:rPr>
        <w:t>Супутнє застосування препарату Енбрел</w:t>
      </w:r>
      <w:r w:rsidRPr="00FE289C">
        <w:rPr>
          <w:kern w:val="2"/>
          <w:vertAlign w:val="superscript"/>
        </w:rPr>
        <w:t>®</w:t>
      </w:r>
      <w:r w:rsidRPr="00FE289C">
        <w:rPr>
          <w:kern w:val="2"/>
        </w:rPr>
        <w:t xml:space="preserve"> та анакінри супроводжувалося підвищеним ризиком виникнення тяжких інфекцій і нейтропенії порівняно із монотерапією препаратом Енбрел</w:t>
      </w:r>
      <w:r w:rsidRPr="00FE289C">
        <w:rPr>
          <w:kern w:val="2"/>
          <w:vertAlign w:val="superscript"/>
        </w:rPr>
        <w:t>®</w:t>
      </w:r>
      <w:r w:rsidRPr="00FE289C">
        <w:rPr>
          <w:kern w:val="2"/>
        </w:rPr>
        <w:t>. Така комбінація не продемонструвала збільшення клінічних переваг, тому застосування такої комбінації не рекомендується (див. розділи «Побічні реакції» та «Взаємодія з іншими лікарськими засобами та інші види взаємодій»).</w:t>
      </w:r>
    </w:p>
    <w:p w14:paraId="1CCB7AB5" w14:textId="77777777" w:rsidR="00FE289C" w:rsidRPr="00FE289C" w:rsidRDefault="00FE289C" w:rsidP="00FE289C">
      <w:pPr>
        <w:pStyle w:val="a9"/>
        <w:rPr>
          <w:i/>
          <w:kern w:val="2"/>
        </w:rPr>
      </w:pPr>
      <w:r w:rsidRPr="00FE289C">
        <w:rPr>
          <w:i/>
          <w:kern w:val="2"/>
        </w:rPr>
        <w:t>Супутнє застосування абатацепту.</w:t>
      </w:r>
    </w:p>
    <w:p w14:paraId="452F4047" w14:textId="77777777" w:rsidR="00FE289C" w:rsidRPr="00FE289C" w:rsidRDefault="00FE289C" w:rsidP="00FE289C">
      <w:pPr>
        <w:pStyle w:val="a9"/>
        <w:rPr>
          <w:kern w:val="2"/>
        </w:rPr>
      </w:pPr>
      <w:r w:rsidRPr="00FE289C">
        <w:rPr>
          <w:kern w:val="2"/>
        </w:rPr>
        <w:t>У клінічних дослідженнях супутнє застосування препарату Енбрел</w:t>
      </w:r>
      <w:r w:rsidRPr="00FE289C">
        <w:rPr>
          <w:kern w:val="2"/>
          <w:vertAlign w:val="superscript"/>
        </w:rPr>
        <w:t>®</w:t>
      </w:r>
      <w:r w:rsidRPr="00FE289C">
        <w:rPr>
          <w:kern w:val="2"/>
        </w:rPr>
        <w:t xml:space="preserve"> і абатацепту призвело до збільшення частоти виникнення серйозних побічних реакцій. Ця комбінація не показала збільшення клінічних переваг, тому таке застосування не рекомендується (див. розділ «Взаємодія з іншими лікарськими засобами та інші види взаємодій»).</w:t>
      </w:r>
    </w:p>
    <w:p w14:paraId="40C1CB6B" w14:textId="77777777" w:rsidR="00FE289C" w:rsidRPr="00FE289C" w:rsidRDefault="00FE289C" w:rsidP="00FE289C">
      <w:pPr>
        <w:pStyle w:val="a9"/>
        <w:rPr>
          <w:i/>
          <w:kern w:val="2"/>
        </w:rPr>
      </w:pPr>
      <w:r w:rsidRPr="00FE289C">
        <w:rPr>
          <w:i/>
          <w:kern w:val="2"/>
        </w:rPr>
        <w:t>Алергічні реакції</w:t>
      </w:r>
    </w:p>
    <w:p w14:paraId="65A5A9BA" w14:textId="77777777" w:rsidR="00FE289C" w:rsidRPr="00FE289C" w:rsidRDefault="00FE289C" w:rsidP="00FE289C">
      <w:pPr>
        <w:pStyle w:val="a9"/>
        <w:rPr>
          <w:kern w:val="2"/>
        </w:rPr>
      </w:pPr>
      <w:r w:rsidRPr="00FE289C">
        <w:rPr>
          <w:kern w:val="2"/>
        </w:rPr>
        <w:lastRenderedPageBreak/>
        <w:t xml:space="preserve">Ковпачок голки попередньо наповненого шприца/ручки містить латекс (суху натуральну гуму), який може спричинити реакції підвищеної чутливості у осіб з відомою або можливою чутливістю до латексу. </w:t>
      </w:r>
    </w:p>
    <w:p w14:paraId="1F6D26F4" w14:textId="77777777" w:rsidR="00FE289C" w:rsidRPr="00FE289C" w:rsidRDefault="00FE289C" w:rsidP="00FE289C">
      <w:pPr>
        <w:pStyle w:val="a9"/>
        <w:rPr>
          <w:i/>
          <w:kern w:val="2"/>
        </w:rPr>
      </w:pPr>
      <w:r w:rsidRPr="00FE289C">
        <w:rPr>
          <w:kern w:val="2"/>
        </w:rPr>
        <w:t>Введення препарату Енбрел</w:t>
      </w:r>
      <w:r w:rsidRPr="00FE289C">
        <w:rPr>
          <w:kern w:val="2"/>
          <w:vertAlign w:val="superscript"/>
        </w:rPr>
        <w:t>®</w:t>
      </w:r>
      <w:r w:rsidRPr="00FE289C">
        <w:rPr>
          <w:kern w:val="2"/>
        </w:rPr>
        <w:t xml:space="preserve"> часто супроводжувалося виникненням алергічних реакцій.</w:t>
      </w:r>
    </w:p>
    <w:p w14:paraId="397C2513" w14:textId="77777777" w:rsidR="00FE289C" w:rsidRPr="00FE289C" w:rsidRDefault="00FE289C" w:rsidP="00FE289C">
      <w:pPr>
        <w:pStyle w:val="a9"/>
        <w:rPr>
          <w:kern w:val="2"/>
        </w:rPr>
      </w:pPr>
      <w:r w:rsidRPr="00FE289C">
        <w:rPr>
          <w:kern w:val="2"/>
        </w:rPr>
        <w:t>Алергічні реакції включали ангіоневротичний набряк та кропив’янку; були випадки виникнення тяжких реакцій. При виникненні будь-яких тяжких алергічних або анафілактичних реакцій терапію препаратом Енбрел</w:t>
      </w:r>
      <w:r w:rsidRPr="00FE289C">
        <w:rPr>
          <w:kern w:val="2"/>
          <w:vertAlign w:val="superscript"/>
        </w:rPr>
        <w:t>®</w:t>
      </w:r>
      <w:r w:rsidRPr="00FE289C">
        <w:rPr>
          <w:kern w:val="2"/>
        </w:rPr>
        <w:t xml:space="preserve"> слід негайно припинити та розпочати відповідне лікування.</w:t>
      </w:r>
    </w:p>
    <w:p w14:paraId="6AA719D9" w14:textId="77777777" w:rsidR="00FE289C" w:rsidRPr="00FE289C" w:rsidRDefault="00FE289C" w:rsidP="00FE289C">
      <w:pPr>
        <w:pStyle w:val="a9"/>
        <w:rPr>
          <w:i/>
          <w:kern w:val="2"/>
        </w:rPr>
      </w:pPr>
      <w:r w:rsidRPr="00FE289C">
        <w:rPr>
          <w:i/>
          <w:kern w:val="2"/>
        </w:rPr>
        <w:t>Імуносупресія.</w:t>
      </w:r>
    </w:p>
    <w:p w14:paraId="279792C5" w14:textId="77777777" w:rsidR="00FE289C" w:rsidRPr="00FE289C" w:rsidRDefault="00FE289C" w:rsidP="00FE289C">
      <w:pPr>
        <w:pStyle w:val="a9"/>
        <w:rPr>
          <w:kern w:val="2"/>
        </w:rPr>
      </w:pPr>
      <w:r w:rsidRPr="00FE289C">
        <w:rPr>
          <w:kern w:val="2"/>
        </w:rPr>
        <w:t>Не виключено, що антагоністи ФНП, включаючи Енбрел</w:t>
      </w:r>
      <w:r w:rsidRPr="00FE289C">
        <w:rPr>
          <w:kern w:val="2"/>
          <w:vertAlign w:val="superscript"/>
        </w:rPr>
        <w:t>®</w:t>
      </w:r>
      <w:r w:rsidRPr="00FE289C">
        <w:rPr>
          <w:kern w:val="2"/>
        </w:rPr>
        <w:t>, впливають на захисні механізми організму людини проти інфекцій і злоякісних новоутворень, оскільки ФНП бере участь у процесах запалення і модулює клітинну імунну відповідь. У дослідженні за участю 49 дорослих пацієнтів із ревматоїдним артритом, які застосовували Енбрел</w:t>
      </w:r>
      <w:r w:rsidRPr="00FE289C">
        <w:rPr>
          <w:kern w:val="2"/>
          <w:vertAlign w:val="superscript"/>
        </w:rPr>
        <w:t>®</w:t>
      </w:r>
      <w:r w:rsidRPr="00FE289C">
        <w:rPr>
          <w:kern w:val="2"/>
        </w:rPr>
        <w:t>, не було виявлено випадків пригнічення реакцій гіперчутливості уповільненого типу, зниження рівня імуноглобуліну або зміни чисельності популяції клітин-ефекторів.</w:t>
      </w:r>
    </w:p>
    <w:p w14:paraId="7CE6497C" w14:textId="77777777" w:rsidR="00FE289C" w:rsidRPr="00FE289C" w:rsidRDefault="00FE289C" w:rsidP="00FE289C">
      <w:pPr>
        <w:pStyle w:val="a9"/>
        <w:rPr>
          <w:kern w:val="2"/>
        </w:rPr>
      </w:pPr>
      <w:r w:rsidRPr="00FE289C">
        <w:rPr>
          <w:kern w:val="2"/>
        </w:rPr>
        <w:t>У двох пацієнтів з ювенільним ідіопатичним артритом виникла вітряна віспа та ознаки і симптоми асептичного менінгіту, які минули без ускладнень. Пацієнтам, які були у контакті з хворими на вітряну віспу, слід тимчасово припинити терапію препаратом Енбрел</w:t>
      </w:r>
      <w:r w:rsidRPr="00FE289C">
        <w:rPr>
          <w:kern w:val="2"/>
          <w:vertAlign w:val="superscript"/>
        </w:rPr>
        <w:t>®</w:t>
      </w:r>
      <w:r w:rsidRPr="00FE289C">
        <w:rPr>
          <w:kern w:val="2"/>
        </w:rPr>
        <w:t xml:space="preserve"> та призначити профілактичне лікування імуноглобуліном проти вірусу </w:t>
      </w:r>
      <w:r w:rsidRPr="00FE289C">
        <w:rPr>
          <w:i/>
          <w:kern w:val="2"/>
        </w:rPr>
        <w:t>Varicella Zoster</w:t>
      </w:r>
      <w:r w:rsidRPr="00FE289C">
        <w:rPr>
          <w:kern w:val="2"/>
        </w:rPr>
        <w:t>.</w:t>
      </w:r>
    </w:p>
    <w:p w14:paraId="299E038C" w14:textId="77777777" w:rsidR="00FE289C" w:rsidRPr="00FE289C" w:rsidRDefault="00FE289C" w:rsidP="00FE289C">
      <w:pPr>
        <w:pStyle w:val="a9"/>
        <w:rPr>
          <w:kern w:val="2"/>
        </w:rPr>
      </w:pPr>
      <w:r w:rsidRPr="00FE289C">
        <w:rPr>
          <w:kern w:val="2"/>
        </w:rPr>
        <w:t>Ефективність та безпеку застосування препарату Енбрел</w:t>
      </w:r>
      <w:r w:rsidRPr="00FE289C">
        <w:rPr>
          <w:kern w:val="2"/>
          <w:vertAlign w:val="superscript"/>
        </w:rPr>
        <w:t>®</w:t>
      </w:r>
      <w:r w:rsidRPr="00FE289C">
        <w:rPr>
          <w:kern w:val="2"/>
        </w:rPr>
        <w:t xml:space="preserve"> пацієнтами з пригніченим імунітетом або хронічними інфекціями не оцінювали.</w:t>
      </w:r>
    </w:p>
    <w:p w14:paraId="2DFAE21C" w14:textId="77777777" w:rsidR="00FE289C" w:rsidRPr="00FE289C" w:rsidRDefault="00FE289C" w:rsidP="00FE289C">
      <w:pPr>
        <w:pStyle w:val="a9"/>
        <w:rPr>
          <w:i/>
          <w:kern w:val="2"/>
        </w:rPr>
      </w:pPr>
      <w:r w:rsidRPr="00FE289C">
        <w:rPr>
          <w:i/>
          <w:kern w:val="2"/>
        </w:rPr>
        <w:t>Злоякісні та лімфопроліферативні захворювання.</w:t>
      </w:r>
    </w:p>
    <w:p w14:paraId="0CC11442" w14:textId="77777777" w:rsidR="00FE289C" w:rsidRPr="00FE289C" w:rsidRDefault="00FE289C" w:rsidP="00FE289C">
      <w:pPr>
        <w:pStyle w:val="a9"/>
        <w:rPr>
          <w:kern w:val="2"/>
          <w:u w:val="single"/>
        </w:rPr>
      </w:pPr>
      <w:r w:rsidRPr="00FE289C">
        <w:rPr>
          <w:kern w:val="2"/>
          <w:u w:val="single"/>
        </w:rPr>
        <w:t>Солідні та онкогематологічні злоякісні новоутворення (за винятком раку шкіри).</w:t>
      </w:r>
    </w:p>
    <w:p w14:paraId="6632D169" w14:textId="77777777" w:rsidR="00FE289C" w:rsidRPr="00FE289C" w:rsidRDefault="00FE289C" w:rsidP="00FE289C">
      <w:pPr>
        <w:pStyle w:val="a9"/>
        <w:rPr>
          <w:kern w:val="2"/>
        </w:rPr>
      </w:pPr>
      <w:r w:rsidRPr="00FE289C">
        <w:rPr>
          <w:kern w:val="2"/>
        </w:rPr>
        <w:t>У постмаркетинговий період (див. розділ «Побічні реакції») повідомлялося про виникнення різних злоякісних новоутворень (включаючи карциному молочних залоз та легень, а також лімфому).</w:t>
      </w:r>
    </w:p>
    <w:p w14:paraId="46989424" w14:textId="77777777" w:rsidR="00FE289C" w:rsidRPr="00FE289C" w:rsidRDefault="00FE289C" w:rsidP="00FE289C">
      <w:pPr>
        <w:pStyle w:val="a9"/>
        <w:rPr>
          <w:kern w:val="2"/>
        </w:rPr>
      </w:pPr>
      <w:r w:rsidRPr="00FE289C">
        <w:rPr>
          <w:kern w:val="2"/>
        </w:rPr>
        <w:t xml:space="preserve">Під час контрольованих клінічних досліджень антагоністів ФНП у пацієнтів, які отримували інгібітори ФНП, спостерігалося більше випадків розвитку лімфоми, порівняно з контрольною групою пацієнтів. Однак ці випадки були поодинокими, а період спостереження за пацієнтами, які отримували плацебо, був коротшим, ніж за пацієнтами, які отримували лікування інгібіторами ФНП. У постмаркетинговий період повідомлялося про випадки розвитку лейкемії у пацієнтів, які отримували терапію антагоністами ФНП. У пацієнтів, які страждають на ревматоїдний артрит з довготривалим високоактивним запальним захворюванням, існує підвищений вихідний ризик виникнення лімфоми або лейкемії, що ускладнює оцінку ризику. </w:t>
      </w:r>
    </w:p>
    <w:p w14:paraId="6678119A" w14:textId="77777777" w:rsidR="00FE289C" w:rsidRPr="00FE289C" w:rsidRDefault="00FE289C" w:rsidP="00FE289C">
      <w:pPr>
        <w:pStyle w:val="a9"/>
        <w:rPr>
          <w:kern w:val="2"/>
        </w:rPr>
      </w:pPr>
      <w:r w:rsidRPr="00FE289C">
        <w:rPr>
          <w:kern w:val="2"/>
        </w:rPr>
        <w:t>З огляду на актуальну на сьогодні інформацію не можна виключати можливий ризик розвитку лімфом, лейкемії або інших онкогематологічних або солідних злоякісних новоутворень</w:t>
      </w:r>
      <w:r w:rsidRPr="00FE289C">
        <w:rPr>
          <w:b/>
          <w:kern w:val="2"/>
        </w:rPr>
        <w:t xml:space="preserve"> </w:t>
      </w:r>
      <w:r w:rsidRPr="00FE289C">
        <w:rPr>
          <w:kern w:val="2"/>
        </w:rPr>
        <w:t>у пацієнтів, які отримують антагоністи ФНП. Необхідно проявляти обережність, аналізуючи необхідність терапії антагоністами ФНП для пацієнтів зі злоякісними новоутвореннями в анамнезі або продовження терапії для пацієнтів, у яких виникли злоякісні новоутворення.</w:t>
      </w:r>
    </w:p>
    <w:p w14:paraId="274829B2" w14:textId="77777777" w:rsidR="00FE289C" w:rsidRPr="00FE289C" w:rsidRDefault="00FE289C" w:rsidP="00FE289C">
      <w:pPr>
        <w:pStyle w:val="a9"/>
        <w:rPr>
          <w:kern w:val="2"/>
          <w:lang w:val="ru-RU"/>
        </w:rPr>
      </w:pPr>
      <w:r w:rsidRPr="00FE289C">
        <w:rPr>
          <w:kern w:val="2"/>
        </w:rPr>
        <w:t xml:space="preserve">У постмаркетинговий період були отримані повідомлення про виникнення злоякісних новоутворень, іноді з летальним наслідком, у дітей, підлітків та дорослих пацієнтів молодого віку </w:t>
      </w:r>
      <w:r w:rsidRPr="00FE289C">
        <w:rPr>
          <w:kern w:val="2"/>
        </w:rPr>
        <w:lastRenderedPageBreak/>
        <w:t>(до 22 років), які отримували лікування антагоністами ФНП (лікування розпочато у віці до 18 років), включаючи Енбрел</w:t>
      </w:r>
      <w:r w:rsidRPr="00FE289C">
        <w:rPr>
          <w:kern w:val="2"/>
          <w:vertAlign w:val="superscript"/>
        </w:rPr>
        <w:t>®</w:t>
      </w:r>
      <w:r w:rsidRPr="00FE289C">
        <w:rPr>
          <w:kern w:val="2"/>
        </w:rPr>
        <w:t xml:space="preserve">. Приблизно у половині випадків повідомлялося про розвиток лімфоми. Інші отримані повідомлення стосувалися виникнення ряду різних злоякісних новоутворень та включали поодинокі випадки типових злоякісних новоутворень, пов’язаних з імуносупресією. Ризик розвитку злоякісних новоутворень у дітей та підлітків, що отримують лікування антагоністами ФНП, не можна виключити. </w:t>
      </w:r>
    </w:p>
    <w:p w14:paraId="167468F5" w14:textId="77777777" w:rsidR="00FE289C" w:rsidRPr="00FE289C" w:rsidRDefault="00FE289C" w:rsidP="00FE289C">
      <w:pPr>
        <w:pStyle w:val="a9"/>
        <w:rPr>
          <w:kern w:val="2"/>
          <w:u w:val="single"/>
        </w:rPr>
      </w:pPr>
      <w:r w:rsidRPr="00FE289C">
        <w:rPr>
          <w:kern w:val="2"/>
          <w:u w:val="single"/>
        </w:rPr>
        <w:t>Рак шкіри.</w:t>
      </w:r>
    </w:p>
    <w:p w14:paraId="0AEB49F0" w14:textId="77777777" w:rsidR="00FE289C" w:rsidRPr="00FE289C" w:rsidRDefault="00FE289C" w:rsidP="00FE289C">
      <w:pPr>
        <w:pStyle w:val="a9"/>
        <w:rPr>
          <w:kern w:val="2"/>
        </w:rPr>
      </w:pPr>
      <w:r w:rsidRPr="00FE289C">
        <w:rPr>
          <w:kern w:val="2"/>
        </w:rPr>
        <w:t>У пацієнтів, які отримували лікування антагоністами ФНП, включаючи Енбрел</w:t>
      </w:r>
      <w:r w:rsidRPr="00FE289C">
        <w:rPr>
          <w:kern w:val="2"/>
          <w:vertAlign w:val="superscript"/>
        </w:rPr>
        <w:t>®</w:t>
      </w:r>
      <w:r w:rsidRPr="00FE289C">
        <w:rPr>
          <w:kern w:val="2"/>
        </w:rPr>
        <w:t>, зареєстровано випадки розвитку меланоми та немеланомного раку шкіри. У постмаркетинговий період повідомлялося про розвиток карциноми клітин Меркеля у пацієнтів, яких лікували препаратом Енбрел</w:t>
      </w:r>
      <w:r w:rsidRPr="00FE289C">
        <w:rPr>
          <w:kern w:val="2"/>
          <w:vertAlign w:val="superscript"/>
        </w:rPr>
        <w:t>®</w:t>
      </w:r>
      <w:r w:rsidRPr="00FE289C">
        <w:rPr>
          <w:kern w:val="2"/>
        </w:rPr>
        <w:t xml:space="preserve"> (дуже рідко). Рекомендується періодично проводити обстеження шкіри всім пацієнтам, особливо з факторами ризику виникнення раку шкіри.</w:t>
      </w:r>
    </w:p>
    <w:p w14:paraId="7F8021DF" w14:textId="77777777" w:rsidR="00FE289C" w:rsidRPr="00FE289C" w:rsidRDefault="00FE289C" w:rsidP="00FE289C">
      <w:pPr>
        <w:pStyle w:val="a9"/>
        <w:rPr>
          <w:kern w:val="2"/>
        </w:rPr>
      </w:pPr>
      <w:r w:rsidRPr="00FE289C">
        <w:rPr>
          <w:kern w:val="2"/>
        </w:rPr>
        <w:t>Об’єднані результати контрольованих клінічних випробувань показали, що випадків розвитку немеланомного раку шкіри спостерігалося більше у пацієнтів, які отримували Енбрел</w:t>
      </w:r>
      <w:r w:rsidRPr="00FE289C">
        <w:rPr>
          <w:kern w:val="2"/>
          <w:vertAlign w:val="superscript"/>
        </w:rPr>
        <w:t>®</w:t>
      </w:r>
      <w:r w:rsidRPr="00FE289C">
        <w:rPr>
          <w:kern w:val="2"/>
        </w:rPr>
        <w:t xml:space="preserve">, особливо у хворих на псоріаз, порівняно із контрольною групою. </w:t>
      </w:r>
    </w:p>
    <w:p w14:paraId="71A07639" w14:textId="77777777" w:rsidR="00FE289C" w:rsidRPr="00FE289C" w:rsidRDefault="00FE289C" w:rsidP="00FE289C">
      <w:pPr>
        <w:pStyle w:val="a9"/>
        <w:rPr>
          <w:i/>
          <w:kern w:val="2"/>
        </w:rPr>
      </w:pPr>
      <w:r w:rsidRPr="00FE289C">
        <w:rPr>
          <w:i/>
          <w:kern w:val="2"/>
        </w:rPr>
        <w:t>Вакцинації.</w:t>
      </w:r>
    </w:p>
    <w:p w14:paraId="33E45F78" w14:textId="77777777" w:rsidR="00FE289C" w:rsidRPr="00FE289C" w:rsidRDefault="00FE289C" w:rsidP="00FE289C">
      <w:pPr>
        <w:pStyle w:val="a9"/>
        <w:rPr>
          <w:kern w:val="2"/>
        </w:rPr>
      </w:pPr>
      <w:r w:rsidRPr="00FE289C">
        <w:rPr>
          <w:kern w:val="2"/>
        </w:rPr>
        <w:t>Не слід застосовувати живі вакцини одночасно  з препаратом Енбрел</w:t>
      </w:r>
      <w:r w:rsidRPr="00FE289C">
        <w:rPr>
          <w:kern w:val="2"/>
          <w:vertAlign w:val="superscript"/>
        </w:rPr>
        <w:t>®</w:t>
      </w:r>
      <w:r w:rsidRPr="00FE289C">
        <w:rPr>
          <w:kern w:val="2"/>
        </w:rPr>
        <w:t>. Немає даних щодо вторинної передачі інфекції через живу вакцину пацієнтам, які отримують препарат Енбрел</w:t>
      </w:r>
      <w:r w:rsidRPr="00FE289C">
        <w:rPr>
          <w:kern w:val="2"/>
          <w:vertAlign w:val="superscript"/>
        </w:rPr>
        <w:t>®</w:t>
      </w:r>
      <w:r w:rsidRPr="00FE289C">
        <w:rPr>
          <w:kern w:val="2"/>
        </w:rPr>
        <w:t>. У подвійному сліпому плацебо-контрольованому рандомізованому клінічному дослідженні із залученням дорослих пацієнтів із псоріатичним артритом 184 пацієнти також отримали на 4-му тижні дослідження пневмококову полівалентну полісахаридну вакцину. Більшість пацієнтів, які отримували Енбрел</w:t>
      </w:r>
      <w:r w:rsidRPr="00FE289C">
        <w:rPr>
          <w:kern w:val="2"/>
          <w:vertAlign w:val="superscript"/>
        </w:rPr>
        <w:t>®</w:t>
      </w:r>
      <w:r w:rsidRPr="00FE289C">
        <w:rPr>
          <w:kern w:val="2"/>
        </w:rPr>
        <w:t>, змогла сформувати ефективну гуморальну імунну відповідь на введення пневмококової полісахаридної вакцини, але титри загалом були дещо нижчими, і лише у декількох пацієнтів титри антитіл були вдвічі вищі за ті, що спостерігалися у пацієнтів, які не отримували Енбрел</w:t>
      </w:r>
      <w:r w:rsidRPr="00FE289C">
        <w:rPr>
          <w:kern w:val="2"/>
          <w:vertAlign w:val="superscript"/>
        </w:rPr>
        <w:t>®</w:t>
      </w:r>
      <w:r w:rsidRPr="00FE289C">
        <w:rPr>
          <w:kern w:val="2"/>
        </w:rPr>
        <w:t>. Клінічне значення цього факту невідоме.</w:t>
      </w:r>
    </w:p>
    <w:p w14:paraId="5B2F54AF" w14:textId="77777777" w:rsidR="00FE289C" w:rsidRPr="00FE289C" w:rsidRDefault="00FE289C" w:rsidP="00FE289C">
      <w:pPr>
        <w:pStyle w:val="a9"/>
        <w:rPr>
          <w:i/>
          <w:kern w:val="2"/>
        </w:rPr>
      </w:pPr>
      <w:r w:rsidRPr="00FE289C">
        <w:rPr>
          <w:i/>
          <w:kern w:val="2"/>
        </w:rPr>
        <w:t>Утворення аутоімунних антитіл.</w:t>
      </w:r>
    </w:p>
    <w:p w14:paraId="41D0B276" w14:textId="77777777" w:rsidR="00FE289C" w:rsidRPr="00FE289C" w:rsidRDefault="00FE289C" w:rsidP="00FE289C">
      <w:pPr>
        <w:pStyle w:val="a9"/>
        <w:rPr>
          <w:kern w:val="2"/>
        </w:rPr>
      </w:pPr>
      <w:r w:rsidRPr="00FE289C">
        <w:rPr>
          <w:kern w:val="2"/>
        </w:rPr>
        <w:t>Лікування препаратом Енбрел</w:t>
      </w:r>
      <w:r w:rsidRPr="00FE289C">
        <w:rPr>
          <w:kern w:val="2"/>
          <w:vertAlign w:val="superscript"/>
        </w:rPr>
        <w:t>®</w:t>
      </w:r>
      <w:r w:rsidRPr="00FE289C">
        <w:rPr>
          <w:kern w:val="2"/>
        </w:rPr>
        <w:t xml:space="preserve"> може призвести до утворення аутоімунних антитіл (див. розділ «Побічні реакції»).</w:t>
      </w:r>
    </w:p>
    <w:p w14:paraId="7E5B407D" w14:textId="77777777" w:rsidR="00FE289C" w:rsidRPr="00FE289C" w:rsidRDefault="00FE289C" w:rsidP="00FE289C">
      <w:pPr>
        <w:pStyle w:val="a9"/>
        <w:rPr>
          <w:i/>
          <w:kern w:val="2"/>
        </w:rPr>
      </w:pPr>
      <w:r w:rsidRPr="00FE289C">
        <w:rPr>
          <w:i/>
          <w:kern w:val="2"/>
        </w:rPr>
        <w:t>Гематологічні реакції.</w:t>
      </w:r>
    </w:p>
    <w:p w14:paraId="0DC603A2" w14:textId="77777777" w:rsidR="00FE289C" w:rsidRPr="00FE289C" w:rsidRDefault="00FE289C" w:rsidP="00FE289C">
      <w:pPr>
        <w:pStyle w:val="a9"/>
        <w:rPr>
          <w:kern w:val="2"/>
          <w:lang w:val="ru-RU"/>
        </w:rPr>
      </w:pPr>
      <w:r w:rsidRPr="00FE289C">
        <w:rPr>
          <w:kern w:val="2"/>
        </w:rPr>
        <w:t>У пацієнтів, які отримували Енбрел</w:t>
      </w:r>
      <w:r w:rsidRPr="00FE289C">
        <w:rPr>
          <w:kern w:val="2"/>
          <w:vertAlign w:val="superscript"/>
        </w:rPr>
        <w:t>®</w:t>
      </w:r>
      <w:r w:rsidRPr="00FE289C">
        <w:rPr>
          <w:kern w:val="2"/>
        </w:rPr>
        <w:t>, були зафіксовані випадки панцитопенії (рідко) та апластичної анемії (дуже рідко), у тому числі летальні. Слід із обережністю призначати препарат Енбрел</w:t>
      </w:r>
      <w:r w:rsidRPr="00FE289C">
        <w:rPr>
          <w:kern w:val="2"/>
          <w:vertAlign w:val="superscript"/>
        </w:rPr>
        <w:t>®</w:t>
      </w:r>
      <w:r w:rsidRPr="00FE289C">
        <w:rPr>
          <w:kern w:val="2"/>
        </w:rPr>
        <w:t xml:space="preserve"> пацієнтам, що мають в анамнезі гематологічні порушення (дискразію крові). Всіх пацієнтів та осіб, які доглядають за хворими, слід проінформувати про необхідність негайного звернення по медичну допомогу, якщо під час лікування препаратом Енбрел</w:t>
      </w:r>
      <w:r w:rsidRPr="00FE289C">
        <w:rPr>
          <w:kern w:val="2"/>
          <w:vertAlign w:val="superscript"/>
        </w:rPr>
        <w:t>®</w:t>
      </w:r>
      <w:r w:rsidRPr="00FE289C">
        <w:rPr>
          <w:kern w:val="2"/>
        </w:rPr>
        <w:t xml:space="preserve"> у пацієнта виникають ознаки та симптоми, характерні для патологічних змін крові або інфекцій (наприклад стійке підвищення температури, біль у горлі, утворення синців, кровотеча, блідість). Необхідно негайно провести обстеження таких пацієнтів, включаючи повний аналіз крові; у разі підтвердження гематологічного порушення лікування препаратом слід припинити.</w:t>
      </w:r>
    </w:p>
    <w:p w14:paraId="008619E0" w14:textId="77777777" w:rsidR="00FE289C" w:rsidRPr="00FE289C" w:rsidRDefault="00FE289C" w:rsidP="00FE289C">
      <w:pPr>
        <w:pStyle w:val="a9"/>
        <w:rPr>
          <w:b/>
          <w:kern w:val="2"/>
        </w:rPr>
      </w:pPr>
      <w:r w:rsidRPr="00FE289C">
        <w:rPr>
          <w:i/>
          <w:kern w:val="2"/>
        </w:rPr>
        <w:t xml:space="preserve">Неврологічні розлади. </w:t>
      </w:r>
    </w:p>
    <w:p w14:paraId="339B4672" w14:textId="77777777" w:rsidR="00FE289C" w:rsidRPr="00FE289C" w:rsidRDefault="00FE289C" w:rsidP="00FE289C">
      <w:pPr>
        <w:pStyle w:val="a9"/>
        <w:rPr>
          <w:kern w:val="2"/>
        </w:rPr>
      </w:pPr>
      <w:r w:rsidRPr="00FE289C">
        <w:rPr>
          <w:kern w:val="2"/>
        </w:rPr>
        <w:t>У дорослих пацієнтів, які отримували Енбрел</w:t>
      </w:r>
      <w:r w:rsidRPr="00FE289C">
        <w:rPr>
          <w:kern w:val="2"/>
          <w:vertAlign w:val="superscript"/>
        </w:rPr>
        <w:t>®</w:t>
      </w:r>
      <w:r w:rsidRPr="00FE289C">
        <w:rPr>
          <w:kern w:val="2"/>
        </w:rPr>
        <w:t xml:space="preserve">, відмічалися випадки виникнення демієлінізуючих захворювань ЦНС (див. розділ «Побічні реакції»). </w:t>
      </w:r>
      <w:r w:rsidRPr="00FE289C">
        <w:rPr>
          <w:kern w:val="2"/>
        </w:rPr>
        <w:lastRenderedPageBreak/>
        <w:t>Також дуже рідко повідомлялося про периферичні демієлінізуючі полінейропатії (включаючи синдром Гійєна–Барре, хронічну запальну демієлінізуючу полінейропатію, демієлінізуючу полінейропатію та мультифокальну моторну нейропатію). Хоча клінічні дослідження із застосування препарату Енбрел</w:t>
      </w:r>
      <w:r w:rsidRPr="00FE289C">
        <w:rPr>
          <w:kern w:val="2"/>
          <w:vertAlign w:val="superscript"/>
        </w:rPr>
        <w:t>®</w:t>
      </w:r>
      <w:r w:rsidRPr="00FE289C">
        <w:rPr>
          <w:kern w:val="2"/>
        </w:rPr>
        <w:t xml:space="preserve"> хворим на розсіяний склероз не проводилися, клінічні випробування інших інгібіторів ФНП показали підвищення активності захворювання (розсіяного склерозу). Перед призначенням препарату Енбрел</w:t>
      </w:r>
      <w:r w:rsidRPr="00FE289C">
        <w:rPr>
          <w:kern w:val="2"/>
          <w:vertAlign w:val="superscript"/>
        </w:rPr>
        <w:t>®</w:t>
      </w:r>
      <w:r w:rsidRPr="00FE289C">
        <w:rPr>
          <w:kern w:val="2"/>
        </w:rPr>
        <w:t xml:space="preserve"> пацієнтам з раніше діагностованим або із нещодавно діагностованим демієлінізуючим захворюванням, а також пацієнтам, які входять до групи підвищеного ризику розвитку такого захворювання, рекомендується ретельно оцінити співвідношення користь/ризик, включаючи неврологічний статус.</w:t>
      </w:r>
    </w:p>
    <w:p w14:paraId="66EA535D" w14:textId="77777777" w:rsidR="00FE289C" w:rsidRPr="00FE289C" w:rsidRDefault="00FE289C" w:rsidP="00FE289C">
      <w:pPr>
        <w:pStyle w:val="a9"/>
        <w:rPr>
          <w:i/>
          <w:kern w:val="2"/>
        </w:rPr>
      </w:pPr>
      <w:r w:rsidRPr="00FE289C">
        <w:rPr>
          <w:i/>
          <w:kern w:val="2"/>
        </w:rPr>
        <w:t>Комбінована терапія.</w:t>
      </w:r>
    </w:p>
    <w:p w14:paraId="468CF4DC" w14:textId="77777777" w:rsidR="00FE289C" w:rsidRPr="00FE289C" w:rsidRDefault="00FE289C" w:rsidP="00FE289C">
      <w:pPr>
        <w:pStyle w:val="a9"/>
        <w:rPr>
          <w:kern w:val="2"/>
        </w:rPr>
      </w:pPr>
      <w:r w:rsidRPr="00FE289C">
        <w:rPr>
          <w:kern w:val="2"/>
        </w:rPr>
        <w:t>У контрольованому клінічному дослідженні застосування комбінації препарату Енбрел</w:t>
      </w:r>
      <w:r w:rsidRPr="00FE289C">
        <w:rPr>
          <w:kern w:val="2"/>
          <w:vertAlign w:val="superscript"/>
        </w:rPr>
        <w:t>®</w:t>
      </w:r>
      <w:r w:rsidRPr="00FE289C">
        <w:rPr>
          <w:kern w:val="2"/>
        </w:rPr>
        <w:t xml:space="preserve"> і метотрексату тривалістю два роки, проведеному із залученням пацієнтів з ревматоїдним артритом, не було отримано неочікуваних результатів щодо безпеки. Профіль безпеки препарату Енбрел</w:t>
      </w:r>
      <w:r w:rsidRPr="00FE289C">
        <w:rPr>
          <w:kern w:val="2"/>
          <w:vertAlign w:val="superscript"/>
        </w:rPr>
        <w:t>®</w:t>
      </w:r>
      <w:r w:rsidRPr="00FE289C">
        <w:rPr>
          <w:kern w:val="2"/>
        </w:rPr>
        <w:t xml:space="preserve"> (при застосуванні у комбінації з метотрексатом) був подібним до профілів, що спостерігалися при дослідженнях цих препаратів окремо. Довгострокові дослідження безпеки застосування цієї комбінації все ще тривають. Безпека довготривалого застосування препарату Енбрел</w:t>
      </w:r>
      <w:r w:rsidRPr="00FE289C">
        <w:rPr>
          <w:kern w:val="2"/>
          <w:vertAlign w:val="superscript"/>
        </w:rPr>
        <w:t>®</w:t>
      </w:r>
      <w:r w:rsidRPr="00FE289C">
        <w:rPr>
          <w:kern w:val="2"/>
        </w:rPr>
        <w:t xml:space="preserve"> в комбінації з іншими базовими антиревматичними засобами не встановлена. </w:t>
      </w:r>
    </w:p>
    <w:p w14:paraId="289A6487" w14:textId="77777777" w:rsidR="00FE289C" w:rsidRPr="00FE289C" w:rsidRDefault="00FE289C" w:rsidP="00FE289C">
      <w:pPr>
        <w:pStyle w:val="a9"/>
        <w:rPr>
          <w:kern w:val="2"/>
        </w:rPr>
      </w:pPr>
      <w:r w:rsidRPr="00FE289C">
        <w:rPr>
          <w:kern w:val="2"/>
        </w:rPr>
        <w:t>Застосування етанерцепту в комбінації з іншими системними методами лікування псоріазу або фототерапією не досліджувалося.</w:t>
      </w:r>
    </w:p>
    <w:p w14:paraId="460F6942" w14:textId="77777777" w:rsidR="00FE289C" w:rsidRPr="00FE289C" w:rsidRDefault="00FE289C" w:rsidP="00FE289C">
      <w:pPr>
        <w:pStyle w:val="a9"/>
        <w:rPr>
          <w:i/>
          <w:kern w:val="2"/>
        </w:rPr>
      </w:pPr>
      <w:r w:rsidRPr="00FE289C">
        <w:rPr>
          <w:i/>
          <w:kern w:val="2"/>
        </w:rPr>
        <w:t>Ниркова та печінкова недостатність.</w:t>
      </w:r>
    </w:p>
    <w:p w14:paraId="5845D720" w14:textId="77777777" w:rsidR="00FE289C" w:rsidRPr="00FE289C" w:rsidRDefault="00FE289C" w:rsidP="00FE289C">
      <w:pPr>
        <w:pStyle w:val="a9"/>
        <w:rPr>
          <w:kern w:val="2"/>
        </w:rPr>
      </w:pPr>
      <w:r w:rsidRPr="00FE289C">
        <w:rPr>
          <w:kern w:val="2"/>
        </w:rPr>
        <w:t>Фармакокінетичні дані свідчать про те, що необхідності корегувати дозу для пацієнтів з порушенням функції нирок або печінки немає; досвід клінічного застосування препарату таким пацієнтам обмежений.</w:t>
      </w:r>
    </w:p>
    <w:p w14:paraId="0A5AD1C7" w14:textId="77777777" w:rsidR="00FE289C" w:rsidRPr="00FE289C" w:rsidRDefault="00FE289C" w:rsidP="00FE289C">
      <w:pPr>
        <w:pStyle w:val="a9"/>
        <w:rPr>
          <w:i/>
          <w:kern w:val="2"/>
        </w:rPr>
      </w:pPr>
      <w:r w:rsidRPr="00FE289C">
        <w:rPr>
          <w:i/>
          <w:kern w:val="2"/>
        </w:rPr>
        <w:t>Застійна серцева недостатність.</w:t>
      </w:r>
    </w:p>
    <w:p w14:paraId="592E6907" w14:textId="77777777" w:rsidR="00FE289C" w:rsidRPr="00FE289C" w:rsidRDefault="00FE289C" w:rsidP="00FE289C">
      <w:pPr>
        <w:pStyle w:val="a9"/>
        <w:rPr>
          <w:kern w:val="2"/>
        </w:rPr>
      </w:pPr>
      <w:r w:rsidRPr="00FE289C">
        <w:rPr>
          <w:kern w:val="2"/>
        </w:rPr>
        <w:t>Слід обережно призначати препарат Енбрел</w:t>
      </w:r>
      <w:r w:rsidRPr="00FE289C">
        <w:rPr>
          <w:kern w:val="2"/>
          <w:vertAlign w:val="superscript"/>
        </w:rPr>
        <w:t>®</w:t>
      </w:r>
      <w:r w:rsidRPr="00FE289C">
        <w:rPr>
          <w:kern w:val="2"/>
        </w:rPr>
        <w:t xml:space="preserve"> пацієнтам із застійною серцевою недостатністю (ЗСН). У постмаркетинговий період надходили повідомлення про погіршення перебігу ЗСН у пацієнтів, які отримували Енбрел</w:t>
      </w:r>
      <w:r w:rsidRPr="00FE289C">
        <w:rPr>
          <w:kern w:val="2"/>
          <w:vertAlign w:val="superscript"/>
        </w:rPr>
        <w:t>®</w:t>
      </w:r>
      <w:r w:rsidRPr="00FE289C">
        <w:rPr>
          <w:kern w:val="2"/>
        </w:rPr>
        <w:t>, при цьому провокуючі фактори не завжди були виявлені. Крім того, повідомлялося про поодинокі випадки (&lt; 0,1%) вперше виявленої ЗСН, включаючи ЗСН у пацієнтів без відомого фонового серцево-судинного захворювання. Деякі з цих пацієнтів були у віці до 50 років. Два великих клінічних дослідження, що оцінювали застосування препарату Енбрел</w:t>
      </w:r>
      <w:r w:rsidRPr="00FE289C">
        <w:rPr>
          <w:kern w:val="2"/>
          <w:vertAlign w:val="superscript"/>
        </w:rPr>
        <w:t>®</w:t>
      </w:r>
      <w:r w:rsidRPr="00FE289C">
        <w:rPr>
          <w:kern w:val="2"/>
        </w:rPr>
        <w:t xml:space="preserve"> для лікування ЗСН, були достроково припинені через недостатню ефективність. Дані, отримані в одному з цих випробувань, хоча і не є переконливими, дають змогу припустити можливість погіршення перебігу ЗСН у пацієнтів, яким призначали лікування препаратом Енбрел</w:t>
      </w:r>
      <w:r w:rsidRPr="00FE289C">
        <w:rPr>
          <w:kern w:val="2"/>
          <w:vertAlign w:val="superscript"/>
        </w:rPr>
        <w:t>®</w:t>
      </w:r>
      <w:r w:rsidRPr="00FE289C">
        <w:rPr>
          <w:kern w:val="2"/>
        </w:rPr>
        <w:t>.</w:t>
      </w:r>
    </w:p>
    <w:p w14:paraId="6480120C" w14:textId="77777777" w:rsidR="00FE289C" w:rsidRPr="00FE289C" w:rsidRDefault="00FE289C" w:rsidP="00FE289C">
      <w:pPr>
        <w:pStyle w:val="a9"/>
        <w:rPr>
          <w:i/>
          <w:kern w:val="2"/>
        </w:rPr>
      </w:pPr>
      <w:r w:rsidRPr="00FE289C">
        <w:rPr>
          <w:i/>
          <w:kern w:val="2"/>
        </w:rPr>
        <w:t>Алкогольний гепатит.</w:t>
      </w:r>
    </w:p>
    <w:p w14:paraId="204154C4" w14:textId="77777777" w:rsidR="00FE289C" w:rsidRPr="00FE289C" w:rsidRDefault="00FE289C" w:rsidP="00FE289C">
      <w:pPr>
        <w:pStyle w:val="a9"/>
        <w:rPr>
          <w:kern w:val="2"/>
        </w:rPr>
      </w:pPr>
      <w:r w:rsidRPr="00FE289C">
        <w:rPr>
          <w:kern w:val="2"/>
        </w:rPr>
        <w:t>У II фазі рандомізованого плацебо-контрольованого дослідження із залученням 48 госпіталізованих пацієнтів, які отримували Енбрел</w:t>
      </w:r>
      <w:r w:rsidRPr="00FE289C">
        <w:rPr>
          <w:kern w:val="2"/>
          <w:vertAlign w:val="superscript"/>
        </w:rPr>
        <w:t>®</w:t>
      </w:r>
      <w:r w:rsidRPr="00FE289C">
        <w:rPr>
          <w:kern w:val="2"/>
        </w:rPr>
        <w:t xml:space="preserve"> або плацебо для лікування  помірного та тяжкого алкогольного гепатиту, Енбрел</w:t>
      </w:r>
      <w:r w:rsidRPr="00FE289C">
        <w:rPr>
          <w:kern w:val="2"/>
          <w:vertAlign w:val="superscript"/>
        </w:rPr>
        <w:t>®</w:t>
      </w:r>
      <w:r w:rsidRPr="00FE289C">
        <w:rPr>
          <w:kern w:val="2"/>
        </w:rPr>
        <w:t xml:space="preserve"> виявився неефективним, і через 6 місяців смертність серед пацієнтів, які отримували Енбрел</w:t>
      </w:r>
      <w:r w:rsidRPr="00FE289C">
        <w:rPr>
          <w:kern w:val="2"/>
          <w:vertAlign w:val="superscript"/>
        </w:rPr>
        <w:t>®</w:t>
      </w:r>
      <w:r w:rsidRPr="00FE289C">
        <w:rPr>
          <w:kern w:val="2"/>
        </w:rPr>
        <w:t>, була значно вищою. Таким чином, Енбрел</w:t>
      </w:r>
      <w:r w:rsidRPr="00FE289C">
        <w:rPr>
          <w:kern w:val="2"/>
          <w:vertAlign w:val="superscript"/>
        </w:rPr>
        <w:t>®</w:t>
      </w:r>
      <w:r w:rsidRPr="00FE289C">
        <w:rPr>
          <w:kern w:val="2"/>
        </w:rPr>
        <w:t xml:space="preserve"> не слід застосовувати пацієнтам як засіб для лікування алкогольного гепатиту. Слід із обережністю застосовувати Енбрел</w:t>
      </w:r>
      <w:r w:rsidRPr="00FE289C">
        <w:rPr>
          <w:kern w:val="2"/>
          <w:vertAlign w:val="superscript"/>
        </w:rPr>
        <w:t>®</w:t>
      </w:r>
      <w:r w:rsidRPr="00FE289C">
        <w:rPr>
          <w:kern w:val="2"/>
        </w:rPr>
        <w:t xml:space="preserve"> пацієнтам із помірним та тяжким алкогольним гепатитом.</w:t>
      </w:r>
    </w:p>
    <w:p w14:paraId="055DA718" w14:textId="77777777" w:rsidR="00FE289C" w:rsidRPr="00FE289C" w:rsidRDefault="00FE289C" w:rsidP="00FE289C">
      <w:pPr>
        <w:pStyle w:val="a9"/>
        <w:rPr>
          <w:i/>
          <w:kern w:val="2"/>
        </w:rPr>
      </w:pPr>
      <w:r w:rsidRPr="00FE289C">
        <w:rPr>
          <w:i/>
          <w:kern w:val="2"/>
        </w:rPr>
        <w:lastRenderedPageBreak/>
        <w:t xml:space="preserve">Гранулематоз Вегенера. </w:t>
      </w:r>
    </w:p>
    <w:p w14:paraId="74DFE68F" w14:textId="77777777" w:rsidR="00FE289C" w:rsidRPr="00FE289C" w:rsidRDefault="00FE289C" w:rsidP="00FE289C">
      <w:pPr>
        <w:pStyle w:val="a9"/>
        <w:rPr>
          <w:kern w:val="2"/>
        </w:rPr>
      </w:pPr>
      <w:r w:rsidRPr="00FE289C">
        <w:rPr>
          <w:kern w:val="2"/>
        </w:rPr>
        <w:t>Плацебо-контрольоване дослідження, в якому 89 дорослих пацієнтів отримували Енбрел</w:t>
      </w:r>
      <w:r w:rsidRPr="00FE289C">
        <w:rPr>
          <w:kern w:val="2"/>
          <w:vertAlign w:val="superscript"/>
        </w:rPr>
        <w:t>®</w:t>
      </w:r>
      <w:r w:rsidRPr="00FE289C">
        <w:rPr>
          <w:kern w:val="2"/>
        </w:rPr>
        <w:t xml:space="preserve"> додатково до стандартної терапії (у тому числі циклофосфамідом або метотрексатом і глюкокортикоїдами) впродовж у середньому 25 місяців, не продемонструвало ефективності препарату Енбрел</w:t>
      </w:r>
      <w:r w:rsidRPr="00FE289C">
        <w:rPr>
          <w:kern w:val="2"/>
          <w:vertAlign w:val="superscript"/>
        </w:rPr>
        <w:t>®</w:t>
      </w:r>
      <w:r w:rsidRPr="00FE289C">
        <w:rPr>
          <w:kern w:val="2"/>
        </w:rPr>
        <w:t xml:space="preserve"> при лікуванні гранулематозу Вегенера. Частота розвитку злоякісних пухлин різного типу нешкірної локалізації була значно вищою у пацієнтів, які отримували Енбрел</w:t>
      </w:r>
      <w:r w:rsidRPr="00FE289C">
        <w:rPr>
          <w:kern w:val="2"/>
          <w:vertAlign w:val="superscript"/>
        </w:rPr>
        <w:t>®</w:t>
      </w:r>
      <w:r w:rsidRPr="00FE289C">
        <w:rPr>
          <w:kern w:val="2"/>
        </w:rPr>
        <w:t>, порівняно із пацієнтами контрольної групи. Тому Енбрел</w:t>
      </w:r>
      <w:r w:rsidRPr="00FE289C">
        <w:rPr>
          <w:kern w:val="2"/>
          <w:vertAlign w:val="superscript"/>
        </w:rPr>
        <w:t>®</w:t>
      </w:r>
      <w:r w:rsidRPr="00FE289C">
        <w:rPr>
          <w:kern w:val="2"/>
        </w:rPr>
        <w:t xml:space="preserve"> не рекомендується застосовувати для лікування гранулематозу Вегенера.</w:t>
      </w:r>
    </w:p>
    <w:p w14:paraId="4C9CE78C" w14:textId="77777777" w:rsidR="00FE289C" w:rsidRPr="00FE289C" w:rsidRDefault="00FE289C" w:rsidP="00FE289C">
      <w:pPr>
        <w:pStyle w:val="a9"/>
        <w:rPr>
          <w:i/>
          <w:kern w:val="2"/>
        </w:rPr>
      </w:pPr>
      <w:r w:rsidRPr="00FE289C">
        <w:rPr>
          <w:i/>
          <w:kern w:val="2"/>
        </w:rPr>
        <w:t>Гіпоглікемія у пацієнтів, які отримують лікування протидіабетичними препаратами</w:t>
      </w:r>
    </w:p>
    <w:p w14:paraId="3A6BB968" w14:textId="77777777" w:rsidR="00FE289C" w:rsidRPr="00FE289C" w:rsidRDefault="00FE289C" w:rsidP="00FE289C">
      <w:pPr>
        <w:pStyle w:val="a9"/>
        <w:rPr>
          <w:kern w:val="2"/>
        </w:rPr>
      </w:pPr>
      <w:r w:rsidRPr="00FE289C">
        <w:rPr>
          <w:kern w:val="2"/>
        </w:rPr>
        <w:t>Повідомлялось про випадки розвитку гіпоглікемії після початку застосування препарату Енбрел</w:t>
      </w:r>
      <w:r w:rsidRPr="00FE289C">
        <w:rPr>
          <w:kern w:val="2"/>
          <w:vertAlign w:val="superscript"/>
        </w:rPr>
        <w:t>®</w:t>
      </w:r>
      <w:r w:rsidRPr="00FE289C">
        <w:rPr>
          <w:kern w:val="2"/>
        </w:rPr>
        <w:t xml:space="preserve"> пацієнтам, які отримували препарати для лікування діабету, що викликало необхідність зменшення дози протидіабетичних препаратів деяким з цих пацієнтів.</w:t>
      </w:r>
    </w:p>
    <w:p w14:paraId="51B49290" w14:textId="77777777" w:rsidR="00FE289C" w:rsidRPr="00FE289C" w:rsidRDefault="00FE289C" w:rsidP="00FE289C">
      <w:pPr>
        <w:pStyle w:val="a9"/>
        <w:rPr>
          <w:kern w:val="2"/>
          <w:u w:val="single"/>
        </w:rPr>
      </w:pPr>
      <w:r w:rsidRPr="00FE289C">
        <w:rPr>
          <w:kern w:val="2"/>
          <w:u w:val="single"/>
        </w:rPr>
        <w:t>Особливі популяції</w:t>
      </w:r>
    </w:p>
    <w:p w14:paraId="1767789B" w14:textId="77777777" w:rsidR="00FE289C" w:rsidRPr="00FE289C" w:rsidRDefault="00FE289C" w:rsidP="00FE289C">
      <w:pPr>
        <w:pStyle w:val="a9"/>
        <w:rPr>
          <w:i/>
          <w:kern w:val="2"/>
        </w:rPr>
      </w:pPr>
      <w:r w:rsidRPr="00FE289C">
        <w:rPr>
          <w:i/>
          <w:kern w:val="2"/>
        </w:rPr>
        <w:t xml:space="preserve">Пацієнти літнього віку </w:t>
      </w:r>
    </w:p>
    <w:p w14:paraId="778A8110" w14:textId="77777777" w:rsidR="00FE289C" w:rsidRPr="00FE289C" w:rsidRDefault="00FE289C" w:rsidP="00FE289C">
      <w:pPr>
        <w:pStyle w:val="a9"/>
        <w:rPr>
          <w:kern w:val="2"/>
        </w:rPr>
      </w:pPr>
      <w:r w:rsidRPr="00FE289C">
        <w:rPr>
          <w:kern w:val="2"/>
        </w:rPr>
        <w:t>У третій фазі досліджень із залученням хворих на ревматоїдний артрит, псоріатичний артрит та анкілозивний спондиліт загалом не спостерігалось різниці у розвитку побічних реакцій, тяжких побічних реакцій та тяжких інфекцій у пацієнтів віком від 65 років, які отримували препарат Енбрел</w:t>
      </w:r>
      <w:r w:rsidRPr="00FE289C">
        <w:rPr>
          <w:kern w:val="2"/>
          <w:vertAlign w:val="superscript"/>
        </w:rPr>
        <w:t>®</w:t>
      </w:r>
      <w:r w:rsidRPr="00FE289C">
        <w:rPr>
          <w:kern w:val="2"/>
        </w:rPr>
        <w:t>, і були подібними до тих, які спостерігались у пацієнтів молодшого віку. Однак необхідно бути обережним при лікуванні пацієнтів літнього віку</w:t>
      </w:r>
      <w:r w:rsidRPr="00FE289C">
        <w:rPr>
          <w:kern w:val="2"/>
          <w:lang w:val="ru-RU"/>
        </w:rPr>
        <w:t>,</w:t>
      </w:r>
      <w:r w:rsidRPr="00FE289C">
        <w:rPr>
          <w:kern w:val="2"/>
        </w:rPr>
        <w:t xml:space="preserve"> особливу увагу слід приділяти контролю за виникненням інфекцій.</w:t>
      </w:r>
    </w:p>
    <w:p w14:paraId="178629D7" w14:textId="77777777" w:rsidR="00FE289C" w:rsidRPr="00FE289C" w:rsidRDefault="00FE289C" w:rsidP="00FE289C">
      <w:pPr>
        <w:pStyle w:val="a9"/>
        <w:rPr>
          <w:i/>
          <w:kern w:val="2"/>
        </w:rPr>
      </w:pPr>
      <w:r w:rsidRPr="00FE289C">
        <w:rPr>
          <w:i/>
          <w:kern w:val="2"/>
        </w:rPr>
        <w:t>Діти.</w:t>
      </w:r>
    </w:p>
    <w:p w14:paraId="10FFEDA8" w14:textId="77777777" w:rsidR="00FE289C" w:rsidRPr="00FE289C" w:rsidRDefault="00FE289C" w:rsidP="00FE289C">
      <w:pPr>
        <w:pStyle w:val="a9"/>
        <w:rPr>
          <w:kern w:val="2"/>
        </w:rPr>
      </w:pPr>
      <w:r w:rsidRPr="00FE289C">
        <w:rPr>
          <w:kern w:val="2"/>
        </w:rPr>
        <w:t>Вакцинації.</w:t>
      </w:r>
    </w:p>
    <w:p w14:paraId="454D039F" w14:textId="77777777" w:rsidR="00FE289C" w:rsidRPr="00FE289C" w:rsidRDefault="00FE289C" w:rsidP="00FE289C">
      <w:pPr>
        <w:pStyle w:val="a9"/>
        <w:rPr>
          <w:kern w:val="2"/>
        </w:rPr>
      </w:pPr>
      <w:r w:rsidRPr="00FE289C">
        <w:rPr>
          <w:kern w:val="2"/>
        </w:rPr>
        <w:t>Рекомендується, щоб, за можливості, до початку лікування препаратом Енбрел</w:t>
      </w:r>
      <w:r w:rsidRPr="00FE289C">
        <w:rPr>
          <w:kern w:val="2"/>
          <w:vertAlign w:val="superscript"/>
        </w:rPr>
        <w:t>®</w:t>
      </w:r>
      <w:r w:rsidRPr="00FE289C">
        <w:rPr>
          <w:kern w:val="2"/>
        </w:rPr>
        <w:t xml:space="preserve"> пацієнти дитячого віку отримали всі щеплення відповідно до чинного національного календаря щеплень (див. вище підрозділ «Вакцинації»).</w:t>
      </w:r>
    </w:p>
    <w:p w14:paraId="3690D071" w14:textId="77777777" w:rsidR="00FE289C" w:rsidRPr="00FE289C" w:rsidRDefault="00FE289C" w:rsidP="00FE289C">
      <w:pPr>
        <w:pStyle w:val="a9"/>
        <w:rPr>
          <w:i/>
          <w:kern w:val="2"/>
        </w:rPr>
      </w:pPr>
      <w:r w:rsidRPr="00FE289C">
        <w:rPr>
          <w:i/>
          <w:kern w:val="2"/>
        </w:rPr>
        <w:t>Запальні захворювання травного тракту в пацієнтів з ювенільним ідіопатичним  артритом.</w:t>
      </w:r>
    </w:p>
    <w:p w14:paraId="6C99452E" w14:textId="77777777" w:rsidR="00FE289C" w:rsidRPr="00FE289C" w:rsidRDefault="00FE289C" w:rsidP="00FE289C">
      <w:pPr>
        <w:pStyle w:val="a9"/>
        <w:rPr>
          <w:kern w:val="2"/>
        </w:rPr>
      </w:pPr>
      <w:r w:rsidRPr="00FE289C">
        <w:rPr>
          <w:kern w:val="2"/>
        </w:rPr>
        <w:t>Повідомлялось про виникнення запальних захворювань травного тракту та увеїту у пацієнтів з ювенільним ідіопатичним  артритом на фоні застосування препарату Енбрел</w:t>
      </w:r>
      <w:r w:rsidRPr="00FE289C">
        <w:rPr>
          <w:kern w:val="2"/>
          <w:vertAlign w:val="superscript"/>
        </w:rPr>
        <w:t>®</w:t>
      </w:r>
      <w:r w:rsidRPr="00FE289C">
        <w:rPr>
          <w:kern w:val="2"/>
        </w:rPr>
        <w:t xml:space="preserve"> (див. розділ «Побічні реакції»). </w:t>
      </w:r>
    </w:p>
    <w:p w14:paraId="4EFFF683" w14:textId="77777777" w:rsidR="00FE289C" w:rsidRPr="00FE289C" w:rsidRDefault="00FE289C" w:rsidP="00FE289C">
      <w:pPr>
        <w:pStyle w:val="a9"/>
        <w:rPr>
          <w:i/>
          <w:kern w:val="2"/>
        </w:rPr>
      </w:pPr>
    </w:p>
    <w:p w14:paraId="4CA0E2B8" w14:textId="77777777" w:rsidR="00FE289C" w:rsidRPr="00FE289C" w:rsidRDefault="00FE289C" w:rsidP="00FE289C">
      <w:pPr>
        <w:pStyle w:val="a9"/>
        <w:rPr>
          <w:i/>
          <w:kern w:val="2"/>
          <w:lang w:val="ru-RU"/>
        </w:rPr>
      </w:pPr>
      <w:r w:rsidRPr="00FE289C">
        <w:rPr>
          <w:i/>
          <w:kern w:val="2"/>
        </w:rPr>
        <w:t>Застосування у період вагітності або годування груддю.</w:t>
      </w:r>
    </w:p>
    <w:p w14:paraId="53269298" w14:textId="77777777" w:rsidR="00FE289C" w:rsidRPr="00FE289C" w:rsidRDefault="00FE289C" w:rsidP="00FE289C">
      <w:pPr>
        <w:pStyle w:val="a9"/>
        <w:rPr>
          <w:kern w:val="2"/>
          <w:u w:val="single"/>
        </w:rPr>
      </w:pPr>
      <w:r w:rsidRPr="00FE289C">
        <w:rPr>
          <w:kern w:val="2"/>
          <w:u w:val="single"/>
        </w:rPr>
        <w:t>Жінки репродуктивного віку.</w:t>
      </w:r>
    </w:p>
    <w:p w14:paraId="09D2C4B0" w14:textId="77777777" w:rsidR="00FE289C" w:rsidRPr="00FE289C" w:rsidRDefault="00FE289C" w:rsidP="00FE289C">
      <w:pPr>
        <w:pStyle w:val="a9"/>
        <w:rPr>
          <w:kern w:val="2"/>
        </w:rPr>
      </w:pPr>
      <w:r w:rsidRPr="00FE289C">
        <w:rPr>
          <w:kern w:val="2"/>
        </w:rPr>
        <w:t>Жінкам репродуктивного віку слід порадити використовувати належні засоби контрацепції з метою уникнення вагітності під час застосування препарату Енбрел</w:t>
      </w:r>
      <w:r w:rsidRPr="00FE289C">
        <w:rPr>
          <w:kern w:val="2"/>
          <w:vertAlign w:val="superscript"/>
        </w:rPr>
        <w:t>®</w:t>
      </w:r>
      <w:r w:rsidRPr="00FE289C">
        <w:rPr>
          <w:kern w:val="2"/>
        </w:rPr>
        <w:t xml:space="preserve"> та протягом 3 тижнів після закінчення терапії.  </w:t>
      </w:r>
    </w:p>
    <w:p w14:paraId="75D043E3" w14:textId="77777777" w:rsidR="00FE289C" w:rsidRPr="00FE289C" w:rsidRDefault="00FE289C" w:rsidP="00FE289C">
      <w:pPr>
        <w:pStyle w:val="a9"/>
        <w:rPr>
          <w:kern w:val="2"/>
        </w:rPr>
      </w:pPr>
      <w:r w:rsidRPr="00FE289C">
        <w:rPr>
          <w:kern w:val="2"/>
          <w:u w:val="single"/>
        </w:rPr>
        <w:t>Вагітність.</w:t>
      </w:r>
      <w:r w:rsidRPr="00FE289C">
        <w:rPr>
          <w:kern w:val="2"/>
        </w:rPr>
        <w:t xml:space="preserve"> </w:t>
      </w:r>
    </w:p>
    <w:p w14:paraId="51C96542" w14:textId="77777777" w:rsidR="00FE289C" w:rsidRPr="00FE289C" w:rsidRDefault="00FE289C" w:rsidP="00FE289C">
      <w:pPr>
        <w:pStyle w:val="a9"/>
        <w:rPr>
          <w:kern w:val="2"/>
        </w:rPr>
      </w:pPr>
      <w:r w:rsidRPr="00FE289C">
        <w:rPr>
          <w:kern w:val="2"/>
        </w:rPr>
        <w:t>Дослідження токсичного впливу на розвиток плода, що проводилися на тваринах, не виявили ознак шкідливого впливу етанерцепту на плід або новонароджених тварин. У спостережному дослідженні, в якому порівнювались вагітні пацієнтки, які отримували етанерцепт впродовж першого триместру, з вагітними пацієнтками, які не отримували етанерцепт або інші антагоністи ФНП, була зареєстрована підвищена частота серйозних вроджених вад розвитку (скориговане співвідношення шансів – 2,4, 95</w:t>
      </w:r>
      <w:r w:rsidRPr="00FE289C">
        <w:rPr>
          <w:kern w:val="2"/>
          <w:lang w:val="en-US"/>
        </w:rPr>
        <w:t> </w:t>
      </w:r>
      <w:r w:rsidRPr="00FE289C">
        <w:rPr>
          <w:kern w:val="2"/>
        </w:rPr>
        <w:t xml:space="preserve">% ДІ: 1,0–5,5). Типи серйозних вроджених вад розвитку відповідали найбільш поширеним у загальній популяції, та особливого характеру аномалій виявлено не було. Жодних змін частоти </w:t>
      </w:r>
      <w:r w:rsidRPr="00FE289C">
        <w:rPr>
          <w:kern w:val="2"/>
        </w:rPr>
        <w:lastRenderedPageBreak/>
        <w:t>спонтанних викиднів, випадків мертвонародження або незначних вад розвитку не спостерігалося. Застосовувати Енбрел</w:t>
      </w:r>
      <w:r w:rsidRPr="00FE289C">
        <w:rPr>
          <w:kern w:val="2"/>
          <w:vertAlign w:val="superscript"/>
        </w:rPr>
        <w:t>®</w:t>
      </w:r>
      <w:r w:rsidRPr="00FE289C">
        <w:rPr>
          <w:kern w:val="2"/>
        </w:rPr>
        <w:t xml:space="preserve"> під час вагітності не рекомендується.</w:t>
      </w:r>
    </w:p>
    <w:p w14:paraId="363E7051" w14:textId="77777777" w:rsidR="00FE289C" w:rsidRPr="00FE289C" w:rsidRDefault="00FE289C" w:rsidP="00FE289C">
      <w:pPr>
        <w:pStyle w:val="a9"/>
        <w:rPr>
          <w:kern w:val="2"/>
        </w:rPr>
      </w:pPr>
      <w:r w:rsidRPr="00FE289C">
        <w:rPr>
          <w:kern w:val="2"/>
        </w:rPr>
        <w:t>Етанерцепт проникає крізь плаценту та виявляється в сироватці немовлят, матері яких отримували лікування препаратом Енбрел</w:t>
      </w:r>
      <w:r w:rsidRPr="00FE289C">
        <w:rPr>
          <w:kern w:val="2"/>
          <w:vertAlign w:val="superscript"/>
        </w:rPr>
        <w:t>®</w:t>
      </w:r>
      <w:r w:rsidRPr="00FE289C">
        <w:rPr>
          <w:kern w:val="2"/>
        </w:rPr>
        <w:t xml:space="preserve"> під час вагітності. Клінічна значущість цього спостереження невідома, однак немовлята можуть мати підвищений ризик розвитку інфекції. Як правило, немовлятам не рекомендується проводити вакцинацію живими вакцинами протягом 16 тижнів після отримання матір’ю останньої дози препарату Енбрел</w:t>
      </w:r>
      <w:r w:rsidRPr="00FE289C">
        <w:rPr>
          <w:kern w:val="2"/>
          <w:vertAlign w:val="superscript"/>
        </w:rPr>
        <w:t>®</w:t>
      </w:r>
      <w:r w:rsidRPr="00FE289C">
        <w:rPr>
          <w:kern w:val="2"/>
        </w:rPr>
        <w:t>.</w:t>
      </w:r>
    </w:p>
    <w:p w14:paraId="14679704" w14:textId="77777777" w:rsidR="00FE289C" w:rsidRPr="00FE289C" w:rsidRDefault="00FE289C" w:rsidP="00FE289C">
      <w:pPr>
        <w:pStyle w:val="a9"/>
        <w:rPr>
          <w:kern w:val="2"/>
        </w:rPr>
      </w:pPr>
      <w:r w:rsidRPr="00FE289C">
        <w:rPr>
          <w:kern w:val="2"/>
          <w:u w:val="single"/>
        </w:rPr>
        <w:t>Годування груддю</w:t>
      </w:r>
      <w:r w:rsidRPr="00FE289C">
        <w:rPr>
          <w:kern w:val="2"/>
        </w:rPr>
        <w:t xml:space="preserve"> </w:t>
      </w:r>
    </w:p>
    <w:p w14:paraId="651921C8" w14:textId="77777777" w:rsidR="00FE289C" w:rsidRPr="00FE289C" w:rsidRDefault="00FE289C" w:rsidP="00FE289C">
      <w:pPr>
        <w:pStyle w:val="a9"/>
        <w:rPr>
          <w:kern w:val="2"/>
        </w:rPr>
      </w:pPr>
      <w:r w:rsidRPr="00FE289C">
        <w:rPr>
          <w:kern w:val="2"/>
        </w:rPr>
        <w:t>Повідомлялося про виділення етанерцепту із грудним молоком людини після підшкірного застосування. Після підшкірного введення тваринам у період лактації етанерцепт виділявся в молоко та виявлявся у плазмі крові щурят. Оскільки імуноглобуліни, як і багато інших лікарських засобів, можуть виділятися з грудним молоком людини, слід прийняти рішення щодо припинення годування груддю або припинення застосування препарату Енбрел</w:t>
      </w:r>
      <w:r w:rsidRPr="00FE289C">
        <w:rPr>
          <w:kern w:val="2"/>
          <w:vertAlign w:val="superscript"/>
        </w:rPr>
        <w:t>®</w:t>
      </w:r>
      <w:r w:rsidRPr="00FE289C">
        <w:rPr>
          <w:kern w:val="2"/>
        </w:rPr>
        <w:t xml:space="preserve">. Приймаючи рішення, слід брати до уваги користь від грудного годування для дитини та користь від терапії для матері. </w:t>
      </w:r>
    </w:p>
    <w:p w14:paraId="1031F1BE" w14:textId="77777777" w:rsidR="00FE289C" w:rsidRPr="00FE289C" w:rsidRDefault="00FE289C" w:rsidP="00FE289C">
      <w:pPr>
        <w:pStyle w:val="a9"/>
        <w:rPr>
          <w:kern w:val="2"/>
          <w:u w:val="single"/>
        </w:rPr>
      </w:pPr>
      <w:r w:rsidRPr="00FE289C">
        <w:rPr>
          <w:kern w:val="2"/>
          <w:u w:val="single"/>
        </w:rPr>
        <w:t>Фертильність</w:t>
      </w:r>
    </w:p>
    <w:p w14:paraId="6713B1B4" w14:textId="77777777" w:rsidR="00FE289C" w:rsidRPr="00FE289C" w:rsidRDefault="00FE289C" w:rsidP="00FE289C">
      <w:pPr>
        <w:pStyle w:val="a9"/>
        <w:rPr>
          <w:kern w:val="2"/>
        </w:rPr>
      </w:pPr>
      <w:r w:rsidRPr="00FE289C">
        <w:rPr>
          <w:kern w:val="2"/>
        </w:rPr>
        <w:t>Доклінічні дані стосовно пери- та постнатальної токсичності етанерцепту і впливу етанерцепту на фертильність та загальну репродуктивну здатність відсутні.</w:t>
      </w:r>
    </w:p>
    <w:p w14:paraId="7995429E" w14:textId="77777777" w:rsidR="00FE289C" w:rsidRPr="00FE289C" w:rsidRDefault="00FE289C" w:rsidP="00FE289C">
      <w:pPr>
        <w:pStyle w:val="a9"/>
        <w:rPr>
          <w:kern w:val="2"/>
        </w:rPr>
      </w:pPr>
    </w:p>
    <w:p w14:paraId="6E29ADBE" w14:textId="77777777" w:rsidR="00FE289C" w:rsidRPr="00FE289C" w:rsidRDefault="00FE289C" w:rsidP="00FE289C">
      <w:pPr>
        <w:pStyle w:val="a9"/>
        <w:rPr>
          <w:i/>
          <w:iCs/>
          <w:kern w:val="2"/>
        </w:rPr>
      </w:pPr>
      <w:r w:rsidRPr="00FE289C">
        <w:rPr>
          <w:i/>
          <w:iCs/>
          <w:kern w:val="2"/>
          <w:lang w:val="ru-RU"/>
        </w:rPr>
        <w:t>Здатність впливати на швидкість реакції при керуванні автотранспортом або іншими механізмами.</w:t>
      </w:r>
    </w:p>
    <w:p w14:paraId="4FFB4616" w14:textId="77777777" w:rsidR="00FE289C" w:rsidRPr="00FE289C" w:rsidRDefault="00FE289C" w:rsidP="00FE289C">
      <w:pPr>
        <w:pStyle w:val="a9"/>
        <w:rPr>
          <w:kern w:val="2"/>
        </w:rPr>
      </w:pPr>
      <w:r w:rsidRPr="00FE289C">
        <w:rPr>
          <w:kern w:val="2"/>
        </w:rPr>
        <w:t>Дослідження впливу препарату на здатність керувати транспортними засобами та працювати з іншими механізмами не проводилися.</w:t>
      </w:r>
    </w:p>
    <w:p w14:paraId="75BCA1C4" w14:textId="77777777" w:rsidR="00FE289C" w:rsidRPr="00FE289C" w:rsidRDefault="00FE289C" w:rsidP="00FE289C">
      <w:pPr>
        <w:pStyle w:val="a9"/>
        <w:rPr>
          <w:kern w:val="2"/>
        </w:rPr>
      </w:pPr>
    </w:p>
    <w:p w14:paraId="6096CBFF" w14:textId="77777777" w:rsidR="00FE289C" w:rsidRPr="00FE289C" w:rsidRDefault="00FE289C" w:rsidP="00FE289C">
      <w:pPr>
        <w:pStyle w:val="a9"/>
        <w:rPr>
          <w:b/>
          <w:bCs/>
          <w:i/>
          <w:iCs/>
          <w:kern w:val="2"/>
        </w:rPr>
      </w:pPr>
      <w:r w:rsidRPr="00FE289C">
        <w:rPr>
          <w:b/>
          <w:bCs/>
          <w:i/>
          <w:iCs/>
          <w:kern w:val="2"/>
        </w:rPr>
        <w:t>Спосіб застосування та дози.</w:t>
      </w:r>
    </w:p>
    <w:p w14:paraId="141CCFC7" w14:textId="77777777" w:rsidR="00FE289C" w:rsidRPr="00FE289C" w:rsidRDefault="00FE289C" w:rsidP="00FE289C">
      <w:pPr>
        <w:pStyle w:val="a9"/>
        <w:rPr>
          <w:kern w:val="2"/>
        </w:rPr>
      </w:pPr>
      <w:r w:rsidRPr="00FE289C">
        <w:rPr>
          <w:kern w:val="2"/>
        </w:rPr>
        <w:t>Лікування препаратом Енбрел</w:t>
      </w:r>
      <w:r w:rsidRPr="00FE289C">
        <w:rPr>
          <w:kern w:val="2"/>
          <w:vertAlign w:val="superscript"/>
        </w:rPr>
        <w:t>®</w:t>
      </w:r>
      <w:r w:rsidRPr="00FE289C">
        <w:rPr>
          <w:kern w:val="2"/>
        </w:rPr>
        <w:t xml:space="preserve"> повинен призначати та контролювати лікар, який має досвід у діагностиці та лікуванні ревматоїдного артриту, ювенільного ідіопатичного артриту, псоріатичного артриту, анкілозивного спондиліту, нерентгенологічного аксіального спондилоартриту, бляшкового псоріазу та бляшкового псоріазу в дітей. Пацієнтів, що лікуються препаратом Енбрел</w:t>
      </w:r>
      <w:r w:rsidRPr="00FE289C">
        <w:rPr>
          <w:kern w:val="2"/>
          <w:vertAlign w:val="superscript"/>
        </w:rPr>
        <w:t>®</w:t>
      </w:r>
      <w:r w:rsidRPr="00FE289C">
        <w:rPr>
          <w:kern w:val="2"/>
        </w:rPr>
        <w:t>, слід забезпечити карткою-пам’яткою пацієнта.</w:t>
      </w:r>
    </w:p>
    <w:p w14:paraId="305BCC7A" w14:textId="77777777" w:rsidR="00FE289C" w:rsidRPr="00FE289C" w:rsidRDefault="00FE289C" w:rsidP="00FE289C">
      <w:pPr>
        <w:pStyle w:val="a9"/>
        <w:rPr>
          <w:kern w:val="2"/>
          <w:u w:val="single"/>
          <w:lang w:val="ru-RU"/>
        </w:rPr>
      </w:pPr>
      <w:r w:rsidRPr="00FE289C">
        <w:rPr>
          <w:kern w:val="2"/>
          <w:u w:val="single"/>
        </w:rPr>
        <w:t>Дозування.</w:t>
      </w:r>
    </w:p>
    <w:p w14:paraId="4CC02D3A" w14:textId="77777777" w:rsidR="00FE289C" w:rsidRPr="00FE289C" w:rsidRDefault="00FE289C" w:rsidP="00FE289C">
      <w:pPr>
        <w:pStyle w:val="a9"/>
        <w:rPr>
          <w:i/>
          <w:kern w:val="2"/>
        </w:rPr>
      </w:pPr>
      <w:r w:rsidRPr="00FE289C">
        <w:rPr>
          <w:i/>
          <w:kern w:val="2"/>
        </w:rPr>
        <w:t>Ревматоїдний артрит.</w:t>
      </w:r>
    </w:p>
    <w:p w14:paraId="0393D9CC" w14:textId="77777777" w:rsidR="00FE289C" w:rsidRPr="00FE289C" w:rsidRDefault="00FE289C" w:rsidP="00FE289C">
      <w:pPr>
        <w:pStyle w:val="a9"/>
        <w:rPr>
          <w:kern w:val="2"/>
        </w:rPr>
      </w:pPr>
      <w:r w:rsidRPr="00FE289C">
        <w:rPr>
          <w:kern w:val="2"/>
        </w:rPr>
        <w:t>Рекомендована доза становить 25 мг препарату два рази на тиждень. Альтернативно можна застосовувати дозу 50 мг 1 раз на тиждень, яка має доведену безпе</w:t>
      </w:r>
      <w:r w:rsidRPr="00FE289C">
        <w:rPr>
          <w:kern w:val="2"/>
          <w:lang w:val="ru-RU"/>
        </w:rPr>
        <w:t>ку</w:t>
      </w:r>
      <w:r w:rsidRPr="00FE289C">
        <w:rPr>
          <w:kern w:val="2"/>
        </w:rPr>
        <w:t xml:space="preserve"> та ефективність.</w:t>
      </w:r>
    </w:p>
    <w:p w14:paraId="5A1724C6" w14:textId="77777777" w:rsidR="00FE289C" w:rsidRPr="00FE289C" w:rsidRDefault="00FE289C" w:rsidP="00FE289C">
      <w:pPr>
        <w:pStyle w:val="a9"/>
        <w:rPr>
          <w:i/>
          <w:kern w:val="2"/>
        </w:rPr>
      </w:pPr>
      <w:r w:rsidRPr="00FE289C">
        <w:rPr>
          <w:i/>
          <w:kern w:val="2"/>
        </w:rPr>
        <w:t>Псоріатичний артрит, анкілоз</w:t>
      </w:r>
      <w:r w:rsidRPr="00FE289C">
        <w:rPr>
          <w:i/>
          <w:kern w:val="2"/>
          <w:lang w:val="ru-RU"/>
        </w:rPr>
        <w:t>ивний</w:t>
      </w:r>
      <w:r w:rsidRPr="00FE289C">
        <w:rPr>
          <w:i/>
          <w:kern w:val="2"/>
        </w:rPr>
        <w:t xml:space="preserve"> спондиліт та нерентгенологічний аксіальний спондилоартрит.</w:t>
      </w:r>
    </w:p>
    <w:p w14:paraId="44EAAC93" w14:textId="77777777" w:rsidR="00FE289C" w:rsidRPr="00FE289C" w:rsidRDefault="00FE289C" w:rsidP="00FE289C">
      <w:pPr>
        <w:pStyle w:val="a9"/>
        <w:rPr>
          <w:kern w:val="2"/>
        </w:rPr>
      </w:pPr>
      <w:r w:rsidRPr="00FE289C">
        <w:rPr>
          <w:kern w:val="2"/>
        </w:rPr>
        <w:t>Рекомендована доза становить 25 мг 2 рази на тиждень або 50 мг 1 раз на тиждень.</w:t>
      </w:r>
    </w:p>
    <w:p w14:paraId="79EB6BC6" w14:textId="77777777" w:rsidR="00FE289C" w:rsidRPr="00FE289C" w:rsidRDefault="00FE289C" w:rsidP="00FE289C">
      <w:pPr>
        <w:pStyle w:val="a9"/>
        <w:rPr>
          <w:kern w:val="2"/>
        </w:rPr>
      </w:pPr>
      <w:r w:rsidRPr="00FE289C">
        <w:rPr>
          <w:kern w:val="2"/>
        </w:rPr>
        <w:t xml:space="preserve">Для всіх вищезазначених показань наявні дані дають змогу припустити, що клінічна відповідь на застосування препарату зазвичай з’являється протягом 12 тижнів від початку лікування. Якщо у пацієнта відсутня відповідь на лікування протягом цього періоду часу, необхідно уважно переглянути доцільність продовження такої терапії. </w:t>
      </w:r>
    </w:p>
    <w:p w14:paraId="57928C1B" w14:textId="77777777" w:rsidR="00FE289C" w:rsidRPr="00FE289C" w:rsidRDefault="00FE289C" w:rsidP="00FE289C">
      <w:pPr>
        <w:pStyle w:val="a9"/>
        <w:rPr>
          <w:i/>
          <w:kern w:val="2"/>
        </w:rPr>
      </w:pPr>
      <w:r w:rsidRPr="00FE289C">
        <w:rPr>
          <w:i/>
          <w:kern w:val="2"/>
        </w:rPr>
        <w:t>Бляшковий псоріаз.</w:t>
      </w:r>
    </w:p>
    <w:p w14:paraId="2C15C758" w14:textId="77777777" w:rsidR="00FE289C" w:rsidRPr="00FE289C" w:rsidRDefault="00FE289C" w:rsidP="00FE289C">
      <w:pPr>
        <w:pStyle w:val="a9"/>
        <w:rPr>
          <w:kern w:val="2"/>
        </w:rPr>
      </w:pPr>
      <w:r w:rsidRPr="00FE289C">
        <w:rPr>
          <w:kern w:val="2"/>
        </w:rPr>
        <w:t>Рекомендована доза становить 25 мг препарату 2 рази на тиждень або 50 мг 1 раз на тиждень. Альтернативно Енбрел</w:t>
      </w:r>
      <w:r w:rsidRPr="00FE289C">
        <w:rPr>
          <w:kern w:val="2"/>
          <w:vertAlign w:val="superscript"/>
        </w:rPr>
        <w:t>®</w:t>
      </w:r>
      <w:r w:rsidRPr="00FE289C">
        <w:rPr>
          <w:kern w:val="2"/>
        </w:rPr>
        <w:t xml:space="preserve"> можна застосовувати по </w:t>
      </w:r>
      <w:r w:rsidRPr="00FE289C">
        <w:rPr>
          <w:kern w:val="2"/>
        </w:rPr>
        <w:lastRenderedPageBreak/>
        <w:t xml:space="preserve">50 мг 2 рази на тиждень впродовж не більше 12 тижнів. Надалі у разі необхідності лікування можна застосовувати дозу 25 мг </w:t>
      </w:r>
      <w:r w:rsidRPr="00FE289C">
        <w:rPr>
          <w:kern w:val="2"/>
          <w:lang w:val="ru-RU"/>
        </w:rPr>
        <w:t>2</w:t>
      </w:r>
      <w:r w:rsidRPr="00FE289C">
        <w:rPr>
          <w:kern w:val="2"/>
        </w:rPr>
        <w:t xml:space="preserve"> рази на тиждень або 50 мг </w:t>
      </w:r>
      <w:r w:rsidRPr="00FE289C">
        <w:rPr>
          <w:kern w:val="2"/>
          <w:lang w:val="ru-RU"/>
        </w:rPr>
        <w:t>1</w:t>
      </w:r>
      <w:r w:rsidRPr="00FE289C">
        <w:rPr>
          <w:kern w:val="2"/>
        </w:rPr>
        <w:t xml:space="preserve"> раз на тиждень.</w:t>
      </w:r>
    </w:p>
    <w:p w14:paraId="5A8D4525" w14:textId="77777777" w:rsidR="00FE289C" w:rsidRPr="00FE289C" w:rsidRDefault="00FE289C" w:rsidP="00FE289C">
      <w:pPr>
        <w:pStyle w:val="a9"/>
        <w:rPr>
          <w:kern w:val="2"/>
        </w:rPr>
      </w:pPr>
      <w:r w:rsidRPr="00FE289C">
        <w:rPr>
          <w:kern w:val="2"/>
        </w:rPr>
        <w:t>Терапію препаратом Енбрел</w:t>
      </w:r>
      <w:r w:rsidRPr="00FE289C">
        <w:rPr>
          <w:kern w:val="2"/>
          <w:vertAlign w:val="superscript"/>
        </w:rPr>
        <w:t>®</w:t>
      </w:r>
      <w:r w:rsidRPr="00FE289C">
        <w:rPr>
          <w:kern w:val="2"/>
        </w:rPr>
        <w:t xml:space="preserve"> слід продовжувати до досягнення ремісії, впродовж періоду не більше 24 тижнів. Для деяких дорослих пацієнтів може бути доцільним лікування, що триває понад 24 тижні (див. розділ </w:t>
      </w:r>
      <w:r w:rsidRPr="00FE289C">
        <w:rPr>
          <w:kern w:val="2"/>
          <w:lang w:val="ru-RU"/>
        </w:rPr>
        <w:t>«</w:t>
      </w:r>
      <w:r w:rsidRPr="00FE289C">
        <w:rPr>
          <w:kern w:val="2"/>
        </w:rPr>
        <w:t>Фармакодинаміка</w:t>
      </w:r>
      <w:r w:rsidRPr="00FE289C">
        <w:rPr>
          <w:kern w:val="2"/>
          <w:lang w:val="ru-RU"/>
        </w:rPr>
        <w:t>»</w:t>
      </w:r>
      <w:r w:rsidRPr="00FE289C">
        <w:rPr>
          <w:kern w:val="2"/>
        </w:rPr>
        <w:t>). Терапію слід відмінити при відсутності ефекту через 12 тижнів від початку застосування. У разі необхідності повторного призначення препарату слід дотримуватися рекомендацій стосовно тривалості лікування, зазначених вище. Доза повинна становити 25 мг препарату 2 рази на тиждень або 50 мг 1 раз на тиждень.</w:t>
      </w:r>
    </w:p>
    <w:p w14:paraId="78A295E6" w14:textId="77777777" w:rsidR="00FE289C" w:rsidRPr="00FE289C" w:rsidRDefault="00FE289C" w:rsidP="00FE289C">
      <w:pPr>
        <w:pStyle w:val="a9"/>
        <w:rPr>
          <w:kern w:val="2"/>
          <w:u w:val="single"/>
          <w:lang w:val="ru-RU"/>
        </w:rPr>
      </w:pPr>
      <w:r w:rsidRPr="00FE289C">
        <w:rPr>
          <w:kern w:val="2"/>
          <w:u w:val="single"/>
        </w:rPr>
        <w:t>Особливі групи пацієнтів.</w:t>
      </w:r>
    </w:p>
    <w:p w14:paraId="105D8341" w14:textId="77777777" w:rsidR="00FE289C" w:rsidRPr="00FE289C" w:rsidRDefault="00FE289C" w:rsidP="00FE289C">
      <w:pPr>
        <w:pStyle w:val="a9"/>
        <w:rPr>
          <w:i/>
          <w:kern w:val="2"/>
        </w:rPr>
      </w:pPr>
      <w:r w:rsidRPr="00FE289C">
        <w:rPr>
          <w:i/>
          <w:kern w:val="2"/>
        </w:rPr>
        <w:t>Пацієнти з нирковою та печінковою недостатністю.</w:t>
      </w:r>
    </w:p>
    <w:p w14:paraId="6E812143" w14:textId="77777777" w:rsidR="00FE289C" w:rsidRPr="00FE289C" w:rsidRDefault="00FE289C" w:rsidP="00FE289C">
      <w:pPr>
        <w:pStyle w:val="a9"/>
        <w:rPr>
          <w:kern w:val="2"/>
          <w:lang w:val="ru-RU"/>
        </w:rPr>
      </w:pPr>
      <w:r w:rsidRPr="00FE289C">
        <w:rPr>
          <w:kern w:val="2"/>
        </w:rPr>
        <w:t>Потреби у корекції дози немає.</w:t>
      </w:r>
    </w:p>
    <w:p w14:paraId="6AE60092" w14:textId="77777777" w:rsidR="00FE289C" w:rsidRPr="00FE289C" w:rsidRDefault="00FE289C" w:rsidP="00FE289C">
      <w:pPr>
        <w:pStyle w:val="a9"/>
        <w:rPr>
          <w:i/>
          <w:kern w:val="2"/>
        </w:rPr>
      </w:pPr>
      <w:r w:rsidRPr="00FE289C">
        <w:rPr>
          <w:i/>
          <w:kern w:val="2"/>
        </w:rPr>
        <w:t>Пацієнти літнього віку.</w:t>
      </w:r>
    </w:p>
    <w:p w14:paraId="14B0DD33" w14:textId="77777777" w:rsidR="00FE289C" w:rsidRPr="00FE289C" w:rsidRDefault="00FE289C" w:rsidP="00FE289C">
      <w:pPr>
        <w:pStyle w:val="a9"/>
        <w:rPr>
          <w:kern w:val="2"/>
          <w:lang w:val="ru-RU"/>
        </w:rPr>
      </w:pPr>
      <w:r w:rsidRPr="00FE289C">
        <w:rPr>
          <w:kern w:val="2"/>
        </w:rPr>
        <w:t>Потреби у корекції дози немає. Доза та спосіб застосування такі ж самі, як і для пацієнтів віком 18–64 роки.</w:t>
      </w:r>
    </w:p>
    <w:p w14:paraId="6022A041" w14:textId="77777777" w:rsidR="00FE289C" w:rsidRPr="00FE289C" w:rsidRDefault="00FE289C" w:rsidP="00FE289C">
      <w:pPr>
        <w:pStyle w:val="a9"/>
        <w:rPr>
          <w:i/>
          <w:iCs/>
          <w:kern w:val="2"/>
          <w:lang w:val="ru-RU"/>
        </w:rPr>
      </w:pPr>
      <w:r w:rsidRPr="00FE289C">
        <w:rPr>
          <w:i/>
          <w:iCs/>
          <w:kern w:val="2"/>
        </w:rPr>
        <w:t>Діти.</w:t>
      </w:r>
    </w:p>
    <w:p w14:paraId="2B6AB654" w14:textId="77777777" w:rsidR="00FE289C" w:rsidRPr="00FE289C" w:rsidRDefault="00FE289C" w:rsidP="00FE289C">
      <w:pPr>
        <w:pStyle w:val="a9"/>
        <w:rPr>
          <w:iCs/>
          <w:kern w:val="2"/>
        </w:rPr>
      </w:pPr>
      <w:r w:rsidRPr="00FE289C">
        <w:rPr>
          <w:iCs/>
          <w:kern w:val="2"/>
        </w:rPr>
        <w:t xml:space="preserve">Дозу препарату </w:t>
      </w:r>
      <w:r w:rsidRPr="00FE289C">
        <w:rPr>
          <w:kern w:val="2"/>
        </w:rPr>
        <w:t>Енбрел</w:t>
      </w:r>
      <w:r w:rsidRPr="00FE289C">
        <w:rPr>
          <w:kern w:val="2"/>
          <w:vertAlign w:val="superscript"/>
        </w:rPr>
        <w:t>®</w:t>
      </w:r>
      <w:r w:rsidRPr="00FE289C">
        <w:rPr>
          <w:iCs/>
          <w:kern w:val="2"/>
        </w:rPr>
        <w:t xml:space="preserve"> для дітей розраховують з урахуванням маси тіла дитини. Пацієнтам, маса тіла яких менше 62,5 кг, необхідно застосовувати точну дозу (розраховану у мг/кг) препарату </w:t>
      </w:r>
      <w:r w:rsidRPr="00FE289C">
        <w:rPr>
          <w:kern w:val="2"/>
        </w:rPr>
        <w:t>Енбрел</w:t>
      </w:r>
      <w:r w:rsidRPr="00FE289C">
        <w:rPr>
          <w:kern w:val="2"/>
          <w:vertAlign w:val="superscript"/>
        </w:rPr>
        <w:t>®</w:t>
      </w:r>
      <w:r w:rsidRPr="00FE289C">
        <w:rPr>
          <w:iCs/>
          <w:kern w:val="2"/>
        </w:rPr>
        <w:t xml:space="preserve"> у формі ліофілізату з розчинником (інформація щодо дозування при певних захворюваннях наведена нижче). Дітям з масою тіла від 62,5 кг можна застосовувати фіксовану дозу препарату Енбрел</w:t>
      </w:r>
      <w:r w:rsidRPr="00FE289C">
        <w:rPr>
          <w:iCs/>
          <w:kern w:val="2"/>
          <w:vertAlign w:val="superscript"/>
        </w:rPr>
        <w:t>®</w:t>
      </w:r>
      <w:r w:rsidRPr="00FE289C">
        <w:rPr>
          <w:iCs/>
          <w:kern w:val="2"/>
        </w:rPr>
        <w:t xml:space="preserve"> у формі розчину для ін’єкцій у попередньо наповнених шприцах чи ручках. </w:t>
      </w:r>
    </w:p>
    <w:p w14:paraId="37E190C1" w14:textId="77777777" w:rsidR="00FE289C" w:rsidRPr="00FE289C" w:rsidRDefault="00FE289C" w:rsidP="00FE289C">
      <w:pPr>
        <w:pStyle w:val="a9"/>
        <w:rPr>
          <w:kern w:val="2"/>
          <w:u w:val="single"/>
        </w:rPr>
      </w:pPr>
      <w:r w:rsidRPr="00FE289C">
        <w:rPr>
          <w:kern w:val="2"/>
          <w:u w:val="single"/>
        </w:rPr>
        <w:t xml:space="preserve">Ювенільний ідіопатичний артрит. </w:t>
      </w:r>
    </w:p>
    <w:p w14:paraId="637B0697" w14:textId="77777777" w:rsidR="00FE289C" w:rsidRPr="00FE289C" w:rsidRDefault="00FE289C" w:rsidP="00FE289C">
      <w:pPr>
        <w:pStyle w:val="a9"/>
        <w:rPr>
          <w:kern w:val="2"/>
        </w:rPr>
      </w:pPr>
      <w:r w:rsidRPr="00FE289C">
        <w:rPr>
          <w:kern w:val="2"/>
        </w:rPr>
        <w:t>Рекомендована доза становить 0,4 мг/кг маси тіла (максимальна разова доза – 25 мг) 2 рази на тиждень у вигляді підшкірної ін’єкції з інтервалом між дозами 3–4 дні або 0,8 мг/кг (максимальна доза – 50 мг) 1 раз на тиждень. За відсутності ефекту від лікування через 4 місяці від початку застосування препарату слід розглянути доцільність його відміни.</w:t>
      </w:r>
    </w:p>
    <w:p w14:paraId="01B8BDD4" w14:textId="77777777" w:rsidR="00FE289C" w:rsidRPr="00FE289C" w:rsidRDefault="00FE289C" w:rsidP="00FE289C">
      <w:pPr>
        <w:pStyle w:val="a9"/>
        <w:rPr>
          <w:kern w:val="2"/>
        </w:rPr>
      </w:pPr>
      <w:r w:rsidRPr="00FE289C">
        <w:rPr>
          <w:kern w:val="2"/>
        </w:rPr>
        <w:t>Офіційні клінічні дослідження застосування препарату Енбрел</w:t>
      </w:r>
      <w:r w:rsidRPr="00FE289C">
        <w:rPr>
          <w:kern w:val="2"/>
          <w:vertAlign w:val="superscript"/>
        </w:rPr>
        <w:t>®</w:t>
      </w:r>
      <w:r w:rsidRPr="00FE289C">
        <w:rPr>
          <w:kern w:val="2"/>
        </w:rPr>
        <w:t xml:space="preserve"> діт</w:t>
      </w:r>
      <w:r w:rsidRPr="00FE289C">
        <w:rPr>
          <w:kern w:val="2"/>
          <w:lang w:val="ru-RU"/>
        </w:rPr>
        <w:t>ям</w:t>
      </w:r>
      <w:r w:rsidRPr="00FE289C">
        <w:rPr>
          <w:kern w:val="2"/>
        </w:rPr>
        <w:t xml:space="preserve"> віком від 2 до 3 років не проводились. Однак обмежені дані з безпеки, отримані з реєстру пацієнтів, дають змогу припустити, що профіль безпеки у дітей віком від 2 до 3 років подібний до профілю безпеки у дорослих пацієнтів та дітей віком від 4 років при застосуванні 1 раз на тиждень підшкірно у дозі 0,8 мг/кг.</w:t>
      </w:r>
    </w:p>
    <w:p w14:paraId="275721DE" w14:textId="77777777" w:rsidR="00FE289C" w:rsidRPr="00FE289C" w:rsidRDefault="00FE289C" w:rsidP="00FE289C">
      <w:pPr>
        <w:pStyle w:val="a9"/>
        <w:rPr>
          <w:kern w:val="2"/>
        </w:rPr>
      </w:pPr>
      <w:r w:rsidRPr="00FE289C">
        <w:rPr>
          <w:kern w:val="2"/>
        </w:rPr>
        <w:t xml:space="preserve">Як правило, </w:t>
      </w:r>
      <w:r w:rsidRPr="00FE289C">
        <w:rPr>
          <w:iCs/>
          <w:kern w:val="2"/>
        </w:rPr>
        <w:t>Енбрел</w:t>
      </w:r>
      <w:r w:rsidRPr="00FE289C">
        <w:rPr>
          <w:iCs/>
          <w:kern w:val="2"/>
          <w:vertAlign w:val="superscript"/>
        </w:rPr>
        <w:t>®</w:t>
      </w:r>
      <w:r w:rsidRPr="00FE289C">
        <w:rPr>
          <w:kern w:val="2"/>
        </w:rPr>
        <w:t xml:space="preserve"> не підлягає застосуванню дітям віком до 2 років при ювенільному ідіопатичному артриті.</w:t>
      </w:r>
    </w:p>
    <w:p w14:paraId="54BB0FCD" w14:textId="77777777" w:rsidR="00FE289C" w:rsidRPr="00FE289C" w:rsidRDefault="00FE289C" w:rsidP="00FE289C">
      <w:pPr>
        <w:pStyle w:val="a9"/>
        <w:rPr>
          <w:kern w:val="2"/>
          <w:u w:val="single"/>
          <w:lang w:val="ru-RU"/>
        </w:rPr>
      </w:pPr>
      <w:r w:rsidRPr="00FE289C">
        <w:rPr>
          <w:kern w:val="2"/>
          <w:u w:val="single"/>
        </w:rPr>
        <w:t>Бляшковий псоріаз у дітей (діти віком від 6 років).</w:t>
      </w:r>
    </w:p>
    <w:p w14:paraId="275A0743" w14:textId="77777777" w:rsidR="00FE289C" w:rsidRPr="00FE289C" w:rsidRDefault="00FE289C" w:rsidP="00FE289C">
      <w:pPr>
        <w:pStyle w:val="a9"/>
        <w:rPr>
          <w:kern w:val="2"/>
        </w:rPr>
      </w:pPr>
      <w:r w:rsidRPr="00FE289C">
        <w:rPr>
          <w:kern w:val="2"/>
        </w:rPr>
        <w:t>Рекомендована доза становить 0,8 мг/кг (максимальна разова доза – 50 мг) 1 раз на тиждень протягом періоду не більше 24 тижнів. За відсутності ефекту через 12 тижнів лікування слід припинити.</w:t>
      </w:r>
    </w:p>
    <w:p w14:paraId="43D55C5F" w14:textId="77777777" w:rsidR="00FE289C" w:rsidRPr="00FE289C" w:rsidRDefault="00FE289C" w:rsidP="00FE289C">
      <w:pPr>
        <w:pStyle w:val="a9"/>
        <w:rPr>
          <w:kern w:val="2"/>
        </w:rPr>
      </w:pPr>
      <w:r w:rsidRPr="00FE289C">
        <w:rPr>
          <w:kern w:val="2"/>
        </w:rPr>
        <w:t>У разі необхідності повторного призначення препарату слід дотримуватися рекомендацій стосовно тривалості лікування</w:t>
      </w:r>
      <w:r w:rsidRPr="00FE289C">
        <w:rPr>
          <w:kern w:val="2"/>
          <w:lang w:val="ru-RU"/>
        </w:rPr>
        <w:t>,</w:t>
      </w:r>
      <w:r w:rsidRPr="00FE289C">
        <w:rPr>
          <w:kern w:val="2"/>
        </w:rPr>
        <w:t xml:space="preserve"> зазначених вище. Рекомендована доза становить 0,8 мг/кг (максимальна разова доза – 50 мг) 1 раз на тиждень.</w:t>
      </w:r>
    </w:p>
    <w:p w14:paraId="6B4589D7" w14:textId="77777777" w:rsidR="00FE289C" w:rsidRPr="00FE289C" w:rsidRDefault="00FE289C" w:rsidP="00FE289C">
      <w:pPr>
        <w:pStyle w:val="a9"/>
        <w:rPr>
          <w:kern w:val="2"/>
          <w:lang w:val="ru-RU"/>
        </w:rPr>
      </w:pPr>
      <w:r w:rsidRPr="00FE289C">
        <w:rPr>
          <w:kern w:val="2"/>
        </w:rPr>
        <w:t xml:space="preserve">Як правило, препарат </w:t>
      </w:r>
      <w:r w:rsidRPr="00FE289C">
        <w:rPr>
          <w:iCs/>
          <w:kern w:val="2"/>
        </w:rPr>
        <w:t>Енбрел</w:t>
      </w:r>
      <w:r w:rsidRPr="00FE289C">
        <w:rPr>
          <w:iCs/>
          <w:kern w:val="2"/>
          <w:vertAlign w:val="superscript"/>
        </w:rPr>
        <w:t>®</w:t>
      </w:r>
      <w:r w:rsidRPr="00FE289C">
        <w:rPr>
          <w:kern w:val="2"/>
        </w:rPr>
        <w:t xml:space="preserve"> не підлягає застосуванню дітям віком до 6 років при бляшковому псоріазі.</w:t>
      </w:r>
    </w:p>
    <w:p w14:paraId="65C5FB6F" w14:textId="77777777" w:rsidR="00FE289C" w:rsidRPr="00FE289C" w:rsidRDefault="00FE289C" w:rsidP="00FE289C">
      <w:pPr>
        <w:pStyle w:val="a9"/>
        <w:rPr>
          <w:kern w:val="2"/>
          <w:u w:val="single"/>
        </w:rPr>
      </w:pPr>
      <w:r w:rsidRPr="00FE289C">
        <w:rPr>
          <w:kern w:val="2"/>
          <w:u w:val="single"/>
        </w:rPr>
        <w:t>Спосіб застосування</w:t>
      </w:r>
    </w:p>
    <w:p w14:paraId="774BB49A" w14:textId="77777777" w:rsidR="00FE289C" w:rsidRPr="00FE289C" w:rsidRDefault="00FE289C" w:rsidP="00FE289C">
      <w:pPr>
        <w:pStyle w:val="a9"/>
        <w:rPr>
          <w:kern w:val="2"/>
          <w:lang w:val="ru-RU"/>
        </w:rPr>
      </w:pPr>
      <w:r w:rsidRPr="00FE289C">
        <w:rPr>
          <w:kern w:val="2"/>
          <w:lang w:val="ru-RU"/>
        </w:rPr>
        <w:t>Препарат вводять підшкірно.</w:t>
      </w:r>
    </w:p>
    <w:p w14:paraId="2E5C6BA3" w14:textId="77777777" w:rsidR="00FE289C" w:rsidRPr="00FE289C" w:rsidRDefault="00FE289C" w:rsidP="00FE289C">
      <w:pPr>
        <w:pStyle w:val="a9"/>
        <w:rPr>
          <w:kern w:val="2"/>
        </w:rPr>
      </w:pPr>
      <w:r w:rsidRPr="00FE289C">
        <w:rPr>
          <w:kern w:val="2"/>
        </w:rPr>
        <w:lastRenderedPageBreak/>
        <w:t>Перед введенням препарат необхідно нагріти до кімнатної температури (залишити при кімнатній температурі приблизно на 15</w:t>
      </w:r>
      <w:r w:rsidRPr="00FE289C">
        <w:rPr>
          <w:kern w:val="2"/>
          <w:lang w:val="ru-RU"/>
        </w:rPr>
        <w:t>–</w:t>
      </w:r>
      <w:r w:rsidRPr="00FE289C">
        <w:rPr>
          <w:kern w:val="2"/>
        </w:rPr>
        <w:t xml:space="preserve">30 хвилин). Не можна нагрівати препарат будь-яким іншим способом. Ковпачок не слід знімати, поки попередньо наповнений шприц (ручка) не нагріється до кімнатної температури. </w:t>
      </w:r>
    </w:p>
    <w:p w14:paraId="2A9A1113" w14:textId="77777777" w:rsidR="00FE289C" w:rsidRPr="00FE289C" w:rsidRDefault="00FE289C" w:rsidP="00FE289C">
      <w:pPr>
        <w:pStyle w:val="a9"/>
        <w:rPr>
          <w:kern w:val="2"/>
        </w:rPr>
      </w:pPr>
      <w:r w:rsidRPr="00FE289C">
        <w:rPr>
          <w:kern w:val="2"/>
        </w:rPr>
        <w:t>Розчин має бути прозорим або дещо опалесцентним, безбарвним або блідо-жовтим та може містити невеликі напівпрозорі або білі частки білка.</w:t>
      </w:r>
    </w:p>
    <w:p w14:paraId="738DDCF7" w14:textId="77777777" w:rsidR="00FE289C" w:rsidRPr="00FE289C" w:rsidRDefault="00FE289C" w:rsidP="00FE289C">
      <w:pPr>
        <w:pStyle w:val="a9"/>
        <w:rPr>
          <w:kern w:val="2"/>
        </w:rPr>
      </w:pPr>
      <w:r w:rsidRPr="00FE289C">
        <w:rPr>
          <w:bCs/>
          <w:kern w:val="2"/>
        </w:rPr>
        <w:t xml:space="preserve">Рекомендоване місце </w:t>
      </w:r>
      <w:r w:rsidRPr="00FE289C">
        <w:rPr>
          <w:kern w:val="2"/>
        </w:rPr>
        <w:t>ін</w:t>
      </w:r>
      <w:r w:rsidRPr="00FE289C">
        <w:rPr>
          <w:kern w:val="2"/>
          <w:lang w:val="ru-RU"/>
        </w:rPr>
        <w:t>’</w:t>
      </w:r>
      <w:r w:rsidRPr="00FE289C">
        <w:rPr>
          <w:kern w:val="2"/>
        </w:rPr>
        <w:t xml:space="preserve">єкції </w:t>
      </w:r>
      <w:r w:rsidRPr="00FE289C">
        <w:rPr>
          <w:kern w:val="2"/>
          <w:lang w:val="ru-RU"/>
        </w:rPr>
        <w:t>–</w:t>
      </w:r>
      <w:r w:rsidRPr="00FE289C">
        <w:rPr>
          <w:kern w:val="2"/>
        </w:rPr>
        <w:t xml:space="preserve"> середина передньої поверхні стегна</w:t>
      </w:r>
      <w:r w:rsidRPr="00FE289C">
        <w:rPr>
          <w:kern w:val="2"/>
          <w:lang w:val="ru-RU"/>
        </w:rPr>
        <w:t>.</w:t>
      </w:r>
      <w:r w:rsidRPr="00FE289C">
        <w:rPr>
          <w:kern w:val="2"/>
        </w:rPr>
        <w:t xml:space="preserve"> </w:t>
      </w:r>
      <w:r w:rsidRPr="00FE289C">
        <w:rPr>
          <w:kern w:val="2"/>
          <w:lang w:val="ru-RU"/>
        </w:rPr>
        <w:t>А</w:t>
      </w:r>
      <w:r w:rsidRPr="00FE289C">
        <w:rPr>
          <w:kern w:val="2"/>
        </w:rPr>
        <w:t>льтернатив</w:t>
      </w:r>
      <w:r w:rsidRPr="00FE289C">
        <w:rPr>
          <w:kern w:val="2"/>
          <w:lang w:val="ru-RU"/>
        </w:rPr>
        <w:t>но препарат можна вводити в</w:t>
      </w:r>
      <w:r w:rsidRPr="00FE289C">
        <w:rPr>
          <w:kern w:val="2"/>
        </w:rPr>
        <w:t xml:space="preserve"> ділянку живота, але не ближче 5 см від пупка, </w:t>
      </w:r>
      <w:r w:rsidRPr="00FE289C">
        <w:rPr>
          <w:kern w:val="2"/>
          <w:lang w:val="ru-RU"/>
        </w:rPr>
        <w:t>або в</w:t>
      </w:r>
      <w:r w:rsidRPr="00FE289C">
        <w:rPr>
          <w:kern w:val="2"/>
        </w:rPr>
        <w:t xml:space="preserve"> зовнішн</w:t>
      </w:r>
      <w:r w:rsidRPr="00FE289C">
        <w:rPr>
          <w:kern w:val="2"/>
          <w:lang w:val="ru-RU"/>
        </w:rPr>
        <w:t>ю</w:t>
      </w:r>
      <w:r w:rsidRPr="00FE289C">
        <w:rPr>
          <w:kern w:val="2"/>
        </w:rPr>
        <w:t xml:space="preserve"> поверхн</w:t>
      </w:r>
      <w:r w:rsidRPr="00FE289C">
        <w:rPr>
          <w:kern w:val="2"/>
          <w:lang w:val="ru-RU"/>
        </w:rPr>
        <w:t>ю</w:t>
      </w:r>
      <w:r w:rsidRPr="00FE289C">
        <w:rPr>
          <w:kern w:val="2"/>
        </w:rPr>
        <w:t xml:space="preserve"> плеча. Ін’єкцію виконують на відстані не менше 3 см від попереднього місця ін’єкції. Не слід вводити препарат в ушкоджене місце. Необхідно уникати введення препарату </w:t>
      </w:r>
      <w:r w:rsidRPr="00FE289C">
        <w:rPr>
          <w:iCs/>
          <w:kern w:val="2"/>
        </w:rPr>
        <w:t>Енбрел</w:t>
      </w:r>
      <w:r w:rsidRPr="00FE289C">
        <w:rPr>
          <w:iCs/>
          <w:kern w:val="2"/>
          <w:vertAlign w:val="superscript"/>
        </w:rPr>
        <w:t>®</w:t>
      </w:r>
      <w:r w:rsidRPr="00FE289C">
        <w:rPr>
          <w:kern w:val="2"/>
        </w:rPr>
        <w:t xml:space="preserve"> у шрами, розтяжки та ділянки шкіри, уражені псоріазом. При необхідності виконання такої ін’єкції не слід вводити препарат в потовщену, червону, покриту лусочками шкіру.</w:t>
      </w:r>
    </w:p>
    <w:p w14:paraId="2462F27B" w14:textId="77777777" w:rsidR="00FE289C" w:rsidRPr="00FE289C" w:rsidRDefault="00FE289C" w:rsidP="00FE289C">
      <w:pPr>
        <w:pStyle w:val="a9"/>
        <w:rPr>
          <w:kern w:val="2"/>
        </w:rPr>
      </w:pPr>
      <w:r w:rsidRPr="00FE289C">
        <w:rPr>
          <w:kern w:val="2"/>
        </w:rPr>
        <w:t>Попередньо заповнений шприц призначений тільки для одноразового використання. Шприц і голка ніколи не повинні бути використані повторно. Ніколи не одягайте голку вдруге.</w:t>
      </w:r>
    </w:p>
    <w:p w14:paraId="02FD312E" w14:textId="77777777" w:rsidR="00FE289C" w:rsidRPr="00FE289C" w:rsidRDefault="00FE289C" w:rsidP="00FE289C">
      <w:pPr>
        <w:pStyle w:val="a9"/>
        <w:rPr>
          <w:kern w:val="2"/>
        </w:rPr>
      </w:pPr>
      <w:r w:rsidRPr="00FE289C">
        <w:rPr>
          <w:kern w:val="2"/>
        </w:rPr>
        <w:t xml:space="preserve">Для введення препарату в попередньо наповненій ручці спочатку необхідно зняти білий ковпачок з голки, потягнувши за нього. Для уникнення пошкодження голки не можна згинати та повторно одягати цей ковпачок. Після видалення ковпачка з голки на кінці ручки буде видно фіолетову захисну насадку. Голка залишиться захищеною, поки ручка не буде активована. Не можна застосовувати ручку, якщо вона впала після зняття ковпачка. Для зручності злегка стисніть шкіру навколо місця ін’єкції між великим і вказівним пальцем вільної руки. Тримайте ручку під прямим кутом (90°) до місця ін’єкції. </w:t>
      </w:r>
      <w:r w:rsidRPr="00FE289C">
        <w:rPr>
          <w:b/>
          <w:kern w:val="2"/>
        </w:rPr>
        <w:t>Щільно притисніть ручку до шкіри</w:t>
      </w:r>
      <w:r w:rsidRPr="00FE289C">
        <w:rPr>
          <w:kern w:val="2"/>
        </w:rPr>
        <w:t>, щоб захисна насадка голки повністю ввійшла в середину ручки. На поверхні шкіри буде помітне невелике поглиблення. Ручка може бути активована лише тоді, коли захисна насадка голки повністю ввійде в середину ручки.</w:t>
      </w:r>
    </w:p>
    <w:p w14:paraId="465452AE" w14:textId="77777777" w:rsidR="00FE289C" w:rsidRPr="00FE289C" w:rsidRDefault="00FE289C" w:rsidP="00FE289C">
      <w:pPr>
        <w:pStyle w:val="a9"/>
        <w:rPr>
          <w:kern w:val="2"/>
        </w:rPr>
      </w:pPr>
      <w:r w:rsidRPr="00FE289C">
        <w:rPr>
          <w:kern w:val="2"/>
        </w:rPr>
        <w:t>Для початку ін’єкції необхідно</w:t>
      </w:r>
      <w:r w:rsidRPr="00FE289C">
        <w:rPr>
          <w:b/>
          <w:kern w:val="2"/>
        </w:rPr>
        <w:t xml:space="preserve"> натиснути </w:t>
      </w:r>
      <w:r w:rsidRPr="00FE289C">
        <w:rPr>
          <w:kern w:val="2"/>
        </w:rPr>
        <w:t>великим пальцем</w:t>
      </w:r>
      <w:r w:rsidRPr="00FE289C">
        <w:rPr>
          <w:b/>
          <w:kern w:val="2"/>
        </w:rPr>
        <w:t xml:space="preserve"> центр зеленої кнопки</w:t>
      </w:r>
      <w:r w:rsidRPr="00FE289C">
        <w:rPr>
          <w:kern w:val="2"/>
        </w:rPr>
        <w:t xml:space="preserve"> зверху ручки. При натисканні на центр кнопки буде чутно клацання. Необхідно </w:t>
      </w:r>
      <w:r w:rsidRPr="00FE289C">
        <w:rPr>
          <w:b/>
          <w:kern w:val="2"/>
        </w:rPr>
        <w:t>продовжувати утримувати ручку щільно притиснутою до шкіри до другого клацання</w:t>
      </w:r>
      <w:r w:rsidRPr="00FE289C">
        <w:rPr>
          <w:kern w:val="2"/>
        </w:rPr>
        <w:t xml:space="preserve"> або протягом 10 секунд після першого (залежно від того, що трапиться першим).</w:t>
      </w:r>
    </w:p>
    <w:p w14:paraId="2BF4B40F" w14:textId="77777777" w:rsidR="00FE289C" w:rsidRPr="00FE289C" w:rsidRDefault="00FE289C" w:rsidP="00FE289C">
      <w:pPr>
        <w:pStyle w:val="a9"/>
        <w:rPr>
          <w:kern w:val="2"/>
        </w:rPr>
      </w:pPr>
      <w:r w:rsidRPr="00FE289C">
        <w:rPr>
          <w:kern w:val="2"/>
        </w:rPr>
        <w:t xml:space="preserve">Після другого клацання або через 10 секунд ін’єкція буде закінчена. Можна витягнути голку ручки зі шкіри. Як тільки ручка перестане тиснути на шкіру, фіолетова захисна насадка автоматично закриє голку. </w:t>
      </w:r>
    </w:p>
    <w:p w14:paraId="65AC5B92" w14:textId="77777777" w:rsidR="00FE289C" w:rsidRPr="00FE289C" w:rsidRDefault="00FE289C" w:rsidP="00FE289C">
      <w:pPr>
        <w:pStyle w:val="a9"/>
        <w:rPr>
          <w:kern w:val="2"/>
        </w:rPr>
      </w:pPr>
      <w:r w:rsidRPr="00FE289C">
        <w:rPr>
          <w:kern w:val="2"/>
        </w:rPr>
        <w:t xml:space="preserve">Після завершення ін’єкції оглядове вікно ручки повинно бути повністю фіолетовим, що підтверджує правильне введення дози. Якщо частина оглядового вікна не фіолетова, препарат був введений не повністю. У цьому випадку необхідно звернутись до медичної сестри або лікаря по допомогу. Не намагайтеся знову використати цю або іншу ручку без узгодження з вашим лікарем. </w:t>
      </w:r>
    </w:p>
    <w:p w14:paraId="2041CBC1" w14:textId="77777777" w:rsidR="00FE289C" w:rsidRPr="00FE289C" w:rsidRDefault="00FE289C" w:rsidP="00FE289C">
      <w:pPr>
        <w:pStyle w:val="a9"/>
        <w:rPr>
          <w:kern w:val="2"/>
        </w:rPr>
      </w:pPr>
      <w:r w:rsidRPr="00FE289C">
        <w:rPr>
          <w:kern w:val="2"/>
        </w:rPr>
        <w:t xml:space="preserve">Ручка призначена для одноразового використання. Ручку не слід використовувати повторно. </w:t>
      </w:r>
    </w:p>
    <w:p w14:paraId="17326B2E" w14:textId="77777777" w:rsidR="00FE289C" w:rsidRPr="00FE289C" w:rsidRDefault="00FE289C" w:rsidP="00FE289C">
      <w:pPr>
        <w:pStyle w:val="a9"/>
        <w:rPr>
          <w:i/>
          <w:kern w:val="2"/>
        </w:rPr>
      </w:pPr>
    </w:p>
    <w:p w14:paraId="044682CE" w14:textId="77777777" w:rsidR="00FE289C" w:rsidRPr="00FE289C" w:rsidRDefault="00FE289C" w:rsidP="00FE289C">
      <w:pPr>
        <w:pStyle w:val="a9"/>
        <w:rPr>
          <w:b/>
          <w:i/>
          <w:kern w:val="2"/>
        </w:rPr>
      </w:pPr>
      <w:r w:rsidRPr="00FE289C">
        <w:rPr>
          <w:b/>
          <w:i/>
          <w:kern w:val="2"/>
        </w:rPr>
        <w:t>Діти.</w:t>
      </w:r>
    </w:p>
    <w:p w14:paraId="2014CA11" w14:textId="77777777" w:rsidR="00FE289C" w:rsidRPr="00FE289C" w:rsidRDefault="00FE289C" w:rsidP="00FE289C">
      <w:pPr>
        <w:pStyle w:val="a9"/>
        <w:rPr>
          <w:kern w:val="2"/>
        </w:rPr>
      </w:pPr>
      <w:r w:rsidRPr="00FE289C">
        <w:rPr>
          <w:kern w:val="2"/>
        </w:rPr>
        <w:t>Препарат застосовують для лікування ювенільного ідіопатичного артриту в дітей віком від 2 років, для лікування бляшкового псоріазу – в дітей віком від 6 років.</w:t>
      </w:r>
    </w:p>
    <w:p w14:paraId="5898AE9D" w14:textId="77777777" w:rsidR="00FE289C" w:rsidRPr="00FE289C" w:rsidRDefault="00FE289C" w:rsidP="00FE289C">
      <w:pPr>
        <w:pStyle w:val="a9"/>
        <w:rPr>
          <w:kern w:val="2"/>
        </w:rPr>
      </w:pPr>
      <w:r w:rsidRPr="00FE289C">
        <w:rPr>
          <w:kern w:val="2"/>
        </w:rPr>
        <w:lastRenderedPageBreak/>
        <w:t>Застосування препарату Енбрел</w:t>
      </w:r>
      <w:r w:rsidRPr="00FE289C">
        <w:rPr>
          <w:kern w:val="2"/>
          <w:vertAlign w:val="superscript"/>
        </w:rPr>
        <w:t>®</w:t>
      </w:r>
      <w:r w:rsidRPr="00FE289C">
        <w:rPr>
          <w:kern w:val="2"/>
        </w:rPr>
        <w:t xml:space="preserve"> дітям віком до 2 років не досліджувалось.</w:t>
      </w:r>
    </w:p>
    <w:p w14:paraId="746F9EF7" w14:textId="77777777" w:rsidR="00FE289C" w:rsidRPr="00FE289C" w:rsidRDefault="00FE289C" w:rsidP="00FE289C">
      <w:pPr>
        <w:pStyle w:val="a9"/>
        <w:rPr>
          <w:kern w:val="2"/>
        </w:rPr>
      </w:pPr>
    </w:p>
    <w:p w14:paraId="79325314" w14:textId="77777777" w:rsidR="00FE289C" w:rsidRPr="00FE289C" w:rsidRDefault="00FE289C" w:rsidP="00FE289C">
      <w:pPr>
        <w:pStyle w:val="a9"/>
        <w:rPr>
          <w:b/>
          <w:bCs/>
          <w:i/>
          <w:iCs/>
          <w:kern w:val="2"/>
        </w:rPr>
      </w:pPr>
      <w:r w:rsidRPr="00FE289C">
        <w:rPr>
          <w:b/>
          <w:bCs/>
          <w:i/>
          <w:iCs/>
          <w:kern w:val="2"/>
        </w:rPr>
        <w:t>Передозування.</w:t>
      </w:r>
    </w:p>
    <w:p w14:paraId="1AAA0EF1" w14:textId="77777777" w:rsidR="00FE289C" w:rsidRPr="00FE289C" w:rsidRDefault="00FE289C" w:rsidP="00FE289C">
      <w:pPr>
        <w:pStyle w:val="a9"/>
        <w:rPr>
          <w:kern w:val="2"/>
        </w:rPr>
      </w:pPr>
      <w:r w:rsidRPr="00FE289C">
        <w:rPr>
          <w:kern w:val="2"/>
        </w:rPr>
        <w:t>Під час проведення клінічних випробувань із залученням пацієнтів з ревматоїдним артритом не було зареєстровано жодних токсичних явищ, які б вимагали обмеження дози. Найвищою дозою серед тих, що оцінювалися, була доза навантаження 32 мг/м</w:t>
      </w:r>
      <w:r w:rsidRPr="00FE289C">
        <w:rPr>
          <w:kern w:val="2"/>
          <w:vertAlign w:val="superscript"/>
        </w:rPr>
        <w:t xml:space="preserve">2 </w:t>
      </w:r>
      <w:r w:rsidRPr="00FE289C">
        <w:rPr>
          <w:kern w:val="2"/>
        </w:rPr>
        <w:t>(внутрішньовенно), з подальшим введенням 16 мг/м</w:t>
      </w:r>
      <w:r w:rsidRPr="00FE289C">
        <w:rPr>
          <w:kern w:val="2"/>
          <w:vertAlign w:val="superscript"/>
        </w:rPr>
        <w:t>2</w:t>
      </w:r>
      <w:r w:rsidRPr="00FE289C">
        <w:rPr>
          <w:kern w:val="2"/>
        </w:rPr>
        <w:t xml:space="preserve"> (підшкірно) 2 рази на тиждень. Один пацієнт з ревматоїдним артритом помилково самостійно вводив по 62 мг препарату Енбрел</w:t>
      </w:r>
      <w:r w:rsidRPr="00FE289C">
        <w:rPr>
          <w:kern w:val="2"/>
          <w:vertAlign w:val="superscript"/>
        </w:rPr>
        <w:t>®</w:t>
      </w:r>
      <w:r w:rsidRPr="00FE289C">
        <w:rPr>
          <w:kern w:val="2"/>
        </w:rPr>
        <w:t xml:space="preserve"> підшкірно два рази на тиждень протягом 3 тижнів, при цьому жодних побічних ефектів у нього не виникло. Специфічний антидот для препарату Енбрел</w:t>
      </w:r>
      <w:r w:rsidRPr="00FE289C">
        <w:rPr>
          <w:kern w:val="2"/>
          <w:vertAlign w:val="superscript"/>
        </w:rPr>
        <w:t>®</w:t>
      </w:r>
      <w:r w:rsidRPr="00FE289C">
        <w:rPr>
          <w:kern w:val="2"/>
        </w:rPr>
        <w:t xml:space="preserve"> невідомий.</w:t>
      </w:r>
    </w:p>
    <w:p w14:paraId="090C03F4" w14:textId="77777777" w:rsidR="00FE289C" w:rsidRPr="00FE289C" w:rsidRDefault="00FE289C" w:rsidP="00FE289C">
      <w:pPr>
        <w:pStyle w:val="a9"/>
        <w:rPr>
          <w:b/>
          <w:bCs/>
          <w:i/>
          <w:iCs/>
          <w:kern w:val="2"/>
        </w:rPr>
      </w:pPr>
    </w:p>
    <w:p w14:paraId="2D00574C" w14:textId="77777777" w:rsidR="00FE289C" w:rsidRPr="00FE289C" w:rsidRDefault="00FE289C" w:rsidP="00FE289C">
      <w:pPr>
        <w:pStyle w:val="a9"/>
        <w:rPr>
          <w:kern w:val="2"/>
        </w:rPr>
      </w:pPr>
      <w:r w:rsidRPr="00FE289C">
        <w:rPr>
          <w:b/>
          <w:bCs/>
          <w:i/>
          <w:iCs/>
          <w:kern w:val="2"/>
        </w:rPr>
        <w:t>Побічні реакції.</w:t>
      </w:r>
      <w:r w:rsidRPr="00FE289C">
        <w:rPr>
          <w:kern w:val="2"/>
        </w:rPr>
        <w:t xml:space="preserve"> </w:t>
      </w:r>
    </w:p>
    <w:p w14:paraId="0121C62C" w14:textId="77777777" w:rsidR="00FE289C" w:rsidRPr="00FE289C" w:rsidRDefault="00FE289C" w:rsidP="00FE289C">
      <w:pPr>
        <w:pStyle w:val="a9"/>
        <w:rPr>
          <w:kern w:val="2"/>
        </w:rPr>
      </w:pPr>
      <w:r w:rsidRPr="00FE289C">
        <w:rPr>
          <w:kern w:val="2"/>
        </w:rPr>
        <w:t>Найчастіше повідомлялося про розвиток побічних реакцій у вигляді реакцій у місці введення (такі як кровотеча у місці проколювання, почервоніння, свербіж, набряк, біль), інфекцій (таких як інфекції верхніх дихальних шляхів, бронхіт, інфекції шкіри, інфекції сечового міхура), алергічних реакцій, свербежу, лихоманки та утворення антитіл.</w:t>
      </w:r>
    </w:p>
    <w:p w14:paraId="07BC2502" w14:textId="77777777" w:rsidR="00FE289C" w:rsidRPr="00FE289C" w:rsidRDefault="00FE289C" w:rsidP="00FE289C">
      <w:pPr>
        <w:pStyle w:val="a9"/>
        <w:rPr>
          <w:kern w:val="2"/>
        </w:rPr>
      </w:pPr>
      <w:r w:rsidRPr="00FE289C">
        <w:rPr>
          <w:kern w:val="2"/>
        </w:rPr>
        <w:t>Також повідомлялося про виникнення тяжких побічних реакцій. Антагоністи фактора некрозу пухлин (ФНП), такі як Енбрел</w:t>
      </w:r>
      <w:r w:rsidRPr="00FE289C">
        <w:rPr>
          <w:kern w:val="2"/>
          <w:vertAlign w:val="superscript"/>
        </w:rPr>
        <w:t>®</w:t>
      </w:r>
      <w:r w:rsidRPr="00FE289C">
        <w:rPr>
          <w:kern w:val="2"/>
        </w:rPr>
        <w:t>, впливають на імунну систему, і їх застосування може впливати на імунний захист проти інфекцій та злоякісних пухлин. Тяжкі інфекції на фоні застосування препарату Енбрел</w:t>
      </w:r>
      <w:r w:rsidRPr="00FE289C">
        <w:rPr>
          <w:kern w:val="2"/>
          <w:vertAlign w:val="superscript"/>
        </w:rPr>
        <w:t>®</w:t>
      </w:r>
      <w:r w:rsidRPr="00FE289C">
        <w:rPr>
          <w:kern w:val="2"/>
        </w:rPr>
        <w:t xml:space="preserve"> виникали менше ніж в 1 пацієнта зі 100. Звіти включали повідомлення про виникнення сепсису, летальних інфекцій та інфекцій, що загрожують життю. При застосуванні препарату Енбрел</w:t>
      </w:r>
      <w:r w:rsidRPr="00FE289C">
        <w:rPr>
          <w:kern w:val="2"/>
          <w:vertAlign w:val="superscript"/>
        </w:rPr>
        <w:t>®</w:t>
      </w:r>
      <w:r w:rsidRPr="00FE289C">
        <w:rPr>
          <w:kern w:val="2"/>
        </w:rPr>
        <w:t xml:space="preserve"> повідомлялося про виникнення різних злоякісних пухлин, включаючи злоякісні пухлини грудної залози, легень, шкіри, лімфатичних вузлів (лімфома).</w:t>
      </w:r>
    </w:p>
    <w:p w14:paraId="57E478D8" w14:textId="77777777" w:rsidR="00FE289C" w:rsidRPr="00FE289C" w:rsidRDefault="00FE289C" w:rsidP="00FE289C">
      <w:pPr>
        <w:pStyle w:val="a9"/>
        <w:rPr>
          <w:kern w:val="2"/>
          <w:lang w:val="ru-RU"/>
        </w:rPr>
      </w:pPr>
      <w:r w:rsidRPr="00FE289C">
        <w:rPr>
          <w:kern w:val="2"/>
        </w:rPr>
        <w:t>Повідомлялося про розвиток тяжких гематологічних, неврологічних та аутоімунних реакцій, включаючи панцитопенію (рідко) та апластичну анемію (дуже рідко). При застосуванні препарату Енбрел</w:t>
      </w:r>
      <w:r w:rsidRPr="00FE289C">
        <w:rPr>
          <w:kern w:val="2"/>
          <w:vertAlign w:val="superscript"/>
        </w:rPr>
        <w:t>®</w:t>
      </w:r>
      <w:r w:rsidRPr="00FE289C">
        <w:rPr>
          <w:kern w:val="2"/>
        </w:rPr>
        <w:t xml:space="preserve"> повідомлялося про випадки центральної та периферичної демієлінізації (рідко та дуже рідко відповідно). Існують повідомлення про розвиток вовчака, патологічних станів, пов’язаних з вовчаком, васкуліту. </w:t>
      </w:r>
    </w:p>
    <w:p w14:paraId="72FCE7DF" w14:textId="77777777" w:rsidR="00FE289C" w:rsidRPr="00FE289C" w:rsidRDefault="00FE289C" w:rsidP="00FE289C">
      <w:pPr>
        <w:pStyle w:val="a9"/>
        <w:rPr>
          <w:kern w:val="2"/>
        </w:rPr>
      </w:pPr>
      <w:r w:rsidRPr="00FE289C">
        <w:rPr>
          <w:kern w:val="2"/>
        </w:rPr>
        <w:t>Наведений нижче перелік побічних реакцій ґрунтується на результатах клінічних випробувань за участю дорослих, а також на даних післяреєстраційного нагляду.</w:t>
      </w:r>
    </w:p>
    <w:p w14:paraId="6B583FBC" w14:textId="77777777" w:rsidR="00FE289C" w:rsidRPr="00FE289C" w:rsidRDefault="00FE289C" w:rsidP="00FE289C">
      <w:pPr>
        <w:pStyle w:val="a9"/>
        <w:rPr>
          <w:kern w:val="2"/>
        </w:rPr>
      </w:pPr>
      <w:r w:rsidRPr="00FE289C">
        <w:rPr>
          <w:kern w:val="2"/>
        </w:rPr>
        <w:t>У кожному класі органів та систем побічні реакції наведено відповідно до частоти їх виникнення (кількості пацієнтів, у яких очікується розвиток цієї реакції), згідно із наступними категоріями: дуже часто (≥ 1/10); часто (від ≥ 1/100 до &lt; 1/10); нечасто (від ≥1/1000 до &lt; 1/100); рідко (від ≥ 1/10 000 до &lt; 1/1000); дуже рідко (&lt; 1/10 000), невідомо (не можна розрахувати за наявними даними).</w:t>
      </w:r>
    </w:p>
    <w:p w14:paraId="3391F487" w14:textId="77777777" w:rsidR="00FE289C" w:rsidRPr="00FE289C" w:rsidRDefault="00FE289C" w:rsidP="00FE289C">
      <w:pPr>
        <w:pStyle w:val="a9"/>
        <w:rPr>
          <w:i/>
          <w:kern w:val="2"/>
        </w:rPr>
      </w:pPr>
      <w:r w:rsidRPr="00FE289C">
        <w:rPr>
          <w:i/>
          <w:kern w:val="2"/>
        </w:rPr>
        <w:t>Інфекції та інвазії.</w:t>
      </w:r>
    </w:p>
    <w:p w14:paraId="015EA1CF" w14:textId="6AE898BC" w:rsidR="00FE289C" w:rsidRPr="00FE289C" w:rsidRDefault="00407401" w:rsidP="00FE289C">
      <w:pPr>
        <w:pStyle w:val="a9"/>
        <w:rPr>
          <w:kern w:val="2"/>
        </w:rPr>
      </w:pPr>
      <w:r>
        <w:rPr>
          <w:kern w:val="2"/>
        </w:rPr>
        <w:t xml:space="preserve">Дуже часто: </w:t>
      </w:r>
      <w:r w:rsidR="00FE289C" w:rsidRPr="00FE289C">
        <w:rPr>
          <w:kern w:val="2"/>
        </w:rPr>
        <w:t>інфекції (включаючи інфекції верхніх дихальних шляхів, бронхіт, цистит, шкірні інфекції)*;</w:t>
      </w:r>
    </w:p>
    <w:p w14:paraId="26722F9C" w14:textId="77777777" w:rsidR="00FE289C" w:rsidRPr="00FE289C" w:rsidRDefault="00FE289C" w:rsidP="00FE289C">
      <w:pPr>
        <w:pStyle w:val="a9"/>
        <w:rPr>
          <w:kern w:val="2"/>
        </w:rPr>
      </w:pPr>
      <w:r w:rsidRPr="00FE289C">
        <w:rPr>
          <w:kern w:val="2"/>
        </w:rPr>
        <w:t>нечасто:</w:t>
      </w:r>
      <w:r w:rsidRPr="00FE289C">
        <w:rPr>
          <w:kern w:val="2"/>
        </w:rPr>
        <w:tab/>
        <w:t>тяжкі інфекції (включаючи пневмонію, целюліт, септичний артрит, сепсис, паразитарні інфекції)*;</w:t>
      </w:r>
    </w:p>
    <w:p w14:paraId="05992A00" w14:textId="77777777" w:rsidR="00FE289C" w:rsidRPr="00FE289C" w:rsidRDefault="00FE289C" w:rsidP="00FE289C">
      <w:pPr>
        <w:pStyle w:val="a9"/>
        <w:rPr>
          <w:kern w:val="2"/>
        </w:rPr>
      </w:pPr>
      <w:r w:rsidRPr="00FE289C">
        <w:rPr>
          <w:kern w:val="2"/>
        </w:rPr>
        <w:t>рідко:</w:t>
      </w:r>
      <w:r w:rsidRPr="00FE289C">
        <w:rPr>
          <w:kern w:val="2"/>
        </w:rPr>
        <w:tab/>
        <w:t xml:space="preserve">туберкульоз, опортуністичні інфекції (включаючи інвазивні грибкові, протозойні, бактеріальні та атипові мікобактеріальні інфекції та інфекції, викликані </w:t>
      </w:r>
      <w:r w:rsidRPr="00FE289C">
        <w:rPr>
          <w:i/>
          <w:kern w:val="2"/>
        </w:rPr>
        <w:t>Legionella</w:t>
      </w:r>
      <w:r w:rsidRPr="00FE289C">
        <w:rPr>
          <w:kern w:val="2"/>
        </w:rPr>
        <w:t>)*;</w:t>
      </w:r>
    </w:p>
    <w:p w14:paraId="5FECF510" w14:textId="6E4E3C8A" w:rsidR="00FE289C" w:rsidRPr="00FE289C" w:rsidRDefault="00407401" w:rsidP="00FE289C">
      <w:pPr>
        <w:pStyle w:val="a9"/>
        <w:rPr>
          <w:kern w:val="2"/>
        </w:rPr>
      </w:pPr>
      <w:r>
        <w:rPr>
          <w:kern w:val="2"/>
        </w:rPr>
        <w:t xml:space="preserve">невідомо: </w:t>
      </w:r>
      <w:r w:rsidR="00FE289C" w:rsidRPr="00FE289C">
        <w:rPr>
          <w:i/>
          <w:kern w:val="2"/>
        </w:rPr>
        <w:t>Listeria</w:t>
      </w:r>
      <w:r w:rsidR="00FE289C" w:rsidRPr="00FE289C">
        <w:rPr>
          <w:kern w:val="2"/>
        </w:rPr>
        <w:t>, реактивація гепатиту В.</w:t>
      </w:r>
    </w:p>
    <w:p w14:paraId="20824BB5" w14:textId="77777777" w:rsidR="00FE289C" w:rsidRPr="00FE289C" w:rsidRDefault="00FE289C" w:rsidP="00FE289C">
      <w:pPr>
        <w:pStyle w:val="a9"/>
        <w:rPr>
          <w:i/>
          <w:kern w:val="2"/>
        </w:rPr>
      </w:pPr>
      <w:r w:rsidRPr="00FE289C">
        <w:rPr>
          <w:i/>
          <w:kern w:val="2"/>
        </w:rPr>
        <w:lastRenderedPageBreak/>
        <w:t>Порушення з боку крові та лімфатичної системи.</w:t>
      </w:r>
    </w:p>
    <w:p w14:paraId="419F154D" w14:textId="7F7BE456" w:rsidR="00FE289C" w:rsidRPr="00FE289C" w:rsidRDefault="00407401" w:rsidP="00FE289C">
      <w:pPr>
        <w:pStyle w:val="a9"/>
        <w:rPr>
          <w:kern w:val="2"/>
        </w:rPr>
      </w:pPr>
      <w:r>
        <w:rPr>
          <w:kern w:val="2"/>
        </w:rPr>
        <w:t xml:space="preserve">Нечасто:  </w:t>
      </w:r>
      <w:r w:rsidR="00FE289C" w:rsidRPr="00FE289C">
        <w:rPr>
          <w:kern w:val="2"/>
        </w:rPr>
        <w:t>тромбоцитопенія;</w:t>
      </w:r>
    </w:p>
    <w:p w14:paraId="0F010DCE" w14:textId="1B5530C4" w:rsidR="00FE289C" w:rsidRPr="00FE289C" w:rsidRDefault="00407401" w:rsidP="00FE289C">
      <w:pPr>
        <w:pStyle w:val="a9"/>
        <w:rPr>
          <w:kern w:val="2"/>
        </w:rPr>
      </w:pPr>
      <w:r>
        <w:rPr>
          <w:kern w:val="2"/>
        </w:rPr>
        <w:t>рідко:</w:t>
      </w:r>
      <w:r>
        <w:rPr>
          <w:kern w:val="2"/>
        </w:rPr>
        <w:tab/>
      </w:r>
      <w:r w:rsidR="00FE289C" w:rsidRPr="00FE289C">
        <w:rPr>
          <w:kern w:val="2"/>
        </w:rPr>
        <w:t>анемія, лейкопенія, нейтропенія, панцитопенія*;</w:t>
      </w:r>
    </w:p>
    <w:p w14:paraId="367B61B7" w14:textId="64AFE4E3" w:rsidR="00FE289C" w:rsidRPr="00FE289C" w:rsidRDefault="00407401" w:rsidP="00FE289C">
      <w:pPr>
        <w:pStyle w:val="a9"/>
        <w:rPr>
          <w:kern w:val="2"/>
        </w:rPr>
      </w:pPr>
      <w:r>
        <w:rPr>
          <w:kern w:val="2"/>
        </w:rPr>
        <w:t>дуже рідко:</w:t>
      </w:r>
      <w:r>
        <w:rPr>
          <w:kern w:val="2"/>
        </w:rPr>
        <w:tab/>
      </w:r>
      <w:r w:rsidR="00FE289C" w:rsidRPr="00FE289C">
        <w:rPr>
          <w:kern w:val="2"/>
        </w:rPr>
        <w:t>апластична анемія*.</w:t>
      </w:r>
    </w:p>
    <w:p w14:paraId="36608711" w14:textId="77777777" w:rsidR="00FE289C" w:rsidRPr="00FE289C" w:rsidRDefault="00FE289C" w:rsidP="00FE289C">
      <w:pPr>
        <w:pStyle w:val="a9"/>
        <w:rPr>
          <w:i/>
          <w:kern w:val="2"/>
        </w:rPr>
      </w:pPr>
      <w:r w:rsidRPr="00FE289C">
        <w:rPr>
          <w:i/>
          <w:kern w:val="2"/>
        </w:rPr>
        <w:t xml:space="preserve">Доброякісні, злоякісні та неспецифічні новоутворення (включаючи кісти та поліпи). </w:t>
      </w:r>
    </w:p>
    <w:p w14:paraId="302A6BFF" w14:textId="77777777" w:rsidR="00FE289C" w:rsidRPr="00FE289C" w:rsidRDefault="00FE289C" w:rsidP="00FE289C">
      <w:pPr>
        <w:pStyle w:val="a9"/>
        <w:rPr>
          <w:kern w:val="2"/>
        </w:rPr>
      </w:pPr>
      <w:r w:rsidRPr="00FE289C">
        <w:rPr>
          <w:kern w:val="2"/>
        </w:rPr>
        <w:t xml:space="preserve">Нечасто: </w:t>
      </w:r>
      <w:r w:rsidRPr="00FE289C">
        <w:rPr>
          <w:kern w:val="2"/>
        </w:rPr>
        <w:tab/>
        <w:t>немеланомні злоякісні пухлини шкіри (див. розділ «Особливості застосування»);</w:t>
      </w:r>
    </w:p>
    <w:p w14:paraId="667DE0CA" w14:textId="73E74048" w:rsidR="00FE289C" w:rsidRPr="00FE289C" w:rsidRDefault="00407401" w:rsidP="00FE289C">
      <w:pPr>
        <w:pStyle w:val="a9"/>
        <w:rPr>
          <w:kern w:val="2"/>
        </w:rPr>
      </w:pPr>
      <w:r>
        <w:rPr>
          <w:kern w:val="2"/>
        </w:rPr>
        <w:t xml:space="preserve">рідко: </w:t>
      </w:r>
      <w:r>
        <w:rPr>
          <w:kern w:val="2"/>
        </w:rPr>
        <w:tab/>
      </w:r>
      <w:r w:rsidR="00FE289C" w:rsidRPr="00FE289C">
        <w:rPr>
          <w:kern w:val="2"/>
        </w:rPr>
        <w:t>лімфома, меланома (див. розділ «Особливості застосування»);</w:t>
      </w:r>
    </w:p>
    <w:p w14:paraId="06258658" w14:textId="77777777" w:rsidR="00FE289C" w:rsidRPr="00FE289C" w:rsidRDefault="00FE289C" w:rsidP="00FE289C">
      <w:pPr>
        <w:pStyle w:val="a9"/>
        <w:rPr>
          <w:kern w:val="2"/>
        </w:rPr>
      </w:pPr>
      <w:r w:rsidRPr="00FE289C">
        <w:rPr>
          <w:kern w:val="2"/>
        </w:rPr>
        <w:t xml:space="preserve">невідомо: </w:t>
      </w:r>
      <w:r w:rsidRPr="00FE289C">
        <w:rPr>
          <w:kern w:val="2"/>
        </w:rPr>
        <w:tab/>
        <w:t>лейкемія, карцинома клітин Меркеля (див. розділ «Особливості застосування»).</w:t>
      </w:r>
    </w:p>
    <w:p w14:paraId="689F9317" w14:textId="77777777" w:rsidR="00FE289C" w:rsidRPr="00FE289C" w:rsidRDefault="00FE289C" w:rsidP="00FE289C">
      <w:pPr>
        <w:pStyle w:val="a9"/>
        <w:rPr>
          <w:i/>
          <w:kern w:val="2"/>
        </w:rPr>
      </w:pPr>
      <w:r w:rsidRPr="00FE289C">
        <w:rPr>
          <w:i/>
          <w:kern w:val="2"/>
        </w:rPr>
        <w:t xml:space="preserve">Порушення з боку імунної системи. </w:t>
      </w:r>
    </w:p>
    <w:p w14:paraId="4CDAD13E" w14:textId="77777777" w:rsidR="00FE289C" w:rsidRPr="00FE289C" w:rsidRDefault="00FE289C" w:rsidP="00FE289C">
      <w:pPr>
        <w:pStyle w:val="a9"/>
        <w:rPr>
          <w:kern w:val="2"/>
        </w:rPr>
      </w:pPr>
      <w:r w:rsidRPr="00FE289C">
        <w:rPr>
          <w:kern w:val="2"/>
        </w:rPr>
        <w:t>Часто:</w:t>
      </w:r>
      <w:r w:rsidRPr="00FE289C">
        <w:rPr>
          <w:kern w:val="2"/>
        </w:rPr>
        <w:tab/>
        <w:t>алергічні реакції (див. «Порушення з боку шкіри та підшкірних тканин»), утворення аутоантитіл*;</w:t>
      </w:r>
    </w:p>
    <w:p w14:paraId="019A02FB" w14:textId="77777777" w:rsidR="00FE289C" w:rsidRPr="00FE289C" w:rsidRDefault="00FE289C" w:rsidP="00FE289C">
      <w:pPr>
        <w:pStyle w:val="a9"/>
        <w:rPr>
          <w:kern w:val="2"/>
        </w:rPr>
      </w:pPr>
      <w:r w:rsidRPr="00FE289C">
        <w:rPr>
          <w:kern w:val="2"/>
        </w:rPr>
        <w:t>нечасто:</w:t>
      </w:r>
      <w:r w:rsidRPr="00FE289C">
        <w:rPr>
          <w:kern w:val="2"/>
        </w:rPr>
        <w:tab/>
        <w:t>системні васкуліти (включаючи васкуліти, позитивні до антинейтрофільних цитоплазматичних антитіл);</w:t>
      </w:r>
    </w:p>
    <w:p w14:paraId="0C71074B" w14:textId="77777777" w:rsidR="00FE289C" w:rsidRPr="00FE289C" w:rsidRDefault="00FE289C" w:rsidP="00FE289C">
      <w:pPr>
        <w:pStyle w:val="a9"/>
        <w:rPr>
          <w:kern w:val="2"/>
        </w:rPr>
      </w:pPr>
      <w:r w:rsidRPr="00FE289C">
        <w:rPr>
          <w:kern w:val="2"/>
        </w:rPr>
        <w:t>рідко:</w:t>
      </w:r>
      <w:r w:rsidRPr="00FE289C">
        <w:rPr>
          <w:kern w:val="2"/>
        </w:rPr>
        <w:tab/>
        <w:t>тяжкі алергічні/анафілактичні реакції (включаючи ангіоневротичний набряк, бронхоспазм), саркоїдоз;</w:t>
      </w:r>
    </w:p>
    <w:p w14:paraId="67316CE3" w14:textId="77777777" w:rsidR="00FE289C" w:rsidRPr="00FE289C" w:rsidRDefault="00FE289C" w:rsidP="00FE289C">
      <w:pPr>
        <w:pStyle w:val="a9"/>
        <w:rPr>
          <w:kern w:val="2"/>
        </w:rPr>
      </w:pPr>
      <w:r w:rsidRPr="00FE289C">
        <w:rPr>
          <w:kern w:val="2"/>
        </w:rPr>
        <w:t>частота невідома:</w:t>
      </w:r>
      <w:r w:rsidRPr="00FE289C">
        <w:rPr>
          <w:kern w:val="2"/>
        </w:rPr>
        <w:tab/>
        <w:t>синдром активації макрофагів*, посилення симптомів дерматоміозиту.</w:t>
      </w:r>
    </w:p>
    <w:p w14:paraId="6E2B1EFC" w14:textId="77777777" w:rsidR="00FE289C" w:rsidRPr="00FE289C" w:rsidRDefault="00FE289C" w:rsidP="00FE289C">
      <w:pPr>
        <w:pStyle w:val="a9"/>
        <w:rPr>
          <w:i/>
          <w:kern w:val="2"/>
        </w:rPr>
      </w:pPr>
      <w:r w:rsidRPr="00FE289C">
        <w:rPr>
          <w:i/>
          <w:kern w:val="2"/>
        </w:rPr>
        <w:t>Порушення з боку нервової системи.</w:t>
      </w:r>
    </w:p>
    <w:p w14:paraId="07509BF7" w14:textId="77777777" w:rsidR="00FE289C" w:rsidRPr="00FE289C" w:rsidRDefault="00FE289C" w:rsidP="00FE289C">
      <w:pPr>
        <w:pStyle w:val="a9"/>
        <w:rPr>
          <w:kern w:val="2"/>
        </w:rPr>
      </w:pPr>
      <w:r w:rsidRPr="00FE289C">
        <w:rPr>
          <w:kern w:val="2"/>
        </w:rPr>
        <w:t>Рідко:</w:t>
      </w:r>
      <w:r w:rsidRPr="00FE289C">
        <w:rPr>
          <w:kern w:val="2"/>
        </w:rPr>
        <w:tab/>
        <w:t>судоми; явища демієлінізації ЦНС, подібні до тих, що спостерігаються при розсіяному склерозі або станах локалізованої демієлінізації, таких як неврит зорового нерва та поперечний мієліт (див. розділ «Особливості застосування»);</w:t>
      </w:r>
    </w:p>
    <w:p w14:paraId="3A7C144B" w14:textId="77777777" w:rsidR="00FE289C" w:rsidRPr="00FE289C" w:rsidRDefault="00FE289C" w:rsidP="00FE289C">
      <w:pPr>
        <w:pStyle w:val="a9"/>
        <w:rPr>
          <w:kern w:val="2"/>
        </w:rPr>
      </w:pPr>
      <w:r w:rsidRPr="00FE289C">
        <w:rPr>
          <w:kern w:val="2"/>
        </w:rPr>
        <w:t xml:space="preserve">дуже рідко: </w:t>
      </w:r>
      <w:r w:rsidRPr="00FE289C">
        <w:rPr>
          <w:kern w:val="2"/>
        </w:rPr>
        <w:tab/>
        <w:t>випадки периферичної демієлінізації, включаючи синдром Гійєна–Барре, хронічна запальна демієлінізуюча полінейропатія, демієлінізуюча полінейропатія та мультифокальна моторна нейропатія (див. розділ «Особливості застосування»).</w:t>
      </w:r>
    </w:p>
    <w:p w14:paraId="4523589D" w14:textId="77777777" w:rsidR="00FE289C" w:rsidRPr="00FE289C" w:rsidRDefault="00FE289C" w:rsidP="00FE289C">
      <w:pPr>
        <w:pStyle w:val="a9"/>
        <w:rPr>
          <w:i/>
          <w:kern w:val="2"/>
        </w:rPr>
      </w:pPr>
      <w:r w:rsidRPr="00FE289C">
        <w:rPr>
          <w:i/>
          <w:kern w:val="2"/>
        </w:rPr>
        <w:t>Порушення з боку органі</w:t>
      </w:r>
      <w:r w:rsidRPr="00FE289C">
        <w:rPr>
          <w:i/>
          <w:kern w:val="2"/>
          <w:lang w:val="ru-RU"/>
        </w:rPr>
        <w:t>в</w:t>
      </w:r>
      <w:r w:rsidRPr="00FE289C">
        <w:rPr>
          <w:i/>
          <w:kern w:val="2"/>
        </w:rPr>
        <w:t xml:space="preserve"> зору.</w:t>
      </w:r>
    </w:p>
    <w:p w14:paraId="780B50EE" w14:textId="75895D38" w:rsidR="00FE289C" w:rsidRPr="00FE289C" w:rsidRDefault="00407401" w:rsidP="00FE289C">
      <w:pPr>
        <w:pStyle w:val="a9"/>
        <w:rPr>
          <w:kern w:val="2"/>
          <w:lang w:val="ru-RU"/>
        </w:rPr>
      </w:pPr>
      <w:r>
        <w:rPr>
          <w:kern w:val="2"/>
        </w:rPr>
        <w:t>Нечасто:</w:t>
      </w:r>
      <w:r>
        <w:rPr>
          <w:kern w:val="2"/>
        </w:rPr>
        <w:tab/>
      </w:r>
      <w:r w:rsidR="00FE289C" w:rsidRPr="00FE289C">
        <w:rPr>
          <w:kern w:val="2"/>
        </w:rPr>
        <w:t>увеїт, склерит.</w:t>
      </w:r>
    </w:p>
    <w:p w14:paraId="652CA8C1" w14:textId="77777777" w:rsidR="00FE289C" w:rsidRPr="00FE289C" w:rsidRDefault="00FE289C" w:rsidP="00FE289C">
      <w:pPr>
        <w:pStyle w:val="a9"/>
        <w:rPr>
          <w:i/>
          <w:kern w:val="2"/>
        </w:rPr>
      </w:pPr>
      <w:r w:rsidRPr="00FE289C">
        <w:rPr>
          <w:i/>
          <w:kern w:val="2"/>
        </w:rPr>
        <w:t>Серцеві порушення.</w:t>
      </w:r>
    </w:p>
    <w:p w14:paraId="7D52DC56" w14:textId="77777777" w:rsidR="00FE289C" w:rsidRPr="00FE289C" w:rsidRDefault="00FE289C" w:rsidP="00FE289C">
      <w:pPr>
        <w:pStyle w:val="a9"/>
        <w:rPr>
          <w:kern w:val="2"/>
        </w:rPr>
      </w:pPr>
      <w:r w:rsidRPr="00FE289C">
        <w:rPr>
          <w:kern w:val="2"/>
        </w:rPr>
        <w:t>Рідко:</w:t>
      </w:r>
      <w:r w:rsidRPr="00FE289C">
        <w:rPr>
          <w:kern w:val="2"/>
        </w:rPr>
        <w:tab/>
        <w:t>застійна серцева недостатність (див. розділ «Особливості застосування»).</w:t>
      </w:r>
    </w:p>
    <w:p w14:paraId="6EDBC27B" w14:textId="77777777" w:rsidR="00FE289C" w:rsidRPr="00FE289C" w:rsidRDefault="00FE289C" w:rsidP="00FE289C">
      <w:pPr>
        <w:pStyle w:val="a9"/>
        <w:rPr>
          <w:i/>
          <w:kern w:val="2"/>
        </w:rPr>
      </w:pPr>
      <w:r w:rsidRPr="00FE289C">
        <w:rPr>
          <w:i/>
          <w:kern w:val="2"/>
        </w:rPr>
        <w:t>Респіраторні, торакальні та медіастинальні порушення.</w:t>
      </w:r>
    </w:p>
    <w:p w14:paraId="7FC0D075" w14:textId="77777777" w:rsidR="00FE289C" w:rsidRPr="00FE289C" w:rsidRDefault="00FE289C" w:rsidP="00FE289C">
      <w:pPr>
        <w:pStyle w:val="a9"/>
        <w:rPr>
          <w:kern w:val="2"/>
        </w:rPr>
      </w:pPr>
      <w:r w:rsidRPr="00FE289C">
        <w:rPr>
          <w:kern w:val="2"/>
        </w:rPr>
        <w:t>Нечасто:</w:t>
      </w:r>
      <w:r w:rsidRPr="00FE289C">
        <w:rPr>
          <w:kern w:val="2"/>
        </w:rPr>
        <w:tab/>
        <w:t>інтерстиціальне захворювання легенів (включаючи пневмоніт та фіброз легень)*.</w:t>
      </w:r>
    </w:p>
    <w:p w14:paraId="230A0860" w14:textId="77777777" w:rsidR="00FE289C" w:rsidRPr="00FE289C" w:rsidRDefault="00FE289C" w:rsidP="00FE289C">
      <w:pPr>
        <w:pStyle w:val="a9"/>
        <w:rPr>
          <w:i/>
          <w:kern w:val="2"/>
        </w:rPr>
      </w:pPr>
      <w:r w:rsidRPr="00FE289C">
        <w:rPr>
          <w:i/>
          <w:kern w:val="2"/>
        </w:rPr>
        <w:t>Гепатобіліарні порушення.</w:t>
      </w:r>
    </w:p>
    <w:p w14:paraId="52F005B1" w14:textId="34CEFF32" w:rsidR="00FE289C" w:rsidRPr="00FE289C" w:rsidRDefault="00407401" w:rsidP="00FE289C">
      <w:pPr>
        <w:pStyle w:val="a9"/>
        <w:rPr>
          <w:kern w:val="2"/>
        </w:rPr>
      </w:pPr>
      <w:r>
        <w:rPr>
          <w:kern w:val="2"/>
        </w:rPr>
        <w:t>Нечасто:</w:t>
      </w:r>
      <w:r>
        <w:rPr>
          <w:kern w:val="2"/>
        </w:rPr>
        <w:tab/>
      </w:r>
      <w:r w:rsidR="00FE289C" w:rsidRPr="00FE289C">
        <w:rPr>
          <w:kern w:val="2"/>
        </w:rPr>
        <w:t>підвищення рівнів печінкових ферментів*;</w:t>
      </w:r>
    </w:p>
    <w:p w14:paraId="5D1747B1" w14:textId="4BB5BE07" w:rsidR="00FE289C" w:rsidRPr="00FE289C" w:rsidRDefault="00407401" w:rsidP="00FE289C">
      <w:pPr>
        <w:pStyle w:val="a9"/>
        <w:rPr>
          <w:i/>
          <w:kern w:val="2"/>
        </w:rPr>
      </w:pPr>
      <w:r>
        <w:rPr>
          <w:kern w:val="2"/>
        </w:rPr>
        <w:t>рідко:</w:t>
      </w:r>
      <w:r>
        <w:rPr>
          <w:kern w:val="2"/>
        </w:rPr>
        <w:tab/>
      </w:r>
      <w:r w:rsidR="00FE289C" w:rsidRPr="00FE289C">
        <w:rPr>
          <w:kern w:val="2"/>
        </w:rPr>
        <w:t>аутоімунний гепатит.</w:t>
      </w:r>
    </w:p>
    <w:p w14:paraId="61263CD2" w14:textId="77777777" w:rsidR="00FE289C" w:rsidRPr="00FE289C" w:rsidRDefault="00FE289C" w:rsidP="00FE289C">
      <w:pPr>
        <w:pStyle w:val="a9"/>
        <w:rPr>
          <w:i/>
          <w:kern w:val="2"/>
        </w:rPr>
      </w:pPr>
      <w:r w:rsidRPr="00FE289C">
        <w:rPr>
          <w:i/>
          <w:kern w:val="2"/>
        </w:rPr>
        <w:t>Порушення з боку шкіри та підшкірних тканин.</w:t>
      </w:r>
    </w:p>
    <w:p w14:paraId="12F8373B" w14:textId="33442589" w:rsidR="00FE289C" w:rsidRPr="00FE289C" w:rsidRDefault="00407401" w:rsidP="00FE289C">
      <w:pPr>
        <w:pStyle w:val="a9"/>
        <w:rPr>
          <w:kern w:val="2"/>
        </w:rPr>
      </w:pPr>
      <w:r>
        <w:rPr>
          <w:kern w:val="2"/>
        </w:rPr>
        <w:t>Часто:</w:t>
      </w:r>
      <w:r>
        <w:rPr>
          <w:kern w:val="2"/>
        </w:rPr>
        <w:tab/>
      </w:r>
      <w:r w:rsidR="00FE289C" w:rsidRPr="00FE289C">
        <w:rPr>
          <w:kern w:val="2"/>
        </w:rPr>
        <w:t>свербіж;</w:t>
      </w:r>
    </w:p>
    <w:p w14:paraId="576B9E56" w14:textId="77777777" w:rsidR="00FE289C" w:rsidRPr="00FE289C" w:rsidRDefault="00FE289C" w:rsidP="00FE289C">
      <w:pPr>
        <w:pStyle w:val="a9"/>
        <w:rPr>
          <w:kern w:val="2"/>
        </w:rPr>
      </w:pPr>
      <w:r w:rsidRPr="00FE289C">
        <w:rPr>
          <w:kern w:val="2"/>
        </w:rPr>
        <w:t>нечасто:</w:t>
      </w:r>
      <w:r w:rsidRPr="00FE289C">
        <w:rPr>
          <w:kern w:val="2"/>
        </w:rPr>
        <w:tab/>
        <w:t>ангіоневротичний набряк, кропив’янка, висип, псоріазоформний висип, псоріаз (включаючи виникнення або посилення захворювання та пустульозний псоріаз, переважно на долонях та підошвах);</w:t>
      </w:r>
    </w:p>
    <w:p w14:paraId="56A62328" w14:textId="77777777" w:rsidR="00FE289C" w:rsidRPr="00FE289C" w:rsidRDefault="00FE289C" w:rsidP="00FE289C">
      <w:pPr>
        <w:pStyle w:val="a9"/>
        <w:rPr>
          <w:kern w:val="2"/>
        </w:rPr>
      </w:pPr>
      <w:r w:rsidRPr="00FE289C">
        <w:rPr>
          <w:kern w:val="2"/>
        </w:rPr>
        <w:t>рідко:</w:t>
      </w:r>
      <w:r w:rsidRPr="00FE289C">
        <w:rPr>
          <w:kern w:val="2"/>
        </w:rPr>
        <w:tab/>
        <w:t xml:space="preserve">шкірні форми васкуліту (включаючи лейкоцитокластичний васкуліт), синдром Стівенса–Джонсона, мультиформна еритема; </w:t>
      </w:r>
    </w:p>
    <w:p w14:paraId="3E9F8E2C" w14:textId="77777777" w:rsidR="00FE289C" w:rsidRPr="00FE289C" w:rsidRDefault="00FE289C" w:rsidP="00FE289C">
      <w:pPr>
        <w:pStyle w:val="a9"/>
        <w:rPr>
          <w:kern w:val="2"/>
          <w:lang w:val="ru-RU"/>
        </w:rPr>
      </w:pPr>
      <w:r w:rsidRPr="00FE289C">
        <w:rPr>
          <w:kern w:val="2"/>
        </w:rPr>
        <w:t>дуже рідко:</w:t>
      </w:r>
      <w:r w:rsidRPr="00FE289C">
        <w:rPr>
          <w:kern w:val="2"/>
        </w:rPr>
        <w:tab/>
        <w:t>токсичний епідермальний некроліз.</w:t>
      </w:r>
    </w:p>
    <w:p w14:paraId="0A1E0342" w14:textId="77777777" w:rsidR="00FE289C" w:rsidRPr="00FE289C" w:rsidRDefault="00FE289C" w:rsidP="00FE289C">
      <w:pPr>
        <w:pStyle w:val="a9"/>
        <w:rPr>
          <w:i/>
          <w:kern w:val="2"/>
        </w:rPr>
      </w:pPr>
      <w:r w:rsidRPr="00FE289C">
        <w:rPr>
          <w:i/>
          <w:kern w:val="2"/>
        </w:rPr>
        <w:t xml:space="preserve">Порушення з боку скелетно-м’язової та сполучної тканини. </w:t>
      </w:r>
    </w:p>
    <w:p w14:paraId="3C6FA337" w14:textId="77777777" w:rsidR="00FE289C" w:rsidRPr="00FE289C" w:rsidRDefault="00FE289C" w:rsidP="00FE289C">
      <w:pPr>
        <w:pStyle w:val="a9"/>
        <w:rPr>
          <w:kern w:val="2"/>
          <w:lang w:val="ru-RU"/>
        </w:rPr>
      </w:pPr>
      <w:r w:rsidRPr="00FE289C">
        <w:rPr>
          <w:kern w:val="2"/>
        </w:rPr>
        <w:t>Рідко:</w:t>
      </w:r>
      <w:r w:rsidRPr="00FE289C">
        <w:rPr>
          <w:kern w:val="2"/>
        </w:rPr>
        <w:tab/>
        <w:t>підгострий шкірний червоний вовчак, дискоїдний червоний вовчак, вовчакоподібний синдром.</w:t>
      </w:r>
    </w:p>
    <w:p w14:paraId="21D53D37" w14:textId="77777777" w:rsidR="00FE289C" w:rsidRPr="00FE289C" w:rsidRDefault="00FE289C" w:rsidP="00FE289C">
      <w:pPr>
        <w:pStyle w:val="a9"/>
        <w:rPr>
          <w:i/>
          <w:kern w:val="2"/>
        </w:rPr>
      </w:pPr>
      <w:r w:rsidRPr="00FE289C">
        <w:rPr>
          <w:i/>
          <w:kern w:val="2"/>
        </w:rPr>
        <w:t>Загальні розлади та реакції у місці введення.</w:t>
      </w:r>
    </w:p>
    <w:p w14:paraId="0C9A1E5B" w14:textId="77777777" w:rsidR="00FE289C" w:rsidRPr="00FE289C" w:rsidRDefault="00FE289C" w:rsidP="00FE289C">
      <w:pPr>
        <w:pStyle w:val="a9"/>
        <w:rPr>
          <w:kern w:val="2"/>
        </w:rPr>
      </w:pPr>
      <w:r w:rsidRPr="00FE289C">
        <w:rPr>
          <w:kern w:val="2"/>
        </w:rPr>
        <w:t>Дуже часто:</w:t>
      </w:r>
      <w:r w:rsidRPr="00FE289C">
        <w:rPr>
          <w:kern w:val="2"/>
        </w:rPr>
        <w:tab/>
        <w:t>реакції у місці введення (включаючи кровотечу, утворення підшкірної гематоми, еритему, свербіж, біль, набряк*);</w:t>
      </w:r>
    </w:p>
    <w:p w14:paraId="0F8B4574" w14:textId="0CE8C0B0" w:rsidR="00FE289C" w:rsidRPr="00FE289C" w:rsidRDefault="00407401" w:rsidP="00FE289C">
      <w:pPr>
        <w:pStyle w:val="a9"/>
        <w:rPr>
          <w:kern w:val="2"/>
        </w:rPr>
      </w:pPr>
      <w:r>
        <w:rPr>
          <w:kern w:val="2"/>
        </w:rPr>
        <w:t>часто:</w:t>
      </w:r>
      <w:r>
        <w:rPr>
          <w:kern w:val="2"/>
        </w:rPr>
        <w:tab/>
      </w:r>
      <w:r w:rsidR="00FE289C" w:rsidRPr="00FE289C">
        <w:rPr>
          <w:kern w:val="2"/>
        </w:rPr>
        <w:t>лихоманка.</w:t>
      </w:r>
    </w:p>
    <w:p w14:paraId="6CF4360D" w14:textId="77777777" w:rsidR="00FE289C" w:rsidRPr="00FE289C" w:rsidRDefault="00FE289C" w:rsidP="00FE289C">
      <w:pPr>
        <w:pStyle w:val="a9"/>
        <w:rPr>
          <w:kern w:val="2"/>
        </w:rPr>
      </w:pPr>
      <w:r w:rsidRPr="00FE289C">
        <w:rPr>
          <w:kern w:val="2"/>
        </w:rPr>
        <w:lastRenderedPageBreak/>
        <w:t>**див. опис окремих побічних реакцій нижче.</w:t>
      </w:r>
    </w:p>
    <w:p w14:paraId="6FCA726D" w14:textId="77777777" w:rsidR="00FE289C" w:rsidRPr="00FE289C" w:rsidRDefault="00FE289C" w:rsidP="00FE289C">
      <w:pPr>
        <w:pStyle w:val="a9"/>
        <w:rPr>
          <w:kern w:val="2"/>
        </w:rPr>
      </w:pPr>
    </w:p>
    <w:p w14:paraId="4494BA68" w14:textId="77777777" w:rsidR="00FE289C" w:rsidRPr="00FE289C" w:rsidRDefault="00FE289C" w:rsidP="00FE289C">
      <w:pPr>
        <w:pStyle w:val="a9"/>
        <w:rPr>
          <w:i/>
          <w:kern w:val="2"/>
          <w:u w:val="single"/>
        </w:rPr>
      </w:pPr>
      <w:r w:rsidRPr="00FE289C">
        <w:rPr>
          <w:i/>
          <w:kern w:val="2"/>
          <w:u w:val="single"/>
        </w:rPr>
        <w:t>Опис окремих побічних реакцій.</w:t>
      </w:r>
    </w:p>
    <w:p w14:paraId="18BFF689" w14:textId="77777777" w:rsidR="00FE289C" w:rsidRPr="00FE289C" w:rsidRDefault="00FE289C" w:rsidP="00FE289C">
      <w:pPr>
        <w:pStyle w:val="a9"/>
        <w:rPr>
          <w:i/>
          <w:kern w:val="2"/>
        </w:rPr>
      </w:pPr>
      <w:r w:rsidRPr="00FE289C">
        <w:rPr>
          <w:i/>
          <w:kern w:val="2"/>
        </w:rPr>
        <w:t>Злоякісні утворення та лімфопроліферативні порушення.</w:t>
      </w:r>
    </w:p>
    <w:p w14:paraId="17619594" w14:textId="77777777" w:rsidR="00FE289C" w:rsidRPr="00FE289C" w:rsidRDefault="00FE289C" w:rsidP="00FE289C">
      <w:pPr>
        <w:pStyle w:val="a9"/>
        <w:rPr>
          <w:kern w:val="2"/>
        </w:rPr>
      </w:pPr>
      <w:r w:rsidRPr="00FE289C">
        <w:rPr>
          <w:kern w:val="2"/>
        </w:rPr>
        <w:t>129 випадків утворення нових злоякісних пухлин різного типу було виявлено у 4114 пацієнтів з ревматоїдним артритом, які отримували препарат Енбрел</w:t>
      </w:r>
      <w:r w:rsidRPr="00FE289C">
        <w:rPr>
          <w:kern w:val="2"/>
          <w:vertAlign w:val="superscript"/>
        </w:rPr>
        <w:t>®</w:t>
      </w:r>
      <w:r w:rsidRPr="00FE289C">
        <w:rPr>
          <w:kern w:val="2"/>
        </w:rPr>
        <w:t xml:space="preserve"> під час клінічних випробувань впродовж приблизно до 6 років, в тому числі у 231 пацієнта, які отримували Енбрел</w:t>
      </w:r>
      <w:r w:rsidRPr="00FE289C">
        <w:rPr>
          <w:kern w:val="2"/>
          <w:vertAlign w:val="superscript"/>
        </w:rPr>
        <w:t>®</w:t>
      </w:r>
      <w:r w:rsidRPr="00FE289C">
        <w:rPr>
          <w:kern w:val="2"/>
        </w:rPr>
        <w:t xml:space="preserve"> у комбінації з метотрексатом протягом 2-річного клінічного дослідження з активним контролем. Частота виникнення таких явищ та їх поширеність у вищезазначених клінічних дослідженнях були подібними до тих, що очікуються для популяції, яка брала участь у дослідженнях. У клінічних випробуваннях тривалістю приблизно 2 роки за участю 240 пацієнтів з псоріатичним артритом, які отримували препарат Енбрел</w:t>
      </w:r>
      <w:r w:rsidRPr="00FE289C">
        <w:rPr>
          <w:kern w:val="2"/>
          <w:vertAlign w:val="superscript"/>
        </w:rPr>
        <w:t>®</w:t>
      </w:r>
      <w:r w:rsidRPr="00FE289C">
        <w:rPr>
          <w:kern w:val="2"/>
        </w:rPr>
        <w:t>, загалом було зафіксовано 2 випадки виникнення злоякісних новоутворень. У клінічних дослідженнях застосування препарату Енбрел</w:t>
      </w:r>
      <w:r w:rsidRPr="00FE289C">
        <w:rPr>
          <w:kern w:val="2"/>
          <w:vertAlign w:val="superscript"/>
        </w:rPr>
        <w:t>®</w:t>
      </w:r>
      <w:r w:rsidRPr="00FE289C">
        <w:rPr>
          <w:kern w:val="2"/>
        </w:rPr>
        <w:t xml:space="preserve"> тривалістю більше 2 років за участю 351 пацієнта з анкілозивним спондилітом було зареєстровано 6 випадків виникнення злоякісних новоутворень. Повідомлялося про 30 випадків розвитку злоякісних новоутворень і 43 випадки немеланомного раку шкіри під час подвійних сліпих і відкритих досліджень тривалістю до 2,5 року із залученням 2711 пацієнтів з бляшковим псоріазом, які отримували лікування препаратом Енбрел</w:t>
      </w:r>
      <w:r w:rsidRPr="00FE289C">
        <w:rPr>
          <w:kern w:val="2"/>
          <w:vertAlign w:val="superscript"/>
        </w:rPr>
        <w:t>®</w:t>
      </w:r>
      <w:r w:rsidRPr="00FE289C">
        <w:rPr>
          <w:kern w:val="2"/>
        </w:rPr>
        <w:t>.</w:t>
      </w:r>
    </w:p>
    <w:p w14:paraId="15B3FDE6" w14:textId="77777777" w:rsidR="00FE289C" w:rsidRPr="00FE289C" w:rsidRDefault="00FE289C" w:rsidP="00FE289C">
      <w:pPr>
        <w:pStyle w:val="a9"/>
        <w:rPr>
          <w:kern w:val="2"/>
        </w:rPr>
      </w:pPr>
      <w:r w:rsidRPr="00FE289C">
        <w:rPr>
          <w:kern w:val="2"/>
        </w:rPr>
        <w:t>Повідомлялося про 18 випадків виникнення лімфоми під час клінічних досліджень застосування препарату Енбрел</w:t>
      </w:r>
      <w:r w:rsidRPr="00FE289C">
        <w:rPr>
          <w:kern w:val="2"/>
          <w:vertAlign w:val="superscript"/>
        </w:rPr>
        <w:t>®</w:t>
      </w:r>
      <w:r w:rsidRPr="00FE289C">
        <w:rPr>
          <w:kern w:val="2"/>
        </w:rPr>
        <w:t xml:space="preserve"> із залученням 7416 пацієнтів з ревматоїдним артритом, псоріатичним артритом, анкілозивним спондилітом та псоріазом.</w:t>
      </w:r>
    </w:p>
    <w:p w14:paraId="35201DB2" w14:textId="77777777" w:rsidR="00FE289C" w:rsidRPr="00FE289C" w:rsidRDefault="00FE289C" w:rsidP="00FE289C">
      <w:pPr>
        <w:pStyle w:val="a9"/>
        <w:rPr>
          <w:kern w:val="2"/>
        </w:rPr>
      </w:pPr>
      <w:r w:rsidRPr="00FE289C">
        <w:rPr>
          <w:kern w:val="2"/>
        </w:rPr>
        <w:t>Також було отримано повідомлення про виникнення різних злоякісних новоутворень (у тому числі карциноми молочної залози, легень  та лімфоми) у постмаркетинговий період (див. розділ «Особливості застосування»).</w:t>
      </w:r>
    </w:p>
    <w:p w14:paraId="2C2017E6" w14:textId="77777777" w:rsidR="00FE289C" w:rsidRPr="00FE289C" w:rsidRDefault="00FE289C" w:rsidP="00FE289C">
      <w:pPr>
        <w:pStyle w:val="a9"/>
        <w:rPr>
          <w:i/>
          <w:kern w:val="2"/>
        </w:rPr>
      </w:pPr>
      <w:r w:rsidRPr="00FE289C">
        <w:rPr>
          <w:i/>
          <w:kern w:val="2"/>
        </w:rPr>
        <w:t>Реакції в місці введення.</w:t>
      </w:r>
    </w:p>
    <w:p w14:paraId="66418B0C" w14:textId="77777777" w:rsidR="00FE289C" w:rsidRPr="00FE289C" w:rsidRDefault="00FE289C" w:rsidP="00FE289C">
      <w:pPr>
        <w:pStyle w:val="a9"/>
        <w:rPr>
          <w:kern w:val="2"/>
        </w:rPr>
      </w:pPr>
      <w:r w:rsidRPr="00FE289C">
        <w:rPr>
          <w:kern w:val="2"/>
        </w:rPr>
        <w:t>У порівнянні з плацебо у пацієнтів з ревматичними захворюваннями, яким застосовували препарат Енбрел</w:t>
      </w:r>
      <w:r w:rsidRPr="00FE289C">
        <w:rPr>
          <w:kern w:val="2"/>
          <w:vertAlign w:val="superscript"/>
        </w:rPr>
        <w:t>®</w:t>
      </w:r>
      <w:r w:rsidRPr="00FE289C">
        <w:rPr>
          <w:kern w:val="2"/>
        </w:rPr>
        <w:t>, частота виникнення реакцій в місці ін'єкції була значно вищою (36 % проти 9 %). Реакції в місці ін</w:t>
      </w:r>
      <w:r w:rsidRPr="00FE289C">
        <w:rPr>
          <w:kern w:val="2"/>
          <w:lang w:val="ru-RU"/>
        </w:rPr>
        <w:t>’</w:t>
      </w:r>
      <w:r w:rsidRPr="00FE289C">
        <w:rPr>
          <w:kern w:val="2"/>
        </w:rPr>
        <w:t>єкції зазвичай виникали впродовж першого місяця. Середня тривалість становила приблизно 3–5 днів. У більшості випадків лікування реакцій у місці ін’єкції не проводилося; більшість із тих пацієнтів, кому надавали лікування, отримувала препарати для місцевого застосування, такі як кортикостероїди або пероральні антигістамінні препарати. Окрім того, у деяких пацієнтів виникали рецидиви реакції в місці ін’єкції, які характеризувалися появою шкірної реакції у місці здійснення останньої ін’єкції з одночасним виникненням реакцій на тих ділянках, де проводилися попередні ін’єкції. Ці реакції, як правило, мали тимчасовий характер та не виникали повторно під час подальшого лікування.</w:t>
      </w:r>
    </w:p>
    <w:p w14:paraId="7B8049E9" w14:textId="77777777" w:rsidR="00FE289C" w:rsidRPr="00FE289C" w:rsidRDefault="00FE289C" w:rsidP="00FE289C">
      <w:pPr>
        <w:pStyle w:val="a9"/>
        <w:rPr>
          <w:kern w:val="2"/>
        </w:rPr>
      </w:pPr>
      <w:r w:rsidRPr="00FE289C">
        <w:rPr>
          <w:kern w:val="2"/>
        </w:rPr>
        <w:t>Під час контрольованих досліджень із залученням пацієнтів з бляшковим псоріазом протягом перших 12 тижнів лікування реакції в місці ін'єкції виникли приблизно у 13,6 % пацієнтів, які отримували Енбрел</w:t>
      </w:r>
      <w:r w:rsidRPr="00FE289C">
        <w:rPr>
          <w:kern w:val="2"/>
          <w:vertAlign w:val="superscript"/>
        </w:rPr>
        <w:t>®</w:t>
      </w:r>
      <w:r w:rsidRPr="00FE289C">
        <w:rPr>
          <w:kern w:val="2"/>
        </w:rPr>
        <w:t>, порівняно з 3,4% пацієнтів, які отримували плацебо.</w:t>
      </w:r>
    </w:p>
    <w:p w14:paraId="03A067D5" w14:textId="77777777" w:rsidR="00FE289C" w:rsidRPr="00FE289C" w:rsidRDefault="00FE289C" w:rsidP="00FE289C">
      <w:pPr>
        <w:pStyle w:val="a9"/>
        <w:rPr>
          <w:i/>
          <w:kern w:val="2"/>
        </w:rPr>
      </w:pPr>
      <w:r w:rsidRPr="00FE289C">
        <w:rPr>
          <w:i/>
          <w:kern w:val="2"/>
        </w:rPr>
        <w:t>Тяжкі інфекції.</w:t>
      </w:r>
    </w:p>
    <w:p w14:paraId="3BBC1758" w14:textId="77777777" w:rsidR="00FE289C" w:rsidRPr="00FE289C" w:rsidRDefault="00FE289C" w:rsidP="00FE289C">
      <w:pPr>
        <w:pStyle w:val="a9"/>
        <w:rPr>
          <w:kern w:val="2"/>
        </w:rPr>
      </w:pPr>
      <w:r w:rsidRPr="00FE289C">
        <w:rPr>
          <w:kern w:val="2"/>
        </w:rPr>
        <w:t xml:space="preserve">У плацебо-контрольованих дослідженнях не спостерігалося збільшення частоти виникнення тяжких інфекцій (летальних, загрозливих для </w:t>
      </w:r>
      <w:r w:rsidRPr="00FE289C">
        <w:rPr>
          <w:kern w:val="2"/>
        </w:rPr>
        <w:lastRenderedPageBreak/>
        <w:t>життя або тих, що вимагали госпіталізації чи внутрішньовенного введення антибіотиків). Тяжкі інфекції виникли у 6,3% пацієнтів з ревматоїдним артритом, що отримували Енбрел</w:t>
      </w:r>
      <w:r w:rsidRPr="00FE289C">
        <w:rPr>
          <w:kern w:val="2"/>
          <w:vertAlign w:val="superscript"/>
        </w:rPr>
        <w:t>®</w:t>
      </w:r>
      <w:r w:rsidRPr="00FE289C">
        <w:rPr>
          <w:kern w:val="2"/>
        </w:rPr>
        <w:t xml:space="preserve"> впродовж періоду до 48 місяців. До них належали абсцес (різної локалізації), бактеріємія, бронхіт, бурсит, целюліт, холецистит, діарея, дивертикуліт, ендокардит (підозрюваний), гастроентерит, гепатит В, оперізуючий лишай, трофічні виразки нижніх кінцівок, інфекції ротової порожнини, остеомієліт, отит, перитоніт, пневмонія, пієлонефрит, сепсис, септичний артрит, синусит, інфекції шкіри, виразкове ураження шкіри, інфекції сечовивідних шляхів, васкуліт та ранова інфекція. Частота виникнення серйозних інфекцій під час 2-річного дослідження з активним контролем в усіх групах була аналогічною (пацієнти отримували препарат Енбрел</w:t>
      </w:r>
      <w:r w:rsidRPr="00FE289C">
        <w:rPr>
          <w:kern w:val="2"/>
          <w:vertAlign w:val="superscript"/>
        </w:rPr>
        <w:t>®</w:t>
      </w:r>
      <w:r w:rsidRPr="00FE289C">
        <w:rPr>
          <w:kern w:val="2"/>
        </w:rPr>
        <w:t xml:space="preserve"> чи метотрексат як монотерапію або Енбрел</w:t>
      </w:r>
      <w:r w:rsidRPr="00FE289C">
        <w:rPr>
          <w:kern w:val="2"/>
          <w:vertAlign w:val="superscript"/>
        </w:rPr>
        <w:t>®</w:t>
      </w:r>
      <w:r w:rsidRPr="00FE289C">
        <w:rPr>
          <w:kern w:val="2"/>
        </w:rPr>
        <w:t xml:space="preserve"> у комбінації з метотрексатом). Однак не можна виключати, що застосування комбінації препарату Енбрел</w:t>
      </w:r>
      <w:r w:rsidRPr="00FE289C">
        <w:rPr>
          <w:kern w:val="2"/>
          <w:vertAlign w:val="superscript"/>
        </w:rPr>
        <w:t>®</w:t>
      </w:r>
      <w:r w:rsidRPr="00FE289C">
        <w:rPr>
          <w:kern w:val="2"/>
        </w:rPr>
        <w:t xml:space="preserve"> з метотрексатом може бути пов’язане зі збільшенням частоти виникнення інфекцій. </w:t>
      </w:r>
    </w:p>
    <w:p w14:paraId="39D850F4" w14:textId="77777777" w:rsidR="00FE289C" w:rsidRPr="00FE289C" w:rsidRDefault="00FE289C" w:rsidP="00FE289C">
      <w:pPr>
        <w:pStyle w:val="a9"/>
        <w:rPr>
          <w:kern w:val="2"/>
        </w:rPr>
      </w:pPr>
      <w:r w:rsidRPr="00FE289C">
        <w:rPr>
          <w:kern w:val="2"/>
        </w:rPr>
        <w:t>Під час плацебо-контрольованих випробувань тривалістю до 24 тижнів не було виявлено різниці у частоті виникнення інфекційних захворювань у пацієнтів з бляшковим псоріазом, які застосовували препарат Енбрел</w:t>
      </w:r>
      <w:r w:rsidRPr="00FE289C">
        <w:rPr>
          <w:kern w:val="2"/>
          <w:vertAlign w:val="superscript"/>
        </w:rPr>
        <w:t>®</w:t>
      </w:r>
      <w:r w:rsidRPr="00FE289C">
        <w:rPr>
          <w:kern w:val="2"/>
        </w:rPr>
        <w:t xml:space="preserve"> або плацебо. Тяжкі інфекції, що спостерігалися у пацієнтів, яких лікували препаратом Енбрел</w:t>
      </w:r>
      <w:r w:rsidRPr="00FE289C">
        <w:rPr>
          <w:kern w:val="2"/>
          <w:vertAlign w:val="superscript"/>
        </w:rPr>
        <w:t>®</w:t>
      </w:r>
      <w:r w:rsidRPr="00FE289C">
        <w:rPr>
          <w:kern w:val="2"/>
        </w:rPr>
        <w:t>, включали целюліт, гастроентерит, пневмонію, холецистит, остеомієліт, гастрит, апендицит, асцит, зумовлений стрептококами, міозит, септичний шок, дивертикуліт та абсцес. Один пацієнт повідомив про виникнення тяжкої інфекції (пневмонії) під час проведення подвійних сліпих та відкритих досліджень застосування цього лікарського засобу при псоріатичному артриті.</w:t>
      </w:r>
    </w:p>
    <w:p w14:paraId="3AA66D25" w14:textId="77777777" w:rsidR="00FE289C" w:rsidRPr="00FE289C" w:rsidRDefault="00FE289C" w:rsidP="00FE289C">
      <w:pPr>
        <w:pStyle w:val="a9"/>
        <w:rPr>
          <w:kern w:val="2"/>
        </w:rPr>
      </w:pPr>
      <w:r w:rsidRPr="00FE289C">
        <w:rPr>
          <w:kern w:val="2"/>
        </w:rPr>
        <w:t>Під час застосування препарату Енбрел</w:t>
      </w:r>
      <w:r w:rsidRPr="00FE289C">
        <w:rPr>
          <w:kern w:val="2"/>
          <w:vertAlign w:val="superscript"/>
        </w:rPr>
        <w:t>®</w:t>
      </w:r>
      <w:r w:rsidRPr="00FE289C">
        <w:rPr>
          <w:kern w:val="2"/>
        </w:rPr>
        <w:t xml:space="preserve"> було зареєстровано тяжкі та летальні інфекції бактеріальної, мікобактеріальної (включаючи мікобактерії туберкульозу), вірусної та грибкової етіології. Деякі з них виникали протягом декількох тижнів від початку застосування препарату Енбрел</w:t>
      </w:r>
      <w:r w:rsidRPr="00FE289C">
        <w:rPr>
          <w:kern w:val="2"/>
          <w:vertAlign w:val="superscript"/>
        </w:rPr>
        <w:t>®</w:t>
      </w:r>
      <w:r w:rsidRPr="00FE289C">
        <w:rPr>
          <w:kern w:val="2"/>
        </w:rPr>
        <w:t xml:space="preserve"> у пацієнтів, які, крім ревматоїдного артриту, мали основні захворювання (наприклад цукровий діабет, застійну серцеву недостатність, активні або хронічні інфекції в анамнезі) (див. розділ «Особливості застосування»). Застосування препарату Енбрел</w:t>
      </w:r>
      <w:r w:rsidRPr="00FE289C">
        <w:rPr>
          <w:kern w:val="2"/>
          <w:vertAlign w:val="superscript"/>
        </w:rPr>
        <w:t>®</w:t>
      </w:r>
      <w:r w:rsidRPr="00FE289C">
        <w:rPr>
          <w:kern w:val="2"/>
        </w:rPr>
        <w:t xml:space="preserve"> може збільшити смертність у пацієнтів з діагностованим сепсисом.</w:t>
      </w:r>
    </w:p>
    <w:p w14:paraId="1DB5E961" w14:textId="77777777" w:rsidR="00FE289C" w:rsidRPr="00FE289C" w:rsidRDefault="00FE289C" w:rsidP="00FE289C">
      <w:pPr>
        <w:pStyle w:val="a9"/>
        <w:rPr>
          <w:kern w:val="2"/>
        </w:rPr>
      </w:pPr>
      <w:r w:rsidRPr="00FE289C">
        <w:rPr>
          <w:kern w:val="2"/>
        </w:rPr>
        <w:t xml:space="preserve">Повідомлялося про виникнення опортуністичних інфекцій, у тому числі інвазивних грибкових, протозойних, бактеріальних (включаючи інфекції, викликані такими збудниками, як </w:t>
      </w:r>
      <w:r w:rsidRPr="00FE289C">
        <w:rPr>
          <w:i/>
          <w:kern w:val="2"/>
        </w:rPr>
        <w:t xml:space="preserve">Listeria </w:t>
      </w:r>
      <w:r w:rsidRPr="00FE289C">
        <w:rPr>
          <w:kern w:val="2"/>
        </w:rPr>
        <w:t xml:space="preserve">та </w:t>
      </w:r>
      <w:r w:rsidRPr="00FE289C">
        <w:rPr>
          <w:i/>
          <w:kern w:val="2"/>
        </w:rPr>
        <w:t>Legionella</w:t>
      </w:r>
      <w:r w:rsidRPr="00FE289C">
        <w:rPr>
          <w:kern w:val="2"/>
        </w:rPr>
        <w:t>) і атипових мікобактеріальних інфекцій, пов’язаних із застосуванням препарату Енбрел</w:t>
      </w:r>
      <w:r w:rsidRPr="00FE289C">
        <w:rPr>
          <w:kern w:val="2"/>
          <w:vertAlign w:val="superscript"/>
        </w:rPr>
        <w:t>®</w:t>
      </w:r>
      <w:r w:rsidRPr="00FE289C">
        <w:rPr>
          <w:kern w:val="2"/>
        </w:rPr>
        <w:t>. Згідно із сукупними даними, отриманими у клінічних випробуваннях, для 15402 учасників досліджень, які отримували Енбрел</w:t>
      </w:r>
      <w:r w:rsidRPr="00FE289C">
        <w:rPr>
          <w:kern w:val="2"/>
          <w:vertAlign w:val="superscript"/>
        </w:rPr>
        <w:t>®</w:t>
      </w:r>
      <w:r w:rsidRPr="00FE289C">
        <w:rPr>
          <w:kern w:val="2"/>
        </w:rPr>
        <w:t xml:space="preserve">, загальна частота виникнення опортуністичних інфекцій становила 0,09 %. Цей показник, скоригований з урахуванням експозиції, становив 0,06 випадку на 100 пацієнто-років. За даними постмаркетингового спостереження приблизно половину повідомлень з усього світу про розвиток опортуністичних інфекцій становили повідомлення про інвазивні грибкові інфекції, найбільш поширеними з яких були інфекції, спричинені </w:t>
      </w:r>
      <w:r w:rsidRPr="00FE289C">
        <w:rPr>
          <w:i/>
          <w:kern w:val="2"/>
        </w:rPr>
        <w:t xml:space="preserve">Pneumocystis </w:t>
      </w:r>
      <w:r w:rsidRPr="00FE289C">
        <w:rPr>
          <w:kern w:val="2"/>
        </w:rPr>
        <w:t xml:space="preserve">та </w:t>
      </w:r>
      <w:r w:rsidRPr="00FE289C">
        <w:rPr>
          <w:i/>
          <w:kern w:val="2"/>
        </w:rPr>
        <w:t>Aspergillus</w:t>
      </w:r>
      <w:r w:rsidRPr="00FE289C">
        <w:rPr>
          <w:kern w:val="2"/>
        </w:rPr>
        <w:t xml:space="preserve">. Причиною більше ніж половини всіх випадків смерті пацієнтів, у яких розвинулися опортуністичні інфекції, були інвазивні грибкові інфекції. Більшість випадків з летальними наслідками сталися у пацієнтів з пневмоцистною пневмонією, </w:t>
      </w:r>
      <w:r w:rsidRPr="00FE289C">
        <w:rPr>
          <w:kern w:val="2"/>
        </w:rPr>
        <w:lastRenderedPageBreak/>
        <w:t>невстановленою системною грибковою інфекцією та аспергільозом (див. розділ «Особливості застосування»).</w:t>
      </w:r>
    </w:p>
    <w:p w14:paraId="66C6E5E8" w14:textId="77777777" w:rsidR="00FE289C" w:rsidRPr="00FE289C" w:rsidRDefault="00FE289C" w:rsidP="00FE289C">
      <w:pPr>
        <w:pStyle w:val="a9"/>
        <w:rPr>
          <w:i/>
          <w:kern w:val="2"/>
        </w:rPr>
      </w:pPr>
      <w:r w:rsidRPr="00FE289C">
        <w:rPr>
          <w:i/>
          <w:kern w:val="2"/>
        </w:rPr>
        <w:t>Аутоантитіла.</w:t>
      </w:r>
    </w:p>
    <w:p w14:paraId="776EF3E8" w14:textId="77777777" w:rsidR="00FE289C" w:rsidRPr="00FE289C" w:rsidRDefault="00FE289C" w:rsidP="00FE289C">
      <w:pPr>
        <w:pStyle w:val="a9"/>
        <w:rPr>
          <w:kern w:val="2"/>
        </w:rPr>
      </w:pPr>
      <w:r w:rsidRPr="00FE289C">
        <w:rPr>
          <w:kern w:val="2"/>
        </w:rPr>
        <w:t>Зразки сироватки крові дорослих пацієнтів досліджували на наявність аутоантитіл у кількох контрольних часових точках.</w:t>
      </w:r>
      <w:r w:rsidRPr="00FE289C">
        <w:rPr>
          <w:kern w:val="2"/>
          <w:lang w:val="ru-RU"/>
        </w:rPr>
        <w:t xml:space="preserve"> </w:t>
      </w:r>
      <w:r w:rsidRPr="00FE289C">
        <w:rPr>
          <w:kern w:val="2"/>
        </w:rPr>
        <w:t>Серед пацієнтів з ревматоїдним артритом, у яких оцінювали наявність антинуклеарних антитіл, відсоток пацієнтів, які вперше стали позитивними стосовно утворення антинуклеарних антитіл (≥1:40), був вищим серед пацієнтів, які отримували Енбрел</w:t>
      </w:r>
      <w:r w:rsidRPr="00FE289C">
        <w:rPr>
          <w:kern w:val="2"/>
          <w:vertAlign w:val="superscript"/>
        </w:rPr>
        <w:t>®</w:t>
      </w:r>
      <w:r w:rsidRPr="00FE289C">
        <w:rPr>
          <w:kern w:val="2"/>
        </w:rPr>
        <w:t xml:space="preserve"> (11 %), порівняно із пацієнтами, які отримували плацебо (5 %). Відсоток пацієнтів, які вперше стали позитивними щодо утворення антитіл до нативної дволанцюгової ДНК, також був вищим серед пацієнтів, які отримували Енбрел</w:t>
      </w:r>
      <w:r w:rsidRPr="00FE289C">
        <w:rPr>
          <w:kern w:val="2"/>
          <w:vertAlign w:val="superscript"/>
        </w:rPr>
        <w:t>®</w:t>
      </w:r>
      <w:r w:rsidRPr="00FE289C">
        <w:rPr>
          <w:kern w:val="2"/>
        </w:rPr>
        <w:t xml:space="preserve"> (за даними радіоімунного аналізу: 15 % пацієнтів, які отримували Енбрел</w:t>
      </w:r>
      <w:r w:rsidRPr="00FE289C">
        <w:rPr>
          <w:kern w:val="2"/>
          <w:vertAlign w:val="superscript"/>
        </w:rPr>
        <w:t>®</w:t>
      </w:r>
      <w:r w:rsidRPr="00FE289C">
        <w:rPr>
          <w:kern w:val="2"/>
        </w:rPr>
        <w:t>,</w:t>
      </w:r>
      <w:r w:rsidRPr="00FE289C">
        <w:rPr>
          <w:kern w:val="2"/>
          <w:vertAlign w:val="superscript"/>
        </w:rPr>
        <w:t xml:space="preserve"> </w:t>
      </w:r>
      <w:r w:rsidRPr="00FE289C">
        <w:rPr>
          <w:kern w:val="2"/>
        </w:rPr>
        <w:t xml:space="preserve">та 4 % пацієнтів, які отримували плацебо; за даними тесту з </w:t>
      </w:r>
      <w:r w:rsidRPr="00FE289C">
        <w:rPr>
          <w:i/>
          <w:kern w:val="2"/>
        </w:rPr>
        <w:t>Crithidia luciliae:</w:t>
      </w:r>
      <w:r w:rsidRPr="00FE289C">
        <w:rPr>
          <w:kern w:val="2"/>
        </w:rPr>
        <w:t xml:space="preserve"> 3 % та 0 % відповідно). Аналогічно кількість пацієнтів, які отримували лікування препаратом та у яких утворились антикардіоліпінові антитіла, була більшою порівняно з пацієнтами, які отримували плацебо. Вплив тривалого лікування препаратом Енбрел</w:t>
      </w:r>
      <w:r w:rsidRPr="00FE289C">
        <w:rPr>
          <w:kern w:val="2"/>
          <w:vertAlign w:val="superscript"/>
        </w:rPr>
        <w:t>®</w:t>
      </w:r>
      <w:r w:rsidRPr="00FE289C">
        <w:rPr>
          <w:kern w:val="2"/>
        </w:rPr>
        <w:t xml:space="preserve"> на розвиток аутоімунних захворювань невідомий.</w:t>
      </w:r>
    </w:p>
    <w:p w14:paraId="76900A6E" w14:textId="77777777" w:rsidR="00FE289C" w:rsidRPr="00FE289C" w:rsidRDefault="00FE289C" w:rsidP="00FE289C">
      <w:pPr>
        <w:pStyle w:val="a9"/>
        <w:rPr>
          <w:kern w:val="2"/>
        </w:rPr>
      </w:pPr>
      <w:r w:rsidRPr="00FE289C">
        <w:rPr>
          <w:kern w:val="2"/>
        </w:rPr>
        <w:t>Надходили поодинокі повідомлення про пацієнтів, у тому числі із позитивним ревматоїдним фактором, у яких утворилися інші аутоантитіла із одночасним виникненням вовчакоподібного синдрому або висипів, які за своєю клінічною картиною та результатами біопсії нагадували підгострий шкірний вовчак або дискоїдний вовчак.</w:t>
      </w:r>
    </w:p>
    <w:p w14:paraId="0EED279C" w14:textId="77777777" w:rsidR="00FE289C" w:rsidRPr="00FE289C" w:rsidRDefault="00FE289C" w:rsidP="00FE289C">
      <w:pPr>
        <w:pStyle w:val="a9"/>
        <w:rPr>
          <w:i/>
          <w:kern w:val="2"/>
        </w:rPr>
      </w:pPr>
      <w:r w:rsidRPr="00FE289C">
        <w:rPr>
          <w:i/>
          <w:kern w:val="2"/>
        </w:rPr>
        <w:t>Панцитопенія та апластична анемія.</w:t>
      </w:r>
    </w:p>
    <w:p w14:paraId="3B1532B6" w14:textId="77777777" w:rsidR="00FE289C" w:rsidRPr="00FE289C" w:rsidRDefault="00FE289C" w:rsidP="00FE289C">
      <w:pPr>
        <w:pStyle w:val="a9"/>
        <w:rPr>
          <w:kern w:val="2"/>
        </w:rPr>
      </w:pPr>
      <w:r w:rsidRPr="00FE289C">
        <w:rPr>
          <w:kern w:val="2"/>
        </w:rPr>
        <w:t>У постмаркетинговий період було отримано повідомлення про випадки панцитопенії та апластичної анемії, деякі з яких мали летальний наслідок (див. розділ «Особливості застосування»).</w:t>
      </w:r>
    </w:p>
    <w:p w14:paraId="37473BF2" w14:textId="77777777" w:rsidR="00FE289C" w:rsidRPr="00FE289C" w:rsidRDefault="00FE289C" w:rsidP="00FE289C">
      <w:pPr>
        <w:pStyle w:val="a9"/>
        <w:rPr>
          <w:i/>
          <w:kern w:val="2"/>
        </w:rPr>
      </w:pPr>
      <w:r w:rsidRPr="00FE289C">
        <w:rPr>
          <w:i/>
          <w:kern w:val="2"/>
        </w:rPr>
        <w:t>Інтерстиціальне захворювання легень.</w:t>
      </w:r>
    </w:p>
    <w:p w14:paraId="42D385DC" w14:textId="77777777" w:rsidR="00FE289C" w:rsidRPr="00FE289C" w:rsidRDefault="00FE289C" w:rsidP="00FE289C">
      <w:pPr>
        <w:pStyle w:val="a9"/>
        <w:rPr>
          <w:kern w:val="2"/>
        </w:rPr>
      </w:pPr>
      <w:r w:rsidRPr="00FE289C">
        <w:rPr>
          <w:kern w:val="2"/>
        </w:rPr>
        <w:t>У постмаркетинговий період було отримано повідомлення про випадки інтерстиціального захворювання легень (включаючи пневмоніт та фіброз легень), деякі з яких мали летальний наслідок.</w:t>
      </w:r>
    </w:p>
    <w:p w14:paraId="47C325AF" w14:textId="77777777" w:rsidR="00FE289C" w:rsidRPr="00FE289C" w:rsidRDefault="00FE289C" w:rsidP="00FE289C">
      <w:pPr>
        <w:pStyle w:val="a9"/>
        <w:rPr>
          <w:i/>
          <w:kern w:val="2"/>
        </w:rPr>
      </w:pPr>
      <w:r w:rsidRPr="00FE289C">
        <w:rPr>
          <w:i/>
          <w:kern w:val="2"/>
        </w:rPr>
        <w:t>Супутнє лікування анакінрою.</w:t>
      </w:r>
    </w:p>
    <w:p w14:paraId="24897F78" w14:textId="77777777" w:rsidR="00FE289C" w:rsidRPr="00FE289C" w:rsidRDefault="00FE289C" w:rsidP="00FE289C">
      <w:pPr>
        <w:pStyle w:val="a9"/>
        <w:rPr>
          <w:kern w:val="2"/>
        </w:rPr>
      </w:pPr>
      <w:r w:rsidRPr="00FE289C">
        <w:rPr>
          <w:kern w:val="2"/>
        </w:rPr>
        <w:t>У дослідженнях, під час яких дорослі пацієнти одночасно отримували препарат Енбрел</w:t>
      </w:r>
      <w:r w:rsidRPr="00FE289C">
        <w:rPr>
          <w:kern w:val="2"/>
          <w:vertAlign w:val="superscript"/>
        </w:rPr>
        <w:t>®</w:t>
      </w:r>
      <w:r w:rsidRPr="00FE289C">
        <w:rPr>
          <w:kern w:val="2"/>
        </w:rPr>
        <w:t xml:space="preserve"> та анакінру, частота виникнення тяжких інфекцій була вищою порівняно із такою при монотерапії препаратом Енбрел</w:t>
      </w:r>
      <w:r w:rsidRPr="00FE289C">
        <w:rPr>
          <w:kern w:val="2"/>
          <w:vertAlign w:val="superscript"/>
        </w:rPr>
        <w:t>®</w:t>
      </w:r>
      <w:r w:rsidRPr="00FE289C">
        <w:rPr>
          <w:kern w:val="2"/>
        </w:rPr>
        <w:t>. У 2 % пацієнтів (3 зі 139) розвинулася нейтропенія (абсолютне число нейтрофілів &lt;1000/мм</w:t>
      </w:r>
      <w:r w:rsidRPr="00FE289C">
        <w:rPr>
          <w:kern w:val="2"/>
          <w:vertAlign w:val="superscript"/>
        </w:rPr>
        <w:t>3</w:t>
      </w:r>
      <w:r w:rsidRPr="00FE289C">
        <w:rPr>
          <w:kern w:val="2"/>
        </w:rPr>
        <w:t>). На фоні нейтропенії у одного пацієнта розвинувся целюліт, який було вилікувано в умовах стаціонару (див. розділи «Особливості застосування» та «Взаємодія з іншими лікарськими засобами та інші види взаємодій»).</w:t>
      </w:r>
    </w:p>
    <w:p w14:paraId="49EBF0B7" w14:textId="77777777" w:rsidR="00FE289C" w:rsidRPr="00FE289C" w:rsidRDefault="00FE289C" w:rsidP="00FE289C">
      <w:pPr>
        <w:pStyle w:val="a9"/>
        <w:rPr>
          <w:i/>
          <w:iCs/>
          <w:kern w:val="2"/>
        </w:rPr>
      </w:pPr>
      <w:r w:rsidRPr="00FE289C">
        <w:rPr>
          <w:i/>
          <w:iCs/>
          <w:kern w:val="2"/>
        </w:rPr>
        <w:t>Підвищення рівнів печінкових ферментів.</w:t>
      </w:r>
    </w:p>
    <w:p w14:paraId="7B7E7950" w14:textId="77777777" w:rsidR="00FE289C" w:rsidRPr="00FE289C" w:rsidRDefault="00FE289C" w:rsidP="00FE289C">
      <w:pPr>
        <w:pStyle w:val="a9"/>
        <w:rPr>
          <w:kern w:val="2"/>
        </w:rPr>
      </w:pPr>
      <w:r w:rsidRPr="00FE289C">
        <w:rPr>
          <w:kern w:val="2"/>
        </w:rPr>
        <w:t>Протягом подвійних сліпих періодів контрольованих клінічних досліджень етанерцепту для всіх показань частота (частка випадків) побічних реакцій у формі підвищення рівнів печінкових ферментів у пацієнтів, які отримували етанерцепт без одночасного застосування метотрексату, становила 0,54 % (нечасто). Протягом подвійних сліпих періодів контрольованих клінічних досліджень, в яких було дозволено одночасне застосування етанерцепту та метотрексату, частота (частка випадків) побічних реакцій у формі підвищення рівнів печінкових ферментів становила 4,18 % (часто).</w:t>
      </w:r>
    </w:p>
    <w:p w14:paraId="3E00F44A" w14:textId="77777777" w:rsidR="00FE289C" w:rsidRPr="00FE289C" w:rsidRDefault="00FE289C" w:rsidP="00FE289C">
      <w:pPr>
        <w:pStyle w:val="a9"/>
        <w:rPr>
          <w:kern w:val="2"/>
          <w:u w:val="single"/>
          <w:lang w:val="ru-RU"/>
        </w:rPr>
      </w:pPr>
      <w:r w:rsidRPr="00FE289C">
        <w:rPr>
          <w:kern w:val="2"/>
          <w:u w:val="single"/>
        </w:rPr>
        <w:t>Діти.</w:t>
      </w:r>
    </w:p>
    <w:p w14:paraId="45A888E2" w14:textId="77777777" w:rsidR="00FE289C" w:rsidRPr="00FE289C" w:rsidRDefault="00FE289C" w:rsidP="00FE289C">
      <w:pPr>
        <w:pStyle w:val="a9"/>
        <w:rPr>
          <w:i/>
          <w:kern w:val="2"/>
        </w:rPr>
      </w:pPr>
      <w:r w:rsidRPr="00FE289C">
        <w:rPr>
          <w:i/>
          <w:kern w:val="2"/>
        </w:rPr>
        <w:lastRenderedPageBreak/>
        <w:t>Побічні ефекти у дітей з ювенільним ідіопатичним артритом.</w:t>
      </w:r>
    </w:p>
    <w:p w14:paraId="6D98234F" w14:textId="77777777" w:rsidR="00FE289C" w:rsidRPr="00FE289C" w:rsidRDefault="00FE289C" w:rsidP="00FE289C">
      <w:pPr>
        <w:pStyle w:val="a9"/>
        <w:rPr>
          <w:kern w:val="2"/>
        </w:rPr>
      </w:pPr>
      <w:r w:rsidRPr="00FE289C">
        <w:rPr>
          <w:kern w:val="2"/>
        </w:rPr>
        <w:t xml:space="preserve">У цілому побічні ефекти у дітей з ювенільним </w:t>
      </w:r>
      <w:r w:rsidRPr="00FE289C">
        <w:rPr>
          <w:i/>
          <w:kern w:val="2"/>
        </w:rPr>
        <w:t>поліартикулярним</w:t>
      </w:r>
      <w:r w:rsidRPr="00FE289C">
        <w:rPr>
          <w:kern w:val="2"/>
        </w:rPr>
        <w:t xml:space="preserve"> ідіопатичним артритом були подібними за частотою і типом до тих, що спостерігалися у дорослих пацієнтів. Відмінності від дорослих та інші специфічні дані, які потребують урахування, наведено нижче.</w:t>
      </w:r>
    </w:p>
    <w:p w14:paraId="008F8C68" w14:textId="77777777" w:rsidR="00FE289C" w:rsidRPr="00FE289C" w:rsidRDefault="00FE289C" w:rsidP="00FE289C">
      <w:pPr>
        <w:pStyle w:val="a9"/>
        <w:rPr>
          <w:kern w:val="2"/>
        </w:rPr>
      </w:pPr>
      <w:r w:rsidRPr="00FE289C">
        <w:rPr>
          <w:kern w:val="2"/>
        </w:rPr>
        <w:t xml:space="preserve">Інфекції, що спостерігалися під час клінічних досліджень за участю пацієнтів з ювенільним ідіопатичним артритом віком від 2 до 18 років, як правило, були від легкого до помірного ступеня тяжкості, а за типом відповідали тим, що зазвичай зустрічаються у дітей, які лікуються амбулаторно. До зафіксованих тяжких побічних реакцій належали вітряна віспа з ознаками та симптомами асептичного менінгіту, які минали без будь-яких ускладнень (див. також розділ «Особливості застосування»), апендицит, гастроентерит, депресія/розлад особистості, виразкове ураження шкіри, езофагіт/гастрит, септичний шок, викликаний стрептококом групи А, цукровий діабет 1-го типу та інфекція м'яких тканин і післяопераційних ран. </w:t>
      </w:r>
    </w:p>
    <w:p w14:paraId="1E0A2B41" w14:textId="77777777" w:rsidR="00FE289C" w:rsidRPr="00FE289C" w:rsidRDefault="00FE289C" w:rsidP="00FE289C">
      <w:pPr>
        <w:pStyle w:val="a9"/>
        <w:rPr>
          <w:kern w:val="2"/>
        </w:rPr>
      </w:pPr>
      <w:r w:rsidRPr="00FE289C">
        <w:rPr>
          <w:kern w:val="2"/>
        </w:rPr>
        <w:t>У одному дослідженні із залученням дітей з ювенільним ідіопатичним артритом віком від 4 до 17 років під час застосування препарату Енбрел</w:t>
      </w:r>
      <w:r w:rsidRPr="00FE289C">
        <w:rPr>
          <w:kern w:val="2"/>
          <w:vertAlign w:val="superscript"/>
        </w:rPr>
        <w:t>®</w:t>
      </w:r>
      <w:r w:rsidRPr="00FE289C">
        <w:rPr>
          <w:kern w:val="2"/>
        </w:rPr>
        <w:t xml:space="preserve"> протягом 3 місяців (перша відкрита частина дослідження) інфекція виникла у 62 % дітей (43 з 69). Частота виникнення і тяжкість інфекцій у 58 пацієнтів, які завершили раніше розпочате лікування під час 12-місячного відкритого клінічного дослідження, були аналогічними. Види і співвідношення побічних явищ у пацієнтів з ювенільним ідіопатичним артритом були подібними до тих, що спостерігалися в дослідженнях препарату Енбрел</w:t>
      </w:r>
      <w:r w:rsidRPr="00FE289C">
        <w:rPr>
          <w:kern w:val="2"/>
          <w:vertAlign w:val="superscript"/>
        </w:rPr>
        <w:t>®</w:t>
      </w:r>
      <w:r w:rsidRPr="00FE289C">
        <w:rPr>
          <w:kern w:val="2"/>
        </w:rPr>
        <w:t xml:space="preserve"> із залученням дорослих пацієнтів з ревматоїдним артритом. Більшість із них були легкими. Деякі побічні реакції спостерігалися частіше у 69 пацієнтів з ювенільним ідіопатичним артритом, які отримували лікування препаратом Енбрел</w:t>
      </w:r>
      <w:r w:rsidRPr="00FE289C">
        <w:rPr>
          <w:kern w:val="2"/>
          <w:vertAlign w:val="superscript"/>
        </w:rPr>
        <w:t>®</w:t>
      </w:r>
      <w:r w:rsidRPr="00FE289C">
        <w:rPr>
          <w:kern w:val="2"/>
        </w:rPr>
        <w:t xml:space="preserve"> протягом 3 місяців, порівняно з 349 дорослими пацієнтами з ревматоїдним артритом. До них належать головний біль (19 % пацієнтів, 1,7 випадку на одного пацієнта на рік), нудота (9 %, 1,0 випадок на одного пацієнта на рік), біль у животі (19 %, 0,74 випадку на одного пацієнта на рік) і блювання (13 %, 0,74 випадку на одного пацієнта на рік).</w:t>
      </w:r>
    </w:p>
    <w:p w14:paraId="072A1C4F" w14:textId="77777777" w:rsidR="00FE289C" w:rsidRPr="00FE289C" w:rsidRDefault="00FE289C" w:rsidP="00FE289C">
      <w:pPr>
        <w:pStyle w:val="a9"/>
        <w:rPr>
          <w:kern w:val="2"/>
        </w:rPr>
      </w:pPr>
      <w:r w:rsidRPr="00FE289C">
        <w:rPr>
          <w:kern w:val="2"/>
        </w:rPr>
        <w:t>Під час проведення клінічних випробувань серед пацієнтів з ювенільним ідіопатичним артритом зареєстровано 4 випадки виникнення синдрому активації макрофагів.</w:t>
      </w:r>
    </w:p>
    <w:p w14:paraId="758CAA72" w14:textId="77777777" w:rsidR="00FE289C" w:rsidRPr="00FE289C" w:rsidRDefault="00FE289C" w:rsidP="00FE289C">
      <w:pPr>
        <w:pStyle w:val="a9"/>
        <w:rPr>
          <w:kern w:val="2"/>
        </w:rPr>
      </w:pPr>
      <w:r w:rsidRPr="00FE289C">
        <w:rPr>
          <w:kern w:val="2"/>
        </w:rPr>
        <w:t>У постмаркетинговий період було отримано повідомлення про випадки розвитку запалення кишечнику та увеїту у пацієнтів з ювенільним ідіопатичним артритом, які застосовували Енбрел</w:t>
      </w:r>
      <w:r w:rsidRPr="00FE289C">
        <w:rPr>
          <w:kern w:val="2"/>
          <w:vertAlign w:val="superscript"/>
        </w:rPr>
        <w:t>®</w:t>
      </w:r>
      <w:r w:rsidRPr="00FE289C">
        <w:rPr>
          <w:kern w:val="2"/>
        </w:rPr>
        <w:t xml:space="preserve">, включаючи незначну кількість випадків відновлення побічної реакції при повторному призначенні препарату (див. розділ «Особливості застосування»). </w:t>
      </w:r>
    </w:p>
    <w:p w14:paraId="3073D243" w14:textId="77777777" w:rsidR="00FE289C" w:rsidRPr="00FE289C" w:rsidRDefault="00FE289C" w:rsidP="00FE289C">
      <w:pPr>
        <w:pStyle w:val="a9"/>
        <w:rPr>
          <w:i/>
          <w:kern w:val="2"/>
        </w:rPr>
      </w:pPr>
      <w:r w:rsidRPr="00FE289C">
        <w:rPr>
          <w:i/>
          <w:kern w:val="2"/>
        </w:rPr>
        <w:t>Побічні ефекти у дітей з  бляшковим псоріазом</w:t>
      </w:r>
    </w:p>
    <w:p w14:paraId="6656135A" w14:textId="77777777" w:rsidR="00FE289C" w:rsidRPr="00FE289C" w:rsidRDefault="00FE289C" w:rsidP="00FE289C">
      <w:pPr>
        <w:pStyle w:val="a9"/>
        <w:rPr>
          <w:kern w:val="2"/>
        </w:rPr>
      </w:pPr>
      <w:r w:rsidRPr="00FE289C">
        <w:rPr>
          <w:kern w:val="2"/>
        </w:rPr>
        <w:t>У 48-тижневому дослідженні за участю 211 дітей з бляшковим псоріазом віком від 4 до 17 років виявлені побічні ефекти були подібними до тих, що спостерігалися у попередніх дослідженнях із залученням дорослих пацієнтів з бляшковим псоріазом.</w:t>
      </w:r>
    </w:p>
    <w:p w14:paraId="0F315AAF" w14:textId="77777777" w:rsidR="00FE289C" w:rsidRPr="00FE289C" w:rsidRDefault="00FE289C" w:rsidP="00FE289C">
      <w:pPr>
        <w:pStyle w:val="a9"/>
        <w:rPr>
          <w:i/>
          <w:kern w:val="2"/>
        </w:rPr>
      </w:pPr>
    </w:p>
    <w:p w14:paraId="7370B021" w14:textId="77777777" w:rsidR="00FE289C" w:rsidRPr="00FE289C" w:rsidRDefault="00FE289C" w:rsidP="00FE289C">
      <w:pPr>
        <w:pStyle w:val="a9"/>
        <w:rPr>
          <w:i/>
          <w:kern w:val="2"/>
        </w:rPr>
      </w:pPr>
      <w:r w:rsidRPr="00FE289C">
        <w:rPr>
          <w:i/>
          <w:kern w:val="2"/>
        </w:rPr>
        <w:t>Звітування про підозрювані побічні реакції</w:t>
      </w:r>
    </w:p>
    <w:p w14:paraId="4521E9E9" w14:textId="77777777" w:rsidR="00FE289C" w:rsidRPr="00FE289C" w:rsidRDefault="00FE289C" w:rsidP="00FE289C">
      <w:pPr>
        <w:pStyle w:val="a9"/>
        <w:rPr>
          <w:kern w:val="2"/>
          <w:lang w:val="ru-RU"/>
        </w:rPr>
      </w:pPr>
      <w:r w:rsidRPr="00FE289C">
        <w:rPr>
          <w:kern w:val="2"/>
        </w:rPr>
        <w:t xml:space="preserve">Звітування про підозрювані побічні реакції після реєстрації лікарського засобу має важливе значення. Це дає змогу здійснювати безперервний моніторинг співвідношення між користю та </w:t>
      </w:r>
      <w:r w:rsidRPr="00FE289C">
        <w:rPr>
          <w:kern w:val="2"/>
        </w:rPr>
        <w:lastRenderedPageBreak/>
        <w:t xml:space="preserve">ризиками, пов’язаними із застосуванням лікарського засобу. Медичних працівників просять звітувати про будь-які підозрювані побічні реакції.  </w:t>
      </w:r>
    </w:p>
    <w:p w14:paraId="41175627" w14:textId="77777777" w:rsidR="00FE289C" w:rsidRPr="00FE289C" w:rsidRDefault="00FE289C" w:rsidP="00FE289C">
      <w:pPr>
        <w:pStyle w:val="a9"/>
        <w:rPr>
          <w:kern w:val="2"/>
          <w:lang w:val="ru-RU"/>
        </w:rPr>
      </w:pPr>
    </w:p>
    <w:p w14:paraId="3750ED16" w14:textId="77777777" w:rsidR="00FE289C" w:rsidRPr="00FE289C" w:rsidRDefault="00FE289C" w:rsidP="00FE289C">
      <w:pPr>
        <w:pStyle w:val="a9"/>
        <w:rPr>
          <w:kern w:val="2"/>
        </w:rPr>
      </w:pPr>
      <w:r w:rsidRPr="00FE289C">
        <w:rPr>
          <w:b/>
          <w:bCs/>
          <w:i/>
          <w:iCs/>
          <w:kern w:val="2"/>
        </w:rPr>
        <w:t>Термін придатності.</w:t>
      </w:r>
    </w:p>
    <w:p w14:paraId="36A43371" w14:textId="77777777" w:rsidR="00FE289C" w:rsidRPr="00FE289C" w:rsidRDefault="00FE289C" w:rsidP="00FE289C">
      <w:pPr>
        <w:pStyle w:val="a9"/>
        <w:rPr>
          <w:kern w:val="2"/>
        </w:rPr>
      </w:pPr>
      <w:r w:rsidRPr="00FE289C">
        <w:rPr>
          <w:kern w:val="2"/>
        </w:rPr>
        <w:t>30 місяців.</w:t>
      </w:r>
    </w:p>
    <w:p w14:paraId="545656B5" w14:textId="77777777" w:rsidR="00FE289C" w:rsidRPr="00FE289C" w:rsidRDefault="00FE289C" w:rsidP="00FE289C">
      <w:pPr>
        <w:pStyle w:val="a9"/>
        <w:rPr>
          <w:kern w:val="2"/>
        </w:rPr>
      </w:pPr>
    </w:p>
    <w:p w14:paraId="0F4943BC" w14:textId="77777777" w:rsidR="00FE289C" w:rsidRPr="00FE289C" w:rsidRDefault="00FE289C" w:rsidP="00FE289C">
      <w:pPr>
        <w:pStyle w:val="a9"/>
        <w:rPr>
          <w:b/>
          <w:kern w:val="2"/>
        </w:rPr>
      </w:pPr>
      <w:r w:rsidRPr="00FE289C">
        <w:rPr>
          <w:b/>
          <w:bCs/>
          <w:kern w:val="2"/>
        </w:rPr>
        <w:t>Умови зберігання.</w:t>
      </w:r>
    </w:p>
    <w:p w14:paraId="08B83EF2" w14:textId="77777777" w:rsidR="00FE289C" w:rsidRPr="00FE289C" w:rsidRDefault="00FE289C" w:rsidP="00FE289C">
      <w:pPr>
        <w:pStyle w:val="a9"/>
        <w:rPr>
          <w:kern w:val="2"/>
        </w:rPr>
      </w:pPr>
      <w:r w:rsidRPr="00FE289C">
        <w:rPr>
          <w:kern w:val="2"/>
        </w:rPr>
        <w:t xml:space="preserve">Зберігати при температурі від 2 до 8 °С. Не заморожувати. Зберігати в недоступному для дітей місці. </w:t>
      </w:r>
    </w:p>
    <w:p w14:paraId="1F536D82" w14:textId="77777777" w:rsidR="00FE289C" w:rsidRPr="00FE289C" w:rsidRDefault="00FE289C" w:rsidP="00FE289C">
      <w:pPr>
        <w:pStyle w:val="a9"/>
        <w:rPr>
          <w:kern w:val="2"/>
        </w:rPr>
      </w:pPr>
      <w:r w:rsidRPr="00FE289C">
        <w:rPr>
          <w:kern w:val="2"/>
        </w:rPr>
        <w:t xml:space="preserve">Препарат у межах терміну придатності можна зберігати при температурі не вище 25 °С однократно протягом 4 тижнів, після чого препарат не можна повторно зберігати в холодильнику. Препарат потрібно утилізувати, якщо він не був використаний протягом 4 тижнів після зберігання поза холодильником. </w:t>
      </w:r>
    </w:p>
    <w:p w14:paraId="5E9CD26A" w14:textId="77777777" w:rsidR="00FE289C" w:rsidRPr="00FE289C" w:rsidRDefault="00FE289C" w:rsidP="00FE289C">
      <w:pPr>
        <w:pStyle w:val="a9"/>
        <w:rPr>
          <w:b/>
          <w:kern w:val="2"/>
        </w:rPr>
      </w:pPr>
      <w:r w:rsidRPr="00FE289C">
        <w:rPr>
          <w:kern w:val="2"/>
        </w:rPr>
        <w:t>Препарат зберігати в оригінальній упаковці для захисту від світла.</w:t>
      </w:r>
    </w:p>
    <w:p w14:paraId="41412392" w14:textId="77777777" w:rsidR="00FE289C" w:rsidRPr="00FE289C" w:rsidRDefault="00FE289C" w:rsidP="00FE289C">
      <w:pPr>
        <w:pStyle w:val="a9"/>
        <w:rPr>
          <w:b/>
          <w:kern w:val="2"/>
        </w:rPr>
      </w:pPr>
    </w:p>
    <w:p w14:paraId="7AFE6390" w14:textId="77777777" w:rsidR="00FE289C" w:rsidRPr="00FE289C" w:rsidRDefault="00FE289C" w:rsidP="00FE289C">
      <w:pPr>
        <w:pStyle w:val="a9"/>
        <w:rPr>
          <w:b/>
          <w:kern w:val="2"/>
        </w:rPr>
      </w:pPr>
      <w:r w:rsidRPr="00FE289C">
        <w:rPr>
          <w:b/>
          <w:bCs/>
          <w:i/>
          <w:iCs/>
          <w:kern w:val="2"/>
        </w:rPr>
        <w:t>Несумісність.</w:t>
      </w:r>
    </w:p>
    <w:p w14:paraId="0C3E8F1D" w14:textId="77777777" w:rsidR="00FE289C" w:rsidRPr="00FE289C" w:rsidRDefault="00FE289C" w:rsidP="00FE289C">
      <w:pPr>
        <w:pStyle w:val="a9"/>
        <w:rPr>
          <w:kern w:val="2"/>
        </w:rPr>
      </w:pPr>
      <w:r w:rsidRPr="00FE289C">
        <w:rPr>
          <w:kern w:val="2"/>
        </w:rPr>
        <w:t>Не слід змішувати Енбрел</w:t>
      </w:r>
      <w:r w:rsidRPr="00FE289C">
        <w:rPr>
          <w:kern w:val="2"/>
          <w:vertAlign w:val="superscript"/>
        </w:rPr>
        <w:t>®</w:t>
      </w:r>
      <w:r w:rsidRPr="00FE289C">
        <w:rPr>
          <w:kern w:val="2"/>
        </w:rPr>
        <w:t xml:space="preserve"> з іншими лікарськими засобами, оскільки дослідження сумісності етанерцепту не проводились. </w:t>
      </w:r>
    </w:p>
    <w:p w14:paraId="5705127E" w14:textId="77777777" w:rsidR="00FE289C" w:rsidRPr="00FE289C" w:rsidRDefault="00FE289C" w:rsidP="00FE289C">
      <w:pPr>
        <w:pStyle w:val="a9"/>
        <w:rPr>
          <w:kern w:val="2"/>
          <w:lang w:val="ru-RU"/>
        </w:rPr>
      </w:pPr>
    </w:p>
    <w:p w14:paraId="78A34622" w14:textId="77777777" w:rsidR="00FE289C" w:rsidRPr="00FE289C" w:rsidRDefault="00FE289C" w:rsidP="00FE289C">
      <w:pPr>
        <w:pStyle w:val="a9"/>
        <w:rPr>
          <w:b/>
          <w:bCs/>
          <w:kern w:val="2"/>
        </w:rPr>
      </w:pPr>
      <w:r w:rsidRPr="00FE289C">
        <w:rPr>
          <w:b/>
          <w:bCs/>
          <w:kern w:val="2"/>
        </w:rPr>
        <w:t>Упаковка.</w:t>
      </w:r>
    </w:p>
    <w:p w14:paraId="2AC688CE" w14:textId="77777777" w:rsidR="00FE289C" w:rsidRPr="00FE289C" w:rsidRDefault="00FE289C" w:rsidP="00FE289C">
      <w:pPr>
        <w:pStyle w:val="a9"/>
        <w:rPr>
          <w:kern w:val="2"/>
          <w:lang w:val="ru-RU"/>
        </w:rPr>
      </w:pPr>
      <w:r w:rsidRPr="00FE289C">
        <w:rPr>
          <w:kern w:val="2"/>
          <w:lang w:val="ru-RU"/>
        </w:rPr>
        <w:t>4 попередньо наповнені шприци по 0,5 мл (25 мг)</w:t>
      </w:r>
      <w:r w:rsidRPr="00FE289C">
        <w:rPr>
          <w:kern w:val="2"/>
        </w:rPr>
        <w:t xml:space="preserve"> або </w:t>
      </w:r>
      <w:r w:rsidRPr="00FE289C">
        <w:rPr>
          <w:kern w:val="2"/>
          <w:lang w:val="ru-RU"/>
        </w:rPr>
        <w:t xml:space="preserve">по 1 мл (50 мг), </w:t>
      </w:r>
      <w:r w:rsidRPr="00FE289C">
        <w:rPr>
          <w:kern w:val="2"/>
        </w:rPr>
        <w:t xml:space="preserve">або </w:t>
      </w:r>
      <w:r w:rsidRPr="00FE289C">
        <w:rPr>
          <w:kern w:val="2"/>
          <w:lang w:val="ru-RU"/>
        </w:rPr>
        <w:t>4 попередньо наповнені ручки по 1 мл (50 мг)</w:t>
      </w:r>
      <w:r w:rsidRPr="00FE289C">
        <w:rPr>
          <w:kern w:val="2"/>
        </w:rPr>
        <w:t xml:space="preserve">, </w:t>
      </w:r>
      <w:r w:rsidRPr="00FE289C">
        <w:rPr>
          <w:kern w:val="2"/>
          <w:lang w:val="ru-RU"/>
        </w:rPr>
        <w:t>4 тампони зі спиртом у пластиковому контейнері; пластиковий контейнер у картонній коробці.</w:t>
      </w:r>
    </w:p>
    <w:p w14:paraId="1D7B0375" w14:textId="77777777" w:rsidR="00FE289C" w:rsidRPr="00FE289C" w:rsidRDefault="00FE289C" w:rsidP="00FE289C">
      <w:pPr>
        <w:pStyle w:val="a9"/>
        <w:rPr>
          <w:bCs/>
          <w:kern w:val="2"/>
        </w:rPr>
      </w:pPr>
    </w:p>
    <w:p w14:paraId="134050F6" w14:textId="77777777" w:rsidR="00FE289C" w:rsidRPr="00FE289C" w:rsidRDefault="00FE289C" w:rsidP="00FE289C">
      <w:pPr>
        <w:pStyle w:val="a9"/>
        <w:rPr>
          <w:kern w:val="2"/>
        </w:rPr>
      </w:pPr>
      <w:r w:rsidRPr="00FE289C">
        <w:rPr>
          <w:b/>
          <w:bCs/>
          <w:kern w:val="2"/>
        </w:rPr>
        <w:t>Категорія відпуску.</w:t>
      </w:r>
      <w:r w:rsidRPr="00FE289C">
        <w:rPr>
          <w:kern w:val="2"/>
        </w:rPr>
        <w:t xml:space="preserve"> За рецептом.</w:t>
      </w:r>
    </w:p>
    <w:p w14:paraId="256E9C59" w14:textId="77777777" w:rsidR="00FE289C" w:rsidRPr="00FE289C" w:rsidRDefault="00FE289C" w:rsidP="00FE289C">
      <w:pPr>
        <w:pStyle w:val="a9"/>
        <w:rPr>
          <w:b/>
          <w:kern w:val="2"/>
        </w:rPr>
      </w:pPr>
    </w:p>
    <w:p w14:paraId="1F70D7E7" w14:textId="77777777" w:rsidR="00FE289C" w:rsidRPr="00FE289C" w:rsidRDefault="00FE289C" w:rsidP="00FE289C">
      <w:pPr>
        <w:pStyle w:val="a9"/>
        <w:rPr>
          <w:kern w:val="2"/>
        </w:rPr>
      </w:pPr>
      <w:r w:rsidRPr="00FE289C">
        <w:rPr>
          <w:b/>
          <w:kern w:val="2"/>
        </w:rPr>
        <w:t>Виробник.</w:t>
      </w:r>
    </w:p>
    <w:p w14:paraId="47177D07" w14:textId="77777777" w:rsidR="00FE289C" w:rsidRPr="00FE289C" w:rsidRDefault="00FE289C" w:rsidP="00FE289C">
      <w:pPr>
        <w:pStyle w:val="a9"/>
        <w:rPr>
          <w:kern w:val="2"/>
        </w:rPr>
      </w:pPr>
      <w:r w:rsidRPr="00FE289C">
        <w:rPr>
          <w:kern w:val="2"/>
        </w:rPr>
        <w:t xml:space="preserve">Ваєт Фармасеутикалс / </w:t>
      </w:r>
      <w:r w:rsidRPr="00FE289C">
        <w:rPr>
          <w:kern w:val="2"/>
          <w:lang w:val="en-US"/>
        </w:rPr>
        <w:t>Wyeth</w:t>
      </w:r>
      <w:r w:rsidRPr="00FE289C">
        <w:rPr>
          <w:kern w:val="2"/>
        </w:rPr>
        <w:t xml:space="preserve"> </w:t>
      </w:r>
      <w:r w:rsidRPr="00FE289C">
        <w:rPr>
          <w:kern w:val="2"/>
          <w:lang w:val="en-US"/>
        </w:rPr>
        <w:t>Pharmaceuticals</w:t>
      </w:r>
      <w:r w:rsidRPr="00FE289C">
        <w:rPr>
          <w:kern w:val="2"/>
        </w:rPr>
        <w:t xml:space="preserve">. </w:t>
      </w:r>
    </w:p>
    <w:p w14:paraId="6B2453A7" w14:textId="77777777" w:rsidR="00FE289C" w:rsidRPr="00FE289C" w:rsidRDefault="00FE289C" w:rsidP="00FE289C">
      <w:pPr>
        <w:pStyle w:val="a9"/>
        <w:rPr>
          <w:b/>
          <w:kern w:val="2"/>
          <w:lang w:val="x-none"/>
        </w:rPr>
      </w:pPr>
    </w:p>
    <w:p w14:paraId="6BAA0CE6" w14:textId="77777777" w:rsidR="00FE289C" w:rsidRPr="00FE289C" w:rsidRDefault="00FE289C" w:rsidP="00FE289C">
      <w:pPr>
        <w:pStyle w:val="a9"/>
        <w:rPr>
          <w:b/>
          <w:kern w:val="2"/>
          <w:lang w:val="x-none"/>
        </w:rPr>
      </w:pPr>
      <w:r w:rsidRPr="00FE289C">
        <w:rPr>
          <w:b/>
          <w:kern w:val="2"/>
          <w:lang w:val="x-none"/>
        </w:rPr>
        <w:t>Місцезнаходження виробника та його адреса місця провадження діяльності.</w:t>
      </w:r>
    </w:p>
    <w:p w14:paraId="75BDCEA9" w14:textId="77777777" w:rsidR="00FE289C" w:rsidRPr="00FE289C" w:rsidRDefault="00FE289C" w:rsidP="00FE289C">
      <w:pPr>
        <w:pStyle w:val="a9"/>
        <w:rPr>
          <w:bCs/>
          <w:kern w:val="2"/>
          <w:lang w:val="x-none"/>
        </w:rPr>
      </w:pPr>
      <w:r w:rsidRPr="00FE289C">
        <w:rPr>
          <w:bCs/>
          <w:kern w:val="2"/>
          <w:lang w:val="x-none"/>
        </w:rPr>
        <w:t xml:space="preserve">Нью Лейн, Хавант, </w:t>
      </w:r>
      <w:r w:rsidRPr="00FE289C">
        <w:rPr>
          <w:bCs/>
          <w:kern w:val="2"/>
          <w:lang w:val="en-US"/>
        </w:rPr>
        <w:t>PO</w:t>
      </w:r>
      <w:r w:rsidRPr="00FE289C">
        <w:rPr>
          <w:bCs/>
          <w:kern w:val="2"/>
          <w:lang w:val="x-none"/>
        </w:rPr>
        <w:t>9 2</w:t>
      </w:r>
      <w:r w:rsidRPr="00FE289C">
        <w:rPr>
          <w:bCs/>
          <w:kern w:val="2"/>
          <w:lang w:val="en-US"/>
        </w:rPr>
        <w:t>NG</w:t>
      </w:r>
      <w:r w:rsidRPr="00FE289C">
        <w:rPr>
          <w:bCs/>
          <w:kern w:val="2"/>
          <w:lang w:val="x-none"/>
        </w:rPr>
        <w:t xml:space="preserve">, Велика Британія / </w:t>
      </w:r>
      <w:r w:rsidRPr="00FE289C">
        <w:rPr>
          <w:bCs/>
          <w:kern w:val="2"/>
          <w:lang w:val="en-US"/>
        </w:rPr>
        <w:t>New</w:t>
      </w:r>
      <w:r w:rsidRPr="00FE289C">
        <w:rPr>
          <w:bCs/>
          <w:kern w:val="2"/>
          <w:lang w:val="x-none"/>
        </w:rPr>
        <w:t xml:space="preserve"> </w:t>
      </w:r>
      <w:r w:rsidRPr="00FE289C">
        <w:rPr>
          <w:bCs/>
          <w:kern w:val="2"/>
          <w:lang w:val="en-US"/>
        </w:rPr>
        <w:t>Lane</w:t>
      </w:r>
      <w:r w:rsidRPr="00FE289C">
        <w:rPr>
          <w:bCs/>
          <w:kern w:val="2"/>
          <w:lang w:val="x-none"/>
        </w:rPr>
        <w:t xml:space="preserve">, </w:t>
      </w:r>
      <w:r w:rsidRPr="00FE289C">
        <w:rPr>
          <w:bCs/>
          <w:kern w:val="2"/>
          <w:lang w:val="en-US"/>
        </w:rPr>
        <w:t>Havant</w:t>
      </w:r>
      <w:r w:rsidRPr="00FE289C">
        <w:rPr>
          <w:bCs/>
          <w:kern w:val="2"/>
          <w:lang w:val="x-none"/>
        </w:rPr>
        <w:t xml:space="preserve">, </w:t>
      </w:r>
      <w:r w:rsidRPr="00FE289C">
        <w:rPr>
          <w:bCs/>
          <w:kern w:val="2"/>
          <w:lang w:val="en-US"/>
        </w:rPr>
        <w:t>PO</w:t>
      </w:r>
      <w:r w:rsidRPr="00FE289C">
        <w:rPr>
          <w:bCs/>
          <w:kern w:val="2"/>
          <w:lang w:val="x-none"/>
        </w:rPr>
        <w:t>9 2</w:t>
      </w:r>
      <w:r w:rsidRPr="00FE289C">
        <w:rPr>
          <w:bCs/>
          <w:kern w:val="2"/>
          <w:lang w:val="en-US"/>
        </w:rPr>
        <w:t>NG</w:t>
      </w:r>
      <w:r w:rsidRPr="00FE289C">
        <w:rPr>
          <w:bCs/>
          <w:kern w:val="2"/>
          <w:lang w:val="x-none"/>
        </w:rPr>
        <w:t xml:space="preserve">, </w:t>
      </w:r>
      <w:r w:rsidRPr="00FE289C">
        <w:rPr>
          <w:bCs/>
          <w:kern w:val="2"/>
          <w:lang w:val="en-US"/>
        </w:rPr>
        <w:t>United</w:t>
      </w:r>
      <w:r w:rsidRPr="00FE289C">
        <w:rPr>
          <w:bCs/>
          <w:kern w:val="2"/>
          <w:lang w:val="x-none"/>
        </w:rPr>
        <w:t xml:space="preserve"> </w:t>
      </w:r>
      <w:r w:rsidRPr="00FE289C">
        <w:rPr>
          <w:bCs/>
          <w:kern w:val="2"/>
          <w:lang w:val="en-US"/>
        </w:rPr>
        <w:t>Kingdom</w:t>
      </w:r>
      <w:r w:rsidRPr="00FE289C">
        <w:rPr>
          <w:bCs/>
          <w:kern w:val="2"/>
          <w:lang w:val="x-none"/>
        </w:rPr>
        <w:t>.</w:t>
      </w:r>
    </w:p>
    <w:p w14:paraId="0DAE1405" w14:textId="77777777" w:rsidR="00FE289C" w:rsidRPr="00FE289C" w:rsidRDefault="00FE289C" w:rsidP="00FE289C">
      <w:pPr>
        <w:pStyle w:val="a9"/>
        <w:rPr>
          <w:b/>
          <w:bCs/>
          <w:kern w:val="2"/>
        </w:rPr>
      </w:pPr>
    </w:p>
    <w:p w14:paraId="6A42C993" w14:textId="77777777" w:rsidR="00FE289C" w:rsidRPr="00407401" w:rsidRDefault="00FE289C" w:rsidP="00FE289C">
      <w:pPr>
        <w:pStyle w:val="a9"/>
        <w:rPr>
          <w:kern w:val="2"/>
          <w:lang w:val="ru-RU"/>
        </w:rPr>
      </w:pPr>
      <w:r w:rsidRPr="00FE289C">
        <w:rPr>
          <w:b/>
          <w:bCs/>
          <w:kern w:val="2"/>
          <w:lang w:val="ru-RU"/>
        </w:rPr>
        <w:t>Дата</w:t>
      </w:r>
      <w:r w:rsidRPr="00407401">
        <w:rPr>
          <w:b/>
          <w:bCs/>
          <w:kern w:val="2"/>
          <w:lang w:val="ru-RU"/>
        </w:rPr>
        <w:t xml:space="preserve"> </w:t>
      </w:r>
      <w:r w:rsidRPr="00FE289C">
        <w:rPr>
          <w:b/>
          <w:bCs/>
          <w:kern w:val="2"/>
          <w:lang w:val="ru-RU"/>
        </w:rPr>
        <w:t>останнього</w:t>
      </w:r>
      <w:r w:rsidRPr="00407401">
        <w:rPr>
          <w:b/>
          <w:bCs/>
          <w:kern w:val="2"/>
          <w:lang w:val="ru-RU"/>
        </w:rPr>
        <w:t xml:space="preserve"> </w:t>
      </w:r>
      <w:r w:rsidRPr="00FE289C">
        <w:rPr>
          <w:b/>
          <w:bCs/>
          <w:kern w:val="2"/>
          <w:lang w:val="ru-RU"/>
        </w:rPr>
        <w:t>перегляду</w:t>
      </w:r>
      <w:r w:rsidRPr="00407401">
        <w:rPr>
          <w:b/>
          <w:bCs/>
          <w:kern w:val="2"/>
          <w:lang w:val="ru-RU"/>
        </w:rPr>
        <w:t>. 21.06.2018.</w:t>
      </w:r>
    </w:p>
    <w:p w14:paraId="1F3BEA5D" w14:textId="77777777" w:rsidR="00FE289C" w:rsidRPr="00FE289C" w:rsidRDefault="00FE289C" w:rsidP="00FE289C">
      <w:pPr>
        <w:pStyle w:val="a9"/>
        <w:rPr>
          <w:kern w:val="2"/>
        </w:rPr>
      </w:pPr>
    </w:p>
    <w:p w14:paraId="59C267C0" w14:textId="77777777" w:rsidR="00FE289C" w:rsidRDefault="00FE289C" w:rsidP="00445F1F">
      <w:pPr>
        <w:pStyle w:val="a9"/>
        <w:rPr>
          <w:kern w:val="2"/>
        </w:rPr>
      </w:pPr>
    </w:p>
    <w:p w14:paraId="021F36C9" w14:textId="77777777" w:rsidR="00FE289C" w:rsidRDefault="00FE289C" w:rsidP="00445F1F">
      <w:pPr>
        <w:pStyle w:val="a9"/>
        <w:rPr>
          <w:kern w:val="2"/>
        </w:rPr>
      </w:pPr>
    </w:p>
    <w:p w14:paraId="02857B4A" w14:textId="77777777" w:rsidR="00FE289C" w:rsidRPr="008F6347" w:rsidRDefault="00FE289C" w:rsidP="00445F1F">
      <w:pPr>
        <w:pStyle w:val="a9"/>
        <w:rPr>
          <w:kern w:val="2"/>
        </w:rPr>
        <w:sectPr w:rsidR="00FE289C" w:rsidRPr="008F6347" w:rsidSect="004E7412">
          <w:headerReference w:type="first" r:id="rId27"/>
          <w:footerReference w:type="first" r:id="rId28"/>
          <w:pgSz w:w="11909" w:h="16834" w:code="9"/>
          <w:pgMar w:top="720" w:right="2369" w:bottom="720" w:left="720" w:header="288" w:footer="288" w:gutter="0"/>
          <w:cols w:num="2" w:space="202" w:equalWidth="0">
            <w:col w:w="4320" w:space="202"/>
            <w:col w:w="4298"/>
          </w:cols>
          <w:titlePg/>
          <w:docGrid w:linePitch="360"/>
        </w:sectPr>
      </w:pPr>
    </w:p>
    <w:p w14:paraId="6737C72B" w14:textId="77777777" w:rsidR="007A1663" w:rsidRPr="008F6347" w:rsidRDefault="007A1663" w:rsidP="00445F1F">
      <w:pPr>
        <w:pStyle w:val="a9"/>
        <w:rPr>
          <w:kern w:val="2"/>
        </w:rPr>
      </w:pPr>
      <w:r w:rsidRPr="008F6347">
        <w:rPr>
          <w:noProof/>
          <w:kern w:val="2"/>
          <w:lang w:bidi="ar-SA"/>
        </w:rPr>
        <w:lastRenderedPageBreak/>
        <w:drawing>
          <wp:anchor distT="0" distB="0" distL="114300" distR="114300" simplePos="0" relativeHeight="251656704" behindDoc="1" locked="0" layoutInCell="1" allowOverlap="1" wp14:anchorId="28DD3B97" wp14:editId="4A43D384">
            <wp:simplePos x="0" y="0"/>
            <wp:positionH relativeFrom="column">
              <wp:posOffset>-457200</wp:posOffset>
            </wp:positionH>
            <wp:positionV relativeFrom="paragraph">
              <wp:posOffset>-1332865</wp:posOffset>
            </wp:positionV>
            <wp:extent cx="6080760" cy="11369239"/>
            <wp:effectExtent l="0" t="0" r="0" b="381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7768" b="4480"/>
                    <a:stretch/>
                  </pic:blipFill>
                  <pic:spPr bwMode="auto">
                    <a:xfrm>
                      <a:off x="0" y="0"/>
                      <a:ext cx="6080760" cy="113692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0BD45" w14:textId="77777777" w:rsidR="007A1663" w:rsidRPr="008F6347" w:rsidRDefault="007A1663" w:rsidP="00445F1F">
      <w:pPr>
        <w:pStyle w:val="a9"/>
        <w:rPr>
          <w:kern w:val="2"/>
        </w:rPr>
      </w:pPr>
    </w:p>
    <w:p w14:paraId="05C9FB8D" w14:textId="77777777" w:rsidR="007A1663" w:rsidRPr="008F6347" w:rsidRDefault="007A1663" w:rsidP="00445F1F">
      <w:pPr>
        <w:pStyle w:val="a9"/>
        <w:rPr>
          <w:kern w:val="2"/>
        </w:rPr>
      </w:pPr>
    </w:p>
    <w:p w14:paraId="30C410E3" w14:textId="77777777" w:rsidR="007A1663" w:rsidRPr="008F6347" w:rsidRDefault="007A1663" w:rsidP="00445F1F">
      <w:pPr>
        <w:pStyle w:val="a9"/>
        <w:rPr>
          <w:kern w:val="2"/>
        </w:rPr>
      </w:pPr>
    </w:p>
    <w:p w14:paraId="6CC8A4EF" w14:textId="77777777" w:rsidR="00395A00" w:rsidRPr="008F6347" w:rsidRDefault="00395A00" w:rsidP="00445F1F">
      <w:pPr>
        <w:pStyle w:val="a9"/>
        <w:rPr>
          <w:kern w:val="2"/>
        </w:rPr>
      </w:pPr>
    </w:p>
    <w:p w14:paraId="686C682C" w14:textId="77777777" w:rsidR="00395A00" w:rsidRPr="008F6347" w:rsidRDefault="00395A00" w:rsidP="00445F1F">
      <w:pPr>
        <w:pStyle w:val="a9"/>
        <w:rPr>
          <w:kern w:val="2"/>
        </w:rPr>
      </w:pPr>
    </w:p>
    <w:p w14:paraId="21E549DC" w14:textId="77777777" w:rsidR="00395A00" w:rsidRPr="008F6347" w:rsidRDefault="00395A00" w:rsidP="00445F1F">
      <w:pPr>
        <w:pStyle w:val="a9"/>
        <w:rPr>
          <w:kern w:val="2"/>
        </w:rPr>
      </w:pPr>
    </w:p>
    <w:p w14:paraId="744F49A5" w14:textId="77777777" w:rsidR="00395A00" w:rsidRPr="008F6347" w:rsidRDefault="00395A00" w:rsidP="00445F1F">
      <w:pPr>
        <w:pStyle w:val="a9"/>
        <w:rPr>
          <w:kern w:val="2"/>
        </w:rPr>
      </w:pPr>
    </w:p>
    <w:p w14:paraId="20C93F25" w14:textId="77777777" w:rsidR="00395A00" w:rsidRPr="008F6347" w:rsidRDefault="00395A00" w:rsidP="00445F1F">
      <w:pPr>
        <w:pStyle w:val="a9"/>
        <w:rPr>
          <w:kern w:val="2"/>
        </w:rPr>
      </w:pPr>
    </w:p>
    <w:p w14:paraId="63884030" w14:textId="77777777" w:rsidR="00395A00" w:rsidRPr="008F6347" w:rsidRDefault="00395A00" w:rsidP="00445F1F">
      <w:pPr>
        <w:pStyle w:val="a9"/>
        <w:rPr>
          <w:kern w:val="2"/>
        </w:rPr>
      </w:pPr>
    </w:p>
    <w:p w14:paraId="7D1351CB" w14:textId="77777777" w:rsidR="00395A00" w:rsidRPr="008F6347" w:rsidRDefault="00395A00" w:rsidP="00445F1F">
      <w:pPr>
        <w:pStyle w:val="a9"/>
        <w:rPr>
          <w:kern w:val="2"/>
        </w:rPr>
      </w:pPr>
    </w:p>
    <w:p w14:paraId="6935C936" w14:textId="77777777" w:rsidR="00395A00" w:rsidRPr="008F6347" w:rsidRDefault="00395A00" w:rsidP="00445F1F">
      <w:pPr>
        <w:pStyle w:val="a9"/>
        <w:rPr>
          <w:kern w:val="2"/>
        </w:rPr>
      </w:pPr>
    </w:p>
    <w:p w14:paraId="4F750F2F" w14:textId="77777777" w:rsidR="00395A00" w:rsidRPr="008F6347" w:rsidRDefault="00395A00" w:rsidP="00445F1F">
      <w:pPr>
        <w:pStyle w:val="a9"/>
        <w:rPr>
          <w:kern w:val="2"/>
        </w:rPr>
      </w:pPr>
    </w:p>
    <w:p w14:paraId="58D44D7F" w14:textId="77777777" w:rsidR="00395A00" w:rsidRPr="008F6347" w:rsidRDefault="00395A00" w:rsidP="00445F1F">
      <w:pPr>
        <w:pStyle w:val="a9"/>
        <w:rPr>
          <w:kern w:val="2"/>
        </w:rPr>
      </w:pPr>
    </w:p>
    <w:p w14:paraId="63ADEFA7" w14:textId="77777777" w:rsidR="00395A00" w:rsidRPr="008F6347" w:rsidRDefault="00395A00" w:rsidP="00445F1F">
      <w:pPr>
        <w:pStyle w:val="a9"/>
        <w:rPr>
          <w:kern w:val="2"/>
        </w:rPr>
      </w:pPr>
    </w:p>
    <w:p w14:paraId="22CFD6CD" w14:textId="77777777" w:rsidR="00395A00" w:rsidRPr="008F6347" w:rsidRDefault="00395A00" w:rsidP="00445F1F">
      <w:pPr>
        <w:pStyle w:val="a9"/>
        <w:rPr>
          <w:kern w:val="2"/>
        </w:rPr>
      </w:pPr>
    </w:p>
    <w:p w14:paraId="1A7036FD" w14:textId="77777777" w:rsidR="00395A00" w:rsidRPr="008F6347" w:rsidRDefault="00395A00" w:rsidP="00445F1F">
      <w:pPr>
        <w:pStyle w:val="a9"/>
        <w:rPr>
          <w:kern w:val="2"/>
        </w:rPr>
      </w:pPr>
    </w:p>
    <w:p w14:paraId="5DFA4A72" w14:textId="77777777" w:rsidR="00395A00" w:rsidRPr="008F6347" w:rsidRDefault="00395A00" w:rsidP="00445F1F">
      <w:pPr>
        <w:pStyle w:val="a9"/>
        <w:rPr>
          <w:kern w:val="2"/>
        </w:rPr>
      </w:pPr>
    </w:p>
    <w:p w14:paraId="6606DCA4" w14:textId="77777777" w:rsidR="00395A00" w:rsidRPr="008F6347" w:rsidRDefault="00395A00" w:rsidP="00445F1F">
      <w:pPr>
        <w:pStyle w:val="a9"/>
        <w:rPr>
          <w:kern w:val="2"/>
        </w:rPr>
      </w:pPr>
    </w:p>
    <w:p w14:paraId="304B68A1" w14:textId="77777777" w:rsidR="00395A00" w:rsidRPr="008F6347" w:rsidRDefault="00395A00" w:rsidP="00445F1F">
      <w:pPr>
        <w:pStyle w:val="a9"/>
        <w:rPr>
          <w:kern w:val="2"/>
        </w:rPr>
      </w:pPr>
    </w:p>
    <w:p w14:paraId="57F9B54A" w14:textId="77777777" w:rsidR="00395A00" w:rsidRPr="008F6347" w:rsidRDefault="00395A00" w:rsidP="00445F1F">
      <w:pPr>
        <w:pStyle w:val="a9"/>
        <w:rPr>
          <w:kern w:val="2"/>
        </w:rPr>
      </w:pPr>
    </w:p>
    <w:p w14:paraId="21ACB8B1" w14:textId="77777777" w:rsidR="00395A00" w:rsidRPr="008F6347" w:rsidRDefault="00395A00" w:rsidP="00445F1F">
      <w:pPr>
        <w:pStyle w:val="a9"/>
        <w:rPr>
          <w:kern w:val="2"/>
        </w:rPr>
      </w:pPr>
    </w:p>
    <w:p w14:paraId="7A362BD9" w14:textId="77777777" w:rsidR="00395A00" w:rsidRPr="008F6347" w:rsidRDefault="00395A00" w:rsidP="00445F1F">
      <w:pPr>
        <w:pStyle w:val="a9"/>
        <w:rPr>
          <w:kern w:val="2"/>
        </w:rPr>
      </w:pPr>
    </w:p>
    <w:p w14:paraId="0B3D23F7" w14:textId="77777777" w:rsidR="00395A00" w:rsidRPr="008F6347" w:rsidRDefault="00395A00" w:rsidP="00445F1F">
      <w:pPr>
        <w:pStyle w:val="a9"/>
        <w:rPr>
          <w:kern w:val="2"/>
        </w:rPr>
      </w:pPr>
    </w:p>
    <w:p w14:paraId="43995F38" w14:textId="77777777" w:rsidR="00395A00" w:rsidRPr="008F6347" w:rsidRDefault="00395A00" w:rsidP="00445F1F">
      <w:pPr>
        <w:pStyle w:val="a9"/>
        <w:rPr>
          <w:kern w:val="2"/>
        </w:rPr>
      </w:pPr>
    </w:p>
    <w:p w14:paraId="6DE6D2CA" w14:textId="77777777" w:rsidR="00395A00" w:rsidRPr="008F6347" w:rsidRDefault="00395A00" w:rsidP="00445F1F">
      <w:pPr>
        <w:pStyle w:val="a9"/>
        <w:rPr>
          <w:kern w:val="2"/>
        </w:rPr>
      </w:pPr>
    </w:p>
    <w:p w14:paraId="4B317B5B" w14:textId="77777777" w:rsidR="00395A00" w:rsidRPr="008F6347" w:rsidRDefault="00395A00" w:rsidP="00445F1F">
      <w:pPr>
        <w:pStyle w:val="a9"/>
        <w:rPr>
          <w:kern w:val="2"/>
        </w:rPr>
      </w:pPr>
    </w:p>
    <w:p w14:paraId="44562228" w14:textId="77777777" w:rsidR="00395A00" w:rsidRPr="008F6347" w:rsidRDefault="00395A00" w:rsidP="00445F1F">
      <w:pPr>
        <w:pStyle w:val="a9"/>
        <w:rPr>
          <w:kern w:val="2"/>
        </w:rPr>
      </w:pPr>
    </w:p>
    <w:p w14:paraId="3769390A" w14:textId="77777777" w:rsidR="00395A00" w:rsidRPr="008F6347" w:rsidRDefault="00395A00" w:rsidP="00445F1F">
      <w:pPr>
        <w:pStyle w:val="a9"/>
        <w:rPr>
          <w:kern w:val="2"/>
        </w:rPr>
      </w:pPr>
    </w:p>
    <w:p w14:paraId="5ABE0CAC" w14:textId="77777777" w:rsidR="00395A00" w:rsidRPr="008F6347" w:rsidRDefault="00395A00" w:rsidP="00445F1F">
      <w:pPr>
        <w:pStyle w:val="a9"/>
        <w:rPr>
          <w:kern w:val="2"/>
        </w:rPr>
      </w:pPr>
    </w:p>
    <w:p w14:paraId="47F90CBC" w14:textId="77777777" w:rsidR="00395A00" w:rsidRPr="008F6347" w:rsidRDefault="00395A00" w:rsidP="00445F1F">
      <w:pPr>
        <w:pStyle w:val="a9"/>
        <w:rPr>
          <w:kern w:val="2"/>
        </w:rPr>
      </w:pPr>
    </w:p>
    <w:p w14:paraId="386A5181" w14:textId="77777777" w:rsidR="00395A00" w:rsidRPr="008F6347" w:rsidRDefault="00395A00" w:rsidP="00445F1F">
      <w:pPr>
        <w:pStyle w:val="a9"/>
        <w:rPr>
          <w:kern w:val="2"/>
        </w:rPr>
      </w:pPr>
    </w:p>
    <w:p w14:paraId="61C58718" w14:textId="77777777" w:rsidR="00395A00" w:rsidRPr="008F6347" w:rsidRDefault="00395A00" w:rsidP="00445F1F">
      <w:pPr>
        <w:pStyle w:val="a9"/>
        <w:rPr>
          <w:kern w:val="2"/>
        </w:rPr>
      </w:pPr>
    </w:p>
    <w:p w14:paraId="71DC9DA0" w14:textId="77777777" w:rsidR="00395A00" w:rsidRPr="008F6347" w:rsidRDefault="00395A00" w:rsidP="00445F1F">
      <w:pPr>
        <w:pStyle w:val="a9"/>
        <w:rPr>
          <w:kern w:val="2"/>
        </w:rPr>
      </w:pPr>
    </w:p>
    <w:p w14:paraId="3797F145" w14:textId="77777777" w:rsidR="00395A00" w:rsidRPr="008F6347" w:rsidRDefault="00395A00" w:rsidP="00445F1F">
      <w:pPr>
        <w:pStyle w:val="a9"/>
        <w:rPr>
          <w:kern w:val="2"/>
        </w:rPr>
      </w:pPr>
    </w:p>
    <w:p w14:paraId="5B0FBE81" w14:textId="77777777" w:rsidR="00395A00" w:rsidRPr="008F6347" w:rsidRDefault="00395A00" w:rsidP="00445F1F">
      <w:pPr>
        <w:pStyle w:val="a9"/>
        <w:rPr>
          <w:kern w:val="2"/>
        </w:rPr>
      </w:pPr>
    </w:p>
    <w:p w14:paraId="060C3DEC" w14:textId="77777777" w:rsidR="00395A00" w:rsidRPr="008F6347" w:rsidRDefault="00395A00" w:rsidP="00445F1F">
      <w:pPr>
        <w:pStyle w:val="a9"/>
        <w:rPr>
          <w:kern w:val="2"/>
        </w:rPr>
      </w:pPr>
    </w:p>
    <w:p w14:paraId="1EB03F28" w14:textId="77777777" w:rsidR="00395A00" w:rsidRPr="008F6347" w:rsidRDefault="00395A00" w:rsidP="00445F1F">
      <w:pPr>
        <w:pStyle w:val="a9"/>
        <w:rPr>
          <w:kern w:val="2"/>
        </w:rPr>
      </w:pPr>
    </w:p>
    <w:p w14:paraId="6A73B2C0" w14:textId="77777777" w:rsidR="00395A00" w:rsidRPr="008F6347" w:rsidRDefault="00395A00" w:rsidP="00445F1F">
      <w:pPr>
        <w:pStyle w:val="a9"/>
        <w:rPr>
          <w:kern w:val="2"/>
        </w:rPr>
      </w:pPr>
    </w:p>
    <w:p w14:paraId="739D6C0E" w14:textId="77777777" w:rsidR="00395A00" w:rsidRPr="008F6347" w:rsidRDefault="00395A00" w:rsidP="00445F1F">
      <w:pPr>
        <w:pStyle w:val="a9"/>
        <w:rPr>
          <w:kern w:val="2"/>
        </w:rPr>
      </w:pPr>
    </w:p>
    <w:p w14:paraId="79473C09" w14:textId="77777777" w:rsidR="00395A00" w:rsidRPr="008F6347" w:rsidRDefault="00395A00" w:rsidP="00445F1F">
      <w:pPr>
        <w:pStyle w:val="a9"/>
        <w:rPr>
          <w:kern w:val="2"/>
        </w:rPr>
      </w:pPr>
    </w:p>
    <w:p w14:paraId="3CD7154A" w14:textId="77777777" w:rsidR="00395A00" w:rsidRPr="008F6347" w:rsidRDefault="00395A00" w:rsidP="00445F1F">
      <w:pPr>
        <w:pStyle w:val="a9"/>
        <w:rPr>
          <w:kern w:val="2"/>
        </w:rPr>
      </w:pPr>
    </w:p>
    <w:p w14:paraId="225880A4" w14:textId="77777777" w:rsidR="00395A00" w:rsidRPr="008F6347" w:rsidRDefault="00395A00" w:rsidP="00445F1F">
      <w:pPr>
        <w:pStyle w:val="a9"/>
        <w:rPr>
          <w:kern w:val="2"/>
        </w:rPr>
      </w:pPr>
    </w:p>
    <w:p w14:paraId="384BD55E" w14:textId="77777777" w:rsidR="00395A00" w:rsidRPr="008F6347" w:rsidRDefault="00395A00" w:rsidP="00445F1F">
      <w:pPr>
        <w:pStyle w:val="a9"/>
        <w:rPr>
          <w:kern w:val="2"/>
        </w:rPr>
      </w:pPr>
    </w:p>
    <w:p w14:paraId="50453D0E" w14:textId="77777777" w:rsidR="00395A00" w:rsidRPr="008F6347" w:rsidRDefault="00395A00" w:rsidP="00445F1F">
      <w:pPr>
        <w:pStyle w:val="a9"/>
        <w:rPr>
          <w:kern w:val="2"/>
        </w:rPr>
      </w:pPr>
    </w:p>
    <w:p w14:paraId="0B442DFC" w14:textId="77777777" w:rsidR="00395A00" w:rsidRPr="008F6347" w:rsidRDefault="00395A00" w:rsidP="00445F1F">
      <w:pPr>
        <w:pStyle w:val="a9"/>
        <w:rPr>
          <w:kern w:val="2"/>
        </w:rPr>
      </w:pPr>
    </w:p>
    <w:p w14:paraId="51A4E59A" w14:textId="77777777" w:rsidR="00395A00" w:rsidRPr="008F6347" w:rsidRDefault="00395A00" w:rsidP="00445F1F">
      <w:pPr>
        <w:pStyle w:val="a9"/>
        <w:rPr>
          <w:kern w:val="2"/>
        </w:rPr>
      </w:pPr>
    </w:p>
    <w:p w14:paraId="3E09229B" w14:textId="77777777" w:rsidR="00395A00" w:rsidRPr="008F6347" w:rsidRDefault="00395A00" w:rsidP="00445F1F">
      <w:pPr>
        <w:pStyle w:val="a9"/>
        <w:rPr>
          <w:kern w:val="2"/>
        </w:rPr>
      </w:pPr>
    </w:p>
    <w:p w14:paraId="7F817018" w14:textId="77777777" w:rsidR="00395A00" w:rsidRPr="008F6347" w:rsidRDefault="00395A00" w:rsidP="00445F1F">
      <w:pPr>
        <w:pStyle w:val="a9"/>
        <w:rPr>
          <w:kern w:val="2"/>
        </w:rPr>
      </w:pPr>
    </w:p>
    <w:p w14:paraId="23B6361E" w14:textId="77777777" w:rsidR="00395A00" w:rsidRPr="008F6347" w:rsidRDefault="00395A00" w:rsidP="00445F1F">
      <w:pPr>
        <w:pStyle w:val="a9"/>
        <w:rPr>
          <w:kern w:val="2"/>
        </w:rPr>
      </w:pPr>
    </w:p>
    <w:p w14:paraId="2046D7DF" w14:textId="77777777" w:rsidR="00395A00" w:rsidRPr="008F6347" w:rsidRDefault="00395A00" w:rsidP="00445F1F">
      <w:pPr>
        <w:pStyle w:val="a9"/>
        <w:rPr>
          <w:kern w:val="2"/>
        </w:rPr>
      </w:pPr>
    </w:p>
    <w:p w14:paraId="58D4379D" w14:textId="77777777" w:rsidR="00395A00" w:rsidRPr="008F6347" w:rsidRDefault="00395A00" w:rsidP="00445F1F">
      <w:pPr>
        <w:pStyle w:val="a9"/>
        <w:rPr>
          <w:kern w:val="2"/>
        </w:rPr>
      </w:pPr>
    </w:p>
    <w:p w14:paraId="60666550" w14:textId="77777777" w:rsidR="00395A00" w:rsidRPr="008F6347" w:rsidRDefault="00395A00" w:rsidP="00445F1F">
      <w:pPr>
        <w:pStyle w:val="a9"/>
        <w:rPr>
          <w:kern w:val="2"/>
        </w:rPr>
      </w:pPr>
    </w:p>
    <w:p w14:paraId="5349A1C0" w14:textId="77777777" w:rsidR="00395A00" w:rsidRPr="008F6347" w:rsidRDefault="00395A00" w:rsidP="00445F1F">
      <w:pPr>
        <w:pStyle w:val="a9"/>
        <w:rPr>
          <w:kern w:val="2"/>
        </w:rPr>
      </w:pPr>
    </w:p>
    <w:p w14:paraId="4ACF2DF9" w14:textId="77777777" w:rsidR="00395A00" w:rsidRPr="008F6347" w:rsidRDefault="00395A00" w:rsidP="00445F1F">
      <w:pPr>
        <w:pStyle w:val="a9"/>
        <w:rPr>
          <w:kern w:val="2"/>
        </w:rPr>
      </w:pPr>
    </w:p>
    <w:p w14:paraId="09238087" w14:textId="77777777" w:rsidR="00395A00" w:rsidRPr="008F6347" w:rsidRDefault="00395A00" w:rsidP="00445F1F">
      <w:pPr>
        <w:pStyle w:val="a9"/>
        <w:rPr>
          <w:kern w:val="2"/>
        </w:rPr>
      </w:pPr>
    </w:p>
    <w:p w14:paraId="32067111" w14:textId="77777777" w:rsidR="00395A00" w:rsidRPr="008F6347" w:rsidRDefault="00395A00" w:rsidP="00445F1F">
      <w:pPr>
        <w:pStyle w:val="a9"/>
        <w:rPr>
          <w:kern w:val="2"/>
        </w:rPr>
      </w:pPr>
    </w:p>
    <w:p w14:paraId="3C2C7197" w14:textId="77777777" w:rsidR="00395A00" w:rsidRPr="008F6347" w:rsidRDefault="00395A00" w:rsidP="00445F1F">
      <w:pPr>
        <w:pStyle w:val="a9"/>
        <w:rPr>
          <w:kern w:val="2"/>
        </w:rPr>
      </w:pPr>
    </w:p>
    <w:p w14:paraId="100E9496" w14:textId="77777777" w:rsidR="00395A00" w:rsidRPr="008F6347" w:rsidRDefault="00395A00" w:rsidP="00445F1F">
      <w:pPr>
        <w:pStyle w:val="a9"/>
        <w:rPr>
          <w:kern w:val="2"/>
        </w:rPr>
      </w:pPr>
    </w:p>
    <w:p w14:paraId="1A66F318" w14:textId="77777777" w:rsidR="00395A00" w:rsidRPr="008F6347" w:rsidRDefault="00395A00" w:rsidP="00445F1F">
      <w:pPr>
        <w:pStyle w:val="a9"/>
        <w:rPr>
          <w:kern w:val="2"/>
        </w:rPr>
      </w:pPr>
    </w:p>
    <w:p w14:paraId="7A88A6D3" w14:textId="77777777" w:rsidR="00395A00" w:rsidRPr="008F6347" w:rsidRDefault="00395A00" w:rsidP="00445F1F">
      <w:pPr>
        <w:pStyle w:val="a9"/>
        <w:rPr>
          <w:kern w:val="2"/>
        </w:rPr>
      </w:pPr>
    </w:p>
    <w:p w14:paraId="6774D4F3" w14:textId="77777777" w:rsidR="00395A00" w:rsidRPr="008F6347" w:rsidRDefault="00395A00" w:rsidP="00445F1F">
      <w:pPr>
        <w:pStyle w:val="a9"/>
        <w:rPr>
          <w:kern w:val="2"/>
        </w:rPr>
      </w:pPr>
    </w:p>
    <w:p w14:paraId="081A687D" w14:textId="77777777" w:rsidR="00395A00" w:rsidRPr="008F6347" w:rsidRDefault="00395A00" w:rsidP="00445F1F">
      <w:pPr>
        <w:pStyle w:val="a9"/>
        <w:rPr>
          <w:kern w:val="2"/>
        </w:rPr>
      </w:pPr>
    </w:p>
    <w:p w14:paraId="782740B3" w14:textId="77777777" w:rsidR="00395A00" w:rsidRPr="008F6347" w:rsidRDefault="00395A00" w:rsidP="00445F1F">
      <w:pPr>
        <w:pStyle w:val="a9"/>
        <w:rPr>
          <w:kern w:val="2"/>
        </w:rPr>
      </w:pPr>
    </w:p>
    <w:p w14:paraId="14EA0333" w14:textId="77777777" w:rsidR="00395A00" w:rsidRPr="008F6347" w:rsidRDefault="00395A00" w:rsidP="00445F1F">
      <w:pPr>
        <w:pStyle w:val="a9"/>
        <w:rPr>
          <w:kern w:val="2"/>
        </w:rPr>
      </w:pPr>
    </w:p>
    <w:p w14:paraId="70896BDA" w14:textId="77777777" w:rsidR="00395A00" w:rsidRPr="008F6347" w:rsidRDefault="00395A00" w:rsidP="00445F1F">
      <w:pPr>
        <w:pStyle w:val="a9"/>
        <w:rPr>
          <w:kern w:val="2"/>
        </w:rPr>
      </w:pPr>
    </w:p>
    <w:p w14:paraId="62FB9077" w14:textId="77777777" w:rsidR="00395A00" w:rsidRPr="008F6347" w:rsidRDefault="00395A00" w:rsidP="00445F1F">
      <w:pPr>
        <w:pStyle w:val="a9"/>
        <w:rPr>
          <w:kern w:val="2"/>
        </w:rPr>
      </w:pPr>
    </w:p>
    <w:p w14:paraId="67E21240" w14:textId="77777777" w:rsidR="00395A00" w:rsidRPr="008F6347" w:rsidRDefault="00395A00" w:rsidP="00445F1F">
      <w:pPr>
        <w:pStyle w:val="a9"/>
        <w:rPr>
          <w:kern w:val="2"/>
        </w:rPr>
      </w:pPr>
    </w:p>
    <w:p w14:paraId="2E6E0005" w14:textId="77777777" w:rsidR="00395A00" w:rsidRPr="008F6347" w:rsidRDefault="00395A00" w:rsidP="00445F1F">
      <w:pPr>
        <w:pStyle w:val="a9"/>
        <w:rPr>
          <w:kern w:val="2"/>
        </w:rPr>
      </w:pPr>
    </w:p>
    <w:p w14:paraId="4D037ADC" w14:textId="77777777" w:rsidR="00395A00" w:rsidRPr="008F6347" w:rsidRDefault="00395A00" w:rsidP="00445F1F">
      <w:pPr>
        <w:pStyle w:val="a9"/>
        <w:rPr>
          <w:kern w:val="2"/>
        </w:rPr>
      </w:pPr>
    </w:p>
    <w:p w14:paraId="198D28DC" w14:textId="77777777" w:rsidR="00395A00" w:rsidRPr="008F6347" w:rsidRDefault="00395A00" w:rsidP="00445F1F">
      <w:pPr>
        <w:pStyle w:val="a9"/>
        <w:rPr>
          <w:kern w:val="2"/>
        </w:rPr>
      </w:pPr>
    </w:p>
    <w:p w14:paraId="613DB88B" w14:textId="0FAE3A35" w:rsidR="007A1663" w:rsidRPr="00407401" w:rsidRDefault="00BD7FB4" w:rsidP="00407401">
      <w:pPr>
        <w:jc w:val="both"/>
        <w:rPr>
          <w:rFonts w:asciiTheme="minorHAnsi" w:hAnsiTheme="minorHAnsi"/>
          <w:color w:val="4A5D6A"/>
          <w:kern w:val="2"/>
          <w:sz w:val="16"/>
          <w:lang w:val="ru-RU"/>
        </w:rPr>
      </w:pPr>
      <w:r w:rsidRPr="00FE135F">
        <w:rPr>
          <w:rFonts w:asciiTheme="minorHAnsi" w:hAnsiTheme="minorHAnsi"/>
          <w:color w:val="4A5D6A"/>
          <w:kern w:val="2"/>
          <w:sz w:val="16"/>
        </w:rPr>
        <w:t>Номер промо У</w:t>
      </w:r>
      <w:r w:rsidR="00407401" w:rsidRPr="00FE135F">
        <w:rPr>
          <w:rFonts w:asciiTheme="minorHAnsi" w:hAnsiTheme="minorHAnsi"/>
          <w:color w:val="4A5D6A"/>
          <w:kern w:val="2"/>
          <w:sz w:val="16"/>
        </w:rPr>
        <w:t>к</w:t>
      </w:r>
      <w:r w:rsidRPr="00FE135F">
        <w:rPr>
          <w:rFonts w:asciiTheme="minorHAnsi" w:hAnsiTheme="minorHAnsi"/>
          <w:color w:val="4A5D6A"/>
          <w:kern w:val="2"/>
          <w:sz w:val="16"/>
        </w:rPr>
        <w:t xml:space="preserve">раинского </w:t>
      </w:r>
      <w:r w:rsidRPr="00FE135F">
        <w:rPr>
          <w:rFonts w:asciiTheme="minorHAnsi" w:hAnsiTheme="minorHAnsi"/>
          <w:color w:val="4A5D6A"/>
          <w:kern w:val="2"/>
          <w:sz w:val="16"/>
          <w:lang w:val="en-US"/>
        </w:rPr>
        <w:t>GCMA</w:t>
      </w:r>
      <w:r w:rsidR="00097CDD" w:rsidRPr="00FE135F">
        <w:rPr>
          <w:rFonts w:ascii="Times New Roman" w:eastAsia="Times New Roman" w:hAnsi="Times New Roman" w:cs="Times New Roman"/>
          <w:sz w:val="24"/>
          <w:szCs w:val="24"/>
          <w:lang w:eastAsia="ru-RU" w:bidi="ar-SA"/>
        </w:rPr>
        <w:t xml:space="preserve">  </w:t>
      </w:r>
      <w:r w:rsidR="00097CDD" w:rsidRPr="00FE135F">
        <w:rPr>
          <w:rFonts w:asciiTheme="minorHAnsi" w:hAnsiTheme="minorHAnsi"/>
          <w:color w:val="4A5D6A"/>
          <w:kern w:val="2"/>
          <w:sz w:val="16"/>
        </w:rPr>
        <w:t>За додатковою інформацією звертайтеся у Представництво “ Пфайзер Експорт Бі. Ві.” в Україні: 03</w:t>
      </w:r>
      <w:r w:rsidR="00407401" w:rsidRPr="00FE135F">
        <w:rPr>
          <w:rFonts w:asciiTheme="minorHAnsi" w:hAnsiTheme="minorHAnsi"/>
          <w:color w:val="4A5D6A"/>
          <w:kern w:val="2"/>
          <w:sz w:val="16"/>
        </w:rPr>
        <w:t>038</w:t>
      </w:r>
      <w:r w:rsidR="00097CDD" w:rsidRPr="00FE135F">
        <w:rPr>
          <w:rFonts w:asciiTheme="minorHAnsi" w:hAnsiTheme="minorHAnsi"/>
          <w:color w:val="4A5D6A"/>
          <w:kern w:val="2"/>
          <w:sz w:val="16"/>
        </w:rPr>
        <w:t xml:space="preserve">, м. Київ, вул. Амосова, 12. Тел. (044) 391-60-50. </w:t>
      </w:r>
      <w:hyperlink r:id="rId30" w:history="1">
        <w:r w:rsidR="00097CDD" w:rsidRPr="00FE135F">
          <w:rPr>
            <w:rFonts w:asciiTheme="minorHAnsi" w:hAnsiTheme="minorHAnsi"/>
            <w:color w:val="4A5D6A"/>
            <w:kern w:val="2"/>
            <w:sz w:val="16"/>
          </w:rPr>
          <w:t>https://www.pfizermed.com.ua</w:t>
        </w:r>
      </w:hyperlink>
      <w:bookmarkStart w:id="18" w:name="_GoBack"/>
      <w:bookmarkEnd w:id="18"/>
      <w:r w:rsidR="00097CDD" w:rsidRPr="00407401">
        <w:rPr>
          <w:rFonts w:asciiTheme="minorHAnsi" w:hAnsiTheme="minorHAnsi"/>
          <w:color w:val="4A5D6A"/>
          <w:kern w:val="2"/>
          <w:sz w:val="16"/>
          <w:lang w:val="ru-RU"/>
        </w:rPr>
        <w:t xml:space="preserve"> </w:t>
      </w:r>
      <w:r w:rsidR="00395A00" w:rsidRPr="00097CDD">
        <w:rPr>
          <w:rFonts w:asciiTheme="minorHAnsi" w:hAnsiTheme="minorHAnsi"/>
          <w:color w:val="4A5D6A"/>
          <w:kern w:val="2"/>
          <w:sz w:val="16"/>
        </w:rPr>
        <w:tab/>
        <w:t xml:space="preserve"> </w:t>
      </w:r>
    </w:p>
    <w:sectPr w:rsidR="007A1663" w:rsidRPr="00407401" w:rsidSect="007A1663">
      <w:headerReference w:type="first" r:id="rId31"/>
      <w:footerReference w:type="first" r:id="rId32"/>
      <w:pgSz w:w="11909" w:h="16834" w:code="9"/>
      <w:pgMar w:top="720" w:right="2369" w:bottom="720" w:left="720" w:header="288" w:footer="288" w:gutter="0"/>
      <w:cols w:space="202"/>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13B1CC" w16cid:durableId="1E56590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68423E" w14:textId="77777777" w:rsidR="00FE289C" w:rsidRDefault="00FE289C" w:rsidP="001B5A32">
      <w:r>
        <w:separator/>
      </w:r>
    </w:p>
  </w:endnote>
  <w:endnote w:type="continuationSeparator" w:id="0">
    <w:p w14:paraId="14AFBA07" w14:textId="77777777" w:rsidR="00FE289C" w:rsidRDefault="00FE289C" w:rsidP="001B5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otham Bold">
    <w:altName w:val="Calibri"/>
    <w:panose1 w:val="00000000000000000000"/>
    <w:charset w:val="00"/>
    <w:family w:val="modern"/>
    <w:notTrueType/>
    <w:pitch w:val="variable"/>
    <w:sig w:usb0="00000003" w:usb1="4000005B" w:usb2="00000000" w:usb3="00000000" w:csb0="0000009B" w:csb1="00000000"/>
  </w:font>
  <w:font w:name="Gotham Light">
    <w:altName w:val="Gotham Light"/>
    <w:panose1 w:val="00000000000000000000"/>
    <w:charset w:val="00"/>
    <w:family w:val="modern"/>
    <w:notTrueType/>
    <w:pitch w:val="variable"/>
    <w:sig w:usb0="A10000FF" w:usb1="4000005B" w:usb2="00000000" w:usb3="00000000" w:csb0="0000009B" w:csb1="00000000"/>
  </w:font>
  <w:font w:name="Gotham Condensed Light">
    <w:altName w:val="Arial"/>
    <w:panose1 w:val="00000000000000000000"/>
    <w:charset w:val="00"/>
    <w:family w:val="swiss"/>
    <w:notTrueType/>
    <w:pitch w:val="default"/>
    <w:sig w:usb0="00000003" w:usb1="00000000" w:usb2="00000000" w:usb3="00000000" w:csb0="00000001" w:csb1="00000000"/>
  </w:font>
  <w:font w:name="Gotham Condensed Bold">
    <w:altName w:val="Arial"/>
    <w:panose1 w:val="00000000000000000000"/>
    <w:charset w:val="00"/>
    <w:family w:val="swiss"/>
    <w:notTrueType/>
    <w:pitch w:val="default"/>
    <w:sig w:usb0="00000003" w:usb1="00000000" w:usb2="00000000" w:usb3="00000000" w:csb0="00000001" w:csb1="00000000"/>
  </w:font>
  <w:font w:name="Gotham Condensed Book">
    <w:altName w:val="Gotham Condensed Book"/>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default"/>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55732" w14:textId="29865561" w:rsidR="00FE289C" w:rsidRPr="006836FB" w:rsidRDefault="00FE289C" w:rsidP="00BB59C9">
    <w:pPr>
      <w:pStyle w:val="a7"/>
      <w:ind w:left="135"/>
      <w:rPr>
        <w:b/>
      </w:rPr>
    </w:pPr>
    <w:r>
      <w:rPr>
        <w:b/>
        <w:noProof/>
        <w:color w:val="FFFFFF" w:themeColor="background1"/>
        <w:sz w:val="24"/>
        <w:lang w:bidi="ar-SA"/>
      </w:rPr>
      <w:drawing>
        <wp:anchor distT="0" distB="0" distL="114300" distR="114300" simplePos="0" relativeHeight="251658240" behindDoc="1" locked="0" layoutInCell="1" allowOverlap="1" wp14:anchorId="584F0599" wp14:editId="6A969C17">
          <wp:simplePos x="0" y="0"/>
          <wp:positionH relativeFrom="column">
            <wp:posOffset>-452120</wp:posOffset>
          </wp:positionH>
          <wp:positionV relativeFrom="paragraph">
            <wp:posOffset>-255270</wp:posOffset>
          </wp:positionV>
          <wp:extent cx="7589520" cy="61001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
                    <a:extLst>
                      <a:ext uri="{28A0092B-C50C-407E-A947-70E740481C1C}">
                        <a14:useLocalDpi xmlns:a14="http://schemas.microsoft.com/office/drawing/2010/main" val="0"/>
                      </a:ext>
                    </a:extLst>
                  </a:blip>
                  <a:srcRect t="90736"/>
                  <a:stretch/>
                </pic:blipFill>
                <pic:spPr bwMode="auto">
                  <a:xfrm>
                    <a:off x="0" y="0"/>
                    <a:ext cx="7589520" cy="6100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AC9">
      <w:rPr>
        <w:b/>
        <w:noProof/>
        <w:color w:val="FFFFFF" w:themeColor="background1"/>
        <w:sz w:val="24"/>
      </w:rPr>
      <w:fldChar w:fldCharType="begin"/>
    </w:r>
    <w:r w:rsidRPr="00F62AC9">
      <w:rPr>
        <w:b/>
        <w:noProof/>
        <w:color w:val="FFFFFF" w:themeColor="background1"/>
        <w:sz w:val="24"/>
      </w:rPr>
      <w:instrText xml:space="preserve"> PAGE   \* MERGEFORMAT </w:instrText>
    </w:r>
    <w:r w:rsidRPr="00F62AC9">
      <w:rPr>
        <w:b/>
        <w:noProof/>
        <w:color w:val="FFFFFF" w:themeColor="background1"/>
        <w:sz w:val="24"/>
      </w:rPr>
      <w:fldChar w:fldCharType="separate"/>
    </w:r>
    <w:r w:rsidR="00FE135F">
      <w:rPr>
        <w:b/>
        <w:noProof/>
        <w:color w:val="FFFFFF" w:themeColor="background1"/>
        <w:sz w:val="24"/>
      </w:rPr>
      <w:t>2</w:t>
    </w:r>
    <w:r w:rsidRPr="00F62AC9">
      <w:rPr>
        <w:b/>
        <w:noProof/>
        <w:color w:val="FFFFFF" w:themeColor="background1"/>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51AA2C" w14:textId="618AA9E2" w:rsidR="00FE289C" w:rsidRPr="008E34E8" w:rsidRDefault="00FE289C" w:rsidP="00B55C23">
    <w:pPr>
      <w:pStyle w:val="a7"/>
      <w:ind w:left="117"/>
      <w:rPr>
        <w:b/>
      </w:rPr>
    </w:pPr>
    <w:r>
      <w:rPr>
        <w:noProof/>
        <w:lang w:bidi="ar-SA"/>
      </w:rPr>
      <w:drawing>
        <wp:anchor distT="0" distB="0" distL="114300" distR="114300" simplePos="0" relativeHeight="251664384" behindDoc="1" locked="0" layoutInCell="1" allowOverlap="1" wp14:anchorId="64D1EFA5" wp14:editId="64E36BF3">
          <wp:simplePos x="0" y="0"/>
          <wp:positionH relativeFrom="column">
            <wp:posOffset>-456565</wp:posOffset>
          </wp:positionH>
          <wp:positionV relativeFrom="paragraph">
            <wp:posOffset>-228761</wp:posOffset>
          </wp:positionV>
          <wp:extent cx="7589520" cy="587375"/>
          <wp:effectExtent l="0" t="0" r="0" b="31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a14="http://schemas.microsoft.com/office/drawing/2010/main" val="0"/>
                      </a:ext>
                    </a:extLst>
                  </a:blip>
                  <a:srcRect t="94512"/>
                  <a:stretch/>
                </pic:blipFill>
                <pic:spPr bwMode="auto">
                  <a:xfrm>
                    <a:off x="0" y="0"/>
                    <a:ext cx="7589520" cy="58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AC9">
      <w:rPr>
        <w:b/>
        <w:noProof/>
        <w:color w:val="FFFFFF" w:themeColor="background1"/>
        <w:sz w:val="24"/>
      </w:rPr>
      <w:fldChar w:fldCharType="begin"/>
    </w:r>
    <w:r w:rsidRPr="00F62AC9">
      <w:rPr>
        <w:b/>
        <w:noProof/>
        <w:color w:val="FFFFFF" w:themeColor="background1"/>
        <w:sz w:val="24"/>
      </w:rPr>
      <w:instrText xml:space="preserve"> PAGE   \* MERGEFORMAT </w:instrText>
    </w:r>
    <w:r w:rsidRPr="00F62AC9">
      <w:rPr>
        <w:b/>
        <w:noProof/>
        <w:color w:val="FFFFFF" w:themeColor="background1"/>
        <w:sz w:val="24"/>
      </w:rPr>
      <w:fldChar w:fldCharType="separate"/>
    </w:r>
    <w:r w:rsidR="00FE135F">
      <w:rPr>
        <w:b/>
        <w:noProof/>
        <w:color w:val="FFFFFF" w:themeColor="background1"/>
        <w:sz w:val="24"/>
      </w:rPr>
      <w:t>14</w:t>
    </w:r>
    <w:r w:rsidRPr="00F62AC9">
      <w:rPr>
        <w:b/>
        <w:noProof/>
        <w:color w:val="FFFFFF" w:themeColor="background1"/>
        <w:sz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CE990E" w14:textId="368CC956" w:rsidR="00FE289C" w:rsidRDefault="00FE289C" w:rsidP="00B55C23">
    <w:pPr>
      <w:pStyle w:val="a7"/>
      <w:ind w:left="144"/>
    </w:pPr>
    <w:r>
      <w:rPr>
        <w:noProof/>
        <w:lang w:bidi="ar-SA"/>
      </w:rPr>
      <w:drawing>
        <wp:anchor distT="0" distB="0" distL="114300" distR="114300" simplePos="0" relativeHeight="251662336" behindDoc="1" locked="0" layoutInCell="1" allowOverlap="1" wp14:anchorId="71541B7F" wp14:editId="42AFBC71">
          <wp:simplePos x="0" y="0"/>
          <wp:positionH relativeFrom="column">
            <wp:posOffset>-466725</wp:posOffset>
          </wp:positionH>
          <wp:positionV relativeFrom="paragraph">
            <wp:posOffset>-231140</wp:posOffset>
          </wp:positionV>
          <wp:extent cx="7589520" cy="587375"/>
          <wp:effectExtent l="0" t="0" r="0"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a14="http://schemas.microsoft.com/office/drawing/2010/main" val="0"/>
                      </a:ext>
                    </a:extLst>
                  </a:blip>
                  <a:srcRect t="94512"/>
                  <a:stretch/>
                </pic:blipFill>
                <pic:spPr bwMode="auto">
                  <a:xfrm>
                    <a:off x="0" y="0"/>
                    <a:ext cx="7589520" cy="58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AC9">
      <w:rPr>
        <w:b/>
        <w:noProof/>
        <w:color w:val="FFFFFF" w:themeColor="background1"/>
        <w:sz w:val="24"/>
      </w:rPr>
      <w:fldChar w:fldCharType="begin"/>
    </w:r>
    <w:r w:rsidRPr="00F62AC9">
      <w:rPr>
        <w:b/>
        <w:noProof/>
        <w:color w:val="FFFFFF" w:themeColor="background1"/>
        <w:sz w:val="24"/>
      </w:rPr>
      <w:instrText xml:space="preserve"> PAGE   \* MERGEFORMAT </w:instrText>
    </w:r>
    <w:r w:rsidRPr="00F62AC9">
      <w:rPr>
        <w:b/>
        <w:noProof/>
        <w:color w:val="FFFFFF" w:themeColor="background1"/>
        <w:sz w:val="24"/>
      </w:rPr>
      <w:fldChar w:fldCharType="separate"/>
    </w:r>
    <w:r w:rsidR="00FE135F">
      <w:rPr>
        <w:b/>
        <w:noProof/>
        <w:color w:val="FFFFFF" w:themeColor="background1"/>
        <w:sz w:val="24"/>
      </w:rPr>
      <w:t>4</w:t>
    </w:r>
    <w:r w:rsidRPr="00F62AC9">
      <w:rPr>
        <w:b/>
        <w:noProof/>
        <w:color w:val="FFFFFF" w:themeColor="background1"/>
        <w:sz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A76BA" w14:textId="77777777" w:rsidR="00FE289C" w:rsidRPr="008E34E8" w:rsidRDefault="00FE289C" w:rsidP="00CE1677">
    <w:pPr>
      <w:pStyle w:val="a7"/>
      <w:rPr>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88B09D" w14:textId="77777777" w:rsidR="00FE289C" w:rsidRPr="008E34E8" w:rsidRDefault="00FE289C" w:rsidP="00CE1677">
    <w:pPr>
      <w:pStyle w:val="a7"/>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1942F0" w14:textId="77777777" w:rsidR="00FE289C" w:rsidRDefault="00FE289C" w:rsidP="001B5A32">
      <w:r>
        <w:separator/>
      </w:r>
    </w:p>
  </w:footnote>
  <w:footnote w:type="continuationSeparator" w:id="0">
    <w:p w14:paraId="11C8F86F" w14:textId="77777777" w:rsidR="00FE289C" w:rsidRDefault="00FE289C" w:rsidP="001B5A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58900D" w14:textId="6B8AF697" w:rsidR="00FE289C" w:rsidRDefault="00FE289C">
    <w:pPr>
      <w:pStyle w:val="a5"/>
    </w:pPr>
    <w:r>
      <w:rPr>
        <w:noProof/>
        <w:lang w:bidi="ar-SA"/>
      </w:rPr>
      <w:drawing>
        <wp:anchor distT="0" distB="0" distL="114300" distR="114300" simplePos="0" relativeHeight="251659264" behindDoc="1" locked="0" layoutInCell="1" allowOverlap="1" wp14:anchorId="43044C21" wp14:editId="53892906">
          <wp:simplePos x="0" y="0"/>
          <wp:positionH relativeFrom="column">
            <wp:posOffset>-457200</wp:posOffset>
          </wp:positionH>
          <wp:positionV relativeFrom="paragraph">
            <wp:posOffset>-179705</wp:posOffset>
          </wp:positionV>
          <wp:extent cx="7589520" cy="836295"/>
          <wp:effectExtent l="0" t="0" r="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
                    <a:extLst>
                      <a:ext uri="{28A0092B-C50C-407E-A947-70E740481C1C}">
                        <a14:useLocalDpi xmlns:a14="http://schemas.microsoft.com/office/drawing/2010/main" val="0"/>
                      </a:ext>
                    </a:extLst>
                  </a:blip>
                  <a:srcRect b="72603"/>
                  <a:stretch/>
                </pic:blipFill>
                <pic:spPr bwMode="auto">
                  <a:xfrm>
                    <a:off x="0" y="0"/>
                    <a:ext cx="7589520" cy="836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B0E7B" w14:textId="77777777" w:rsidR="00FE289C" w:rsidRDefault="00FE289C">
    <w:pPr>
      <w:pStyle w:val="a5"/>
    </w:pPr>
  </w:p>
  <w:p w14:paraId="34872A4C" w14:textId="77777777" w:rsidR="00FE289C" w:rsidRDefault="00FE289C">
    <w:pPr>
      <w:pStyle w:val="a5"/>
    </w:pPr>
  </w:p>
  <w:p w14:paraId="406E867E" w14:textId="77777777" w:rsidR="00FE289C" w:rsidRDefault="00FE289C">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FA300" w14:textId="77777777" w:rsidR="00FE289C" w:rsidRDefault="00FE289C">
    <w:pPr>
      <w:pStyle w:val="a5"/>
    </w:pPr>
    <w:r>
      <w:rPr>
        <w:noProof/>
        <w:lang w:bidi="ar-SA"/>
      </w:rPr>
      <w:drawing>
        <wp:anchor distT="0" distB="0" distL="114300" distR="114300" simplePos="0" relativeHeight="251660288" behindDoc="1" locked="0" layoutInCell="1" allowOverlap="1" wp14:anchorId="144C55AA" wp14:editId="4F7F0E28">
          <wp:simplePos x="0" y="0"/>
          <wp:positionH relativeFrom="column">
            <wp:posOffset>-457200</wp:posOffset>
          </wp:positionH>
          <wp:positionV relativeFrom="paragraph">
            <wp:posOffset>-224460</wp:posOffset>
          </wp:positionV>
          <wp:extent cx="7589520" cy="1073271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9520" cy="107327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1CBDB" w14:textId="4D7B2F6D" w:rsidR="00FE289C" w:rsidRPr="008E34E8" w:rsidRDefault="00FE289C" w:rsidP="008E34E8">
    <w:pPr>
      <w:pStyle w:val="a5"/>
    </w:pPr>
    <w:r>
      <w:rPr>
        <w:noProof/>
        <w:lang w:bidi="ar-SA"/>
      </w:rPr>
      <w:drawing>
        <wp:anchor distT="0" distB="0" distL="114300" distR="114300" simplePos="0" relativeHeight="251666432" behindDoc="1" locked="0" layoutInCell="1" allowOverlap="1" wp14:anchorId="2EEF1292" wp14:editId="24A83A51">
          <wp:simplePos x="0" y="0"/>
          <wp:positionH relativeFrom="column">
            <wp:posOffset>-466725</wp:posOffset>
          </wp:positionH>
          <wp:positionV relativeFrom="paragraph">
            <wp:posOffset>-182880</wp:posOffset>
          </wp:positionV>
          <wp:extent cx="7589520" cy="773394"/>
          <wp:effectExtent l="0" t="0" r="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
                    <a:extLst>
                      <a:ext uri="{28A0092B-C50C-407E-A947-70E740481C1C}">
                        <a14:useLocalDpi xmlns:a14="http://schemas.microsoft.com/office/drawing/2010/main" val="0"/>
                      </a:ext>
                    </a:extLst>
                  </a:blip>
                  <a:srcRect b="92784"/>
                  <a:stretch/>
                </pic:blipFill>
                <pic:spPr bwMode="auto">
                  <a:xfrm>
                    <a:off x="0" y="0"/>
                    <a:ext cx="7589520" cy="7733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4E6A94" w14:textId="4D22DCBD" w:rsidR="00FE289C" w:rsidRDefault="00FE289C">
    <w:pPr>
      <w:pStyle w:val="a5"/>
    </w:pPr>
    <w:r>
      <w:rPr>
        <w:noProof/>
        <w:lang w:bidi="ar-SA"/>
      </w:rPr>
      <w:drawing>
        <wp:anchor distT="0" distB="0" distL="114300" distR="114300" simplePos="0" relativeHeight="251661312" behindDoc="1" locked="0" layoutInCell="1" allowOverlap="1" wp14:anchorId="03B12F69" wp14:editId="3F74725C">
          <wp:simplePos x="0" y="0"/>
          <wp:positionH relativeFrom="column">
            <wp:posOffset>-466725</wp:posOffset>
          </wp:positionH>
          <wp:positionV relativeFrom="paragraph">
            <wp:posOffset>-182880</wp:posOffset>
          </wp:positionV>
          <wp:extent cx="7589520" cy="773394"/>
          <wp:effectExtent l="0" t="0" r="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
                    <a:extLst>
                      <a:ext uri="{28A0092B-C50C-407E-A947-70E740481C1C}">
                        <a14:useLocalDpi xmlns:a14="http://schemas.microsoft.com/office/drawing/2010/main" val="0"/>
                      </a:ext>
                    </a:extLst>
                  </a:blip>
                  <a:srcRect b="92784"/>
                  <a:stretch/>
                </pic:blipFill>
                <pic:spPr bwMode="auto">
                  <a:xfrm>
                    <a:off x="0" y="0"/>
                    <a:ext cx="7589520" cy="7733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FAA1A" w14:textId="77777777" w:rsidR="00FE289C" w:rsidRPr="007A1663" w:rsidRDefault="00FE289C" w:rsidP="007A1663">
    <w:pPr>
      <w:pStyle w:val="a5"/>
    </w:pPr>
    <w:r>
      <w:rPr>
        <w:noProof/>
        <w:lang w:bidi="ar-SA"/>
      </w:rPr>
      <w:drawing>
        <wp:anchor distT="0" distB="0" distL="114300" distR="114300" simplePos="0" relativeHeight="251680768" behindDoc="1" locked="0" layoutInCell="1" allowOverlap="1" wp14:anchorId="7E9ABE7C" wp14:editId="118A9C60">
          <wp:simplePos x="0" y="0"/>
          <wp:positionH relativeFrom="column">
            <wp:posOffset>-457200</wp:posOffset>
          </wp:positionH>
          <wp:positionV relativeFrom="paragraph">
            <wp:posOffset>-233680</wp:posOffset>
          </wp:positionV>
          <wp:extent cx="7589520" cy="10732135"/>
          <wp:effectExtent l="0" t="0" r="0"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9520" cy="107321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ABC51F" w14:textId="77777777" w:rsidR="00FE289C" w:rsidRPr="007A1663" w:rsidRDefault="00FE289C" w:rsidP="007A1663">
    <w:pPr>
      <w:pStyle w:val="a5"/>
    </w:pPr>
    <w:r>
      <w:rPr>
        <w:noProof/>
        <w:lang w:bidi="ar-SA"/>
      </w:rPr>
      <w:drawing>
        <wp:anchor distT="0" distB="0" distL="114300" distR="114300" simplePos="0" relativeHeight="251682816" behindDoc="1" locked="0" layoutInCell="1" allowOverlap="1" wp14:anchorId="0D9DD623" wp14:editId="7B2CA639">
          <wp:simplePos x="0" y="0"/>
          <wp:positionH relativeFrom="column">
            <wp:posOffset>-457200</wp:posOffset>
          </wp:positionH>
          <wp:positionV relativeFrom="paragraph">
            <wp:posOffset>-233680</wp:posOffset>
          </wp:positionV>
          <wp:extent cx="7589520" cy="1073213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9520" cy="107321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D351E"/>
    <w:multiLevelType w:val="hybridMultilevel"/>
    <w:tmpl w:val="84AAD39A"/>
    <w:lvl w:ilvl="0" w:tplc="0419000F">
      <w:start w:val="4"/>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209D4BE8"/>
    <w:multiLevelType w:val="multilevel"/>
    <w:tmpl w:val="AFB66556"/>
    <w:lvl w:ilvl="0">
      <w:start w:val="6"/>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nsid w:val="458E1A97"/>
    <w:multiLevelType w:val="hybridMultilevel"/>
    <w:tmpl w:val="A888F584"/>
    <w:lvl w:ilvl="0" w:tplc="690EB6FE">
      <w:start w:val="1"/>
      <w:numFmt w:val="decimal"/>
      <w:lvlText w:val="%1."/>
      <w:lvlJc w:val="left"/>
      <w:pPr>
        <w:tabs>
          <w:tab w:val="num" w:pos="720"/>
        </w:tabs>
        <w:ind w:left="720" w:hanging="360"/>
      </w:pPr>
      <w:rPr>
        <w:rFonts w:hint="default"/>
      </w:rPr>
    </w:lvl>
    <w:lvl w:ilvl="1" w:tplc="B55E8488">
      <w:numFmt w:val="none"/>
      <w:lvlText w:val=""/>
      <w:lvlJc w:val="left"/>
      <w:pPr>
        <w:tabs>
          <w:tab w:val="num" w:pos="360"/>
        </w:tabs>
      </w:pPr>
    </w:lvl>
    <w:lvl w:ilvl="2" w:tplc="D166BC40">
      <w:numFmt w:val="none"/>
      <w:lvlText w:val=""/>
      <w:lvlJc w:val="left"/>
      <w:pPr>
        <w:tabs>
          <w:tab w:val="num" w:pos="360"/>
        </w:tabs>
      </w:pPr>
    </w:lvl>
    <w:lvl w:ilvl="3" w:tplc="740686CA">
      <w:numFmt w:val="none"/>
      <w:lvlText w:val=""/>
      <w:lvlJc w:val="left"/>
      <w:pPr>
        <w:tabs>
          <w:tab w:val="num" w:pos="360"/>
        </w:tabs>
      </w:pPr>
    </w:lvl>
    <w:lvl w:ilvl="4" w:tplc="76341AC6">
      <w:numFmt w:val="none"/>
      <w:lvlText w:val=""/>
      <w:lvlJc w:val="left"/>
      <w:pPr>
        <w:tabs>
          <w:tab w:val="num" w:pos="360"/>
        </w:tabs>
      </w:pPr>
    </w:lvl>
    <w:lvl w:ilvl="5" w:tplc="8384E01C">
      <w:numFmt w:val="none"/>
      <w:lvlText w:val=""/>
      <w:lvlJc w:val="left"/>
      <w:pPr>
        <w:tabs>
          <w:tab w:val="num" w:pos="360"/>
        </w:tabs>
      </w:pPr>
    </w:lvl>
    <w:lvl w:ilvl="6" w:tplc="4AAE54EA">
      <w:numFmt w:val="none"/>
      <w:lvlText w:val=""/>
      <w:lvlJc w:val="left"/>
      <w:pPr>
        <w:tabs>
          <w:tab w:val="num" w:pos="360"/>
        </w:tabs>
      </w:pPr>
    </w:lvl>
    <w:lvl w:ilvl="7" w:tplc="F098BAD0">
      <w:numFmt w:val="none"/>
      <w:lvlText w:val=""/>
      <w:lvlJc w:val="left"/>
      <w:pPr>
        <w:tabs>
          <w:tab w:val="num" w:pos="360"/>
        </w:tabs>
      </w:pPr>
    </w:lvl>
    <w:lvl w:ilvl="8" w:tplc="7854A7F0">
      <w:numFmt w:val="none"/>
      <w:lvlText w:val=""/>
      <w:lvlJc w:val="left"/>
      <w:pPr>
        <w:tabs>
          <w:tab w:val="num" w:pos="360"/>
        </w:tabs>
      </w:pPr>
    </w:lvl>
  </w:abstractNum>
  <w:abstractNum w:abstractNumId="3">
    <w:nsid w:val="4F610A40"/>
    <w:multiLevelType w:val="singleLevel"/>
    <w:tmpl w:val="36DCFAD0"/>
    <w:lvl w:ilvl="0">
      <w:start w:val="1"/>
      <w:numFmt w:val="decimal"/>
      <w:lvlText w:val="%1."/>
      <w:legacy w:legacy="1" w:legacySpace="0" w:legacyIndent="355"/>
      <w:lvlJc w:val="left"/>
      <w:rPr>
        <w:rFonts w:ascii="Times New Roman" w:hAnsi="Times New Roman" w:cs="Times New Roman" w:hint="default"/>
        <w:lang w:val="en-US"/>
      </w:rPr>
    </w:lvl>
  </w:abstractNum>
  <w:abstractNum w:abstractNumId="4">
    <w:nsid w:val="6E5508DE"/>
    <w:multiLevelType w:val="singleLevel"/>
    <w:tmpl w:val="9CEC89F0"/>
    <w:lvl w:ilvl="0">
      <w:start w:val="3"/>
      <w:numFmt w:val="decimal"/>
      <w:lvlText w:val="%1."/>
      <w:legacy w:legacy="1" w:legacySpace="0" w:legacyIndent="360"/>
      <w:lvlJc w:val="left"/>
      <w:rPr>
        <w:rFonts w:ascii="Times New Roman" w:hAnsi="Times New Roman" w:cs="Times New Roman" w:hint="default"/>
        <w:b w:val="0"/>
      </w:rPr>
    </w:lvl>
  </w:abstractNum>
  <w:num w:numId="1">
    <w:abstractNumId w:val="2"/>
  </w:num>
  <w:num w:numId="2">
    <w:abstractNumId w:val="1"/>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5A32"/>
    <w:rsid w:val="00001579"/>
    <w:rsid w:val="00001D9D"/>
    <w:rsid w:val="000035C5"/>
    <w:rsid w:val="00010282"/>
    <w:rsid w:val="00014322"/>
    <w:rsid w:val="0001609E"/>
    <w:rsid w:val="00032696"/>
    <w:rsid w:val="000507DA"/>
    <w:rsid w:val="00055A3A"/>
    <w:rsid w:val="00062998"/>
    <w:rsid w:val="00074547"/>
    <w:rsid w:val="00075562"/>
    <w:rsid w:val="00082993"/>
    <w:rsid w:val="000919FB"/>
    <w:rsid w:val="0009682C"/>
    <w:rsid w:val="00097CDD"/>
    <w:rsid w:val="000A3331"/>
    <w:rsid w:val="000B388A"/>
    <w:rsid w:val="000C107F"/>
    <w:rsid w:val="000C5D6E"/>
    <w:rsid w:val="000D1302"/>
    <w:rsid w:val="000D39E1"/>
    <w:rsid w:val="000D68A2"/>
    <w:rsid w:val="000E24D7"/>
    <w:rsid w:val="000E51FB"/>
    <w:rsid w:val="000E584D"/>
    <w:rsid w:val="000E6AE9"/>
    <w:rsid w:val="000E780B"/>
    <w:rsid w:val="000F2E6D"/>
    <w:rsid w:val="000F5942"/>
    <w:rsid w:val="0012006F"/>
    <w:rsid w:val="00130C53"/>
    <w:rsid w:val="00133E13"/>
    <w:rsid w:val="00135079"/>
    <w:rsid w:val="00142184"/>
    <w:rsid w:val="00181138"/>
    <w:rsid w:val="00187DC2"/>
    <w:rsid w:val="00194FE2"/>
    <w:rsid w:val="00195AD0"/>
    <w:rsid w:val="00196305"/>
    <w:rsid w:val="001A076C"/>
    <w:rsid w:val="001B5A32"/>
    <w:rsid w:val="001D40D2"/>
    <w:rsid w:val="001D46FE"/>
    <w:rsid w:val="001D6A6D"/>
    <w:rsid w:val="002008B8"/>
    <w:rsid w:val="00201E7B"/>
    <w:rsid w:val="0021643A"/>
    <w:rsid w:val="00230F20"/>
    <w:rsid w:val="002312EA"/>
    <w:rsid w:val="00247EBC"/>
    <w:rsid w:val="002553DE"/>
    <w:rsid w:val="002570E9"/>
    <w:rsid w:val="00260C0A"/>
    <w:rsid w:val="002636CA"/>
    <w:rsid w:val="00271CB2"/>
    <w:rsid w:val="002743DC"/>
    <w:rsid w:val="002809B3"/>
    <w:rsid w:val="00283A04"/>
    <w:rsid w:val="00283C16"/>
    <w:rsid w:val="00291266"/>
    <w:rsid w:val="00291731"/>
    <w:rsid w:val="002931B2"/>
    <w:rsid w:val="002C1BD0"/>
    <w:rsid w:val="00300E60"/>
    <w:rsid w:val="0030629E"/>
    <w:rsid w:val="003138C2"/>
    <w:rsid w:val="0033535F"/>
    <w:rsid w:val="00354D98"/>
    <w:rsid w:val="003845EE"/>
    <w:rsid w:val="00391BB8"/>
    <w:rsid w:val="00395A00"/>
    <w:rsid w:val="003A50BC"/>
    <w:rsid w:val="003C0345"/>
    <w:rsid w:val="003C0CA9"/>
    <w:rsid w:val="003C2CE3"/>
    <w:rsid w:val="003C4011"/>
    <w:rsid w:val="003C4AEC"/>
    <w:rsid w:val="003C53AB"/>
    <w:rsid w:val="003C5D36"/>
    <w:rsid w:val="003D76CE"/>
    <w:rsid w:val="003E0940"/>
    <w:rsid w:val="003E10E4"/>
    <w:rsid w:val="003E4F19"/>
    <w:rsid w:val="003F2E91"/>
    <w:rsid w:val="0040204C"/>
    <w:rsid w:val="00402B57"/>
    <w:rsid w:val="00407401"/>
    <w:rsid w:val="00410BE4"/>
    <w:rsid w:val="004143CC"/>
    <w:rsid w:val="00416C5F"/>
    <w:rsid w:val="00420162"/>
    <w:rsid w:val="00425FC3"/>
    <w:rsid w:val="004328DF"/>
    <w:rsid w:val="00445F1F"/>
    <w:rsid w:val="004552FA"/>
    <w:rsid w:val="00471B4B"/>
    <w:rsid w:val="00483442"/>
    <w:rsid w:val="00496DAA"/>
    <w:rsid w:val="0049768C"/>
    <w:rsid w:val="004B4848"/>
    <w:rsid w:val="004B7ED7"/>
    <w:rsid w:val="004D1698"/>
    <w:rsid w:val="004E7412"/>
    <w:rsid w:val="004F101B"/>
    <w:rsid w:val="004F7087"/>
    <w:rsid w:val="00501F81"/>
    <w:rsid w:val="00504C9E"/>
    <w:rsid w:val="00513772"/>
    <w:rsid w:val="00517DA1"/>
    <w:rsid w:val="00522ED0"/>
    <w:rsid w:val="00525F4C"/>
    <w:rsid w:val="00526ABB"/>
    <w:rsid w:val="00531263"/>
    <w:rsid w:val="00535B01"/>
    <w:rsid w:val="005417B8"/>
    <w:rsid w:val="005570A2"/>
    <w:rsid w:val="00573694"/>
    <w:rsid w:val="00575C67"/>
    <w:rsid w:val="0058494A"/>
    <w:rsid w:val="0059757F"/>
    <w:rsid w:val="005A4563"/>
    <w:rsid w:val="005B1058"/>
    <w:rsid w:val="005B2A72"/>
    <w:rsid w:val="005C1834"/>
    <w:rsid w:val="005C5F28"/>
    <w:rsid w:val="005D56D0"/>
    <w:rsid w:val="005F12A6"/>
    <w:rsid w:val="005F4C6F"/>
    <w:rsid w:val="005F50E3"/>
    <w:rsid w:val="005F7E39"/>
    <w:rsid w:val="006057BB"/>
    <w:rsid w:val="00607204"/>
    <w:rsid w:val="006116F6"/>
    <w:rsid w:val="006319E7"/>
    <w:rsid w:val="00632A2C"/>
    <w:rsid w:val="0063554B"/>
    <w:rsid w:val="00635937"/>
    <w:rsid w:val="00640594"/>
    <w:rsid w:val="00641112"/>
    <w:rsid w:val="00660EC5"/>
    <w:rsid w:val="00673E95"/>
    <w:rsid w:val="006836FB"/>
    <w:rsid w:val="00697489"/>
    <w:rsid w:val="006B3311"/>
    <w:rsid w:val="006B518E"/>
    <w:rsid w:val="006B55C8"/>
    <w:rsid w:val="006C3D8E"/>
    <w:rsid w:val="006D3FE1"/>
    <w:rsid w:val="006E1C06"/>
    <w:rsid w:val="006E3C83"/>
    <w:rsid w:val="006E5357"/>
    <w:rsid w:val="006F2A89"/>
    <w:rsid w:val="00710EBD"/>
    <w:rsid w:val="00723B6D"/>
    <w:rsid w:val="00726014"/>
    <w:rsid w:val="00741ED9"/>
    <w:rsid w:val="00741EE0"/>
    <w:rsid w:val="00754F73"/>
    <w:rsid w:val="00770C12"/>
    <w:rsid w:val="00782225"/>
    <w:rsid w:val="007A0AE4"/>
    <w:rsid w:val="007A1663"/>
    <w:rsid w:val="007A19F5"/>
    <w:rsid w:val="007A4AE9"/>
    <w:rsid w:val="007A54FF"/>
    <w:rsid w:val="007A63AD"/>
    <w:rsid w:val="007D31C8"/>
    <w:rsid w:val="00815615"/>
    <w:rsid w:val="00840A81"/>
    <w:rsid w:val="00840F6F"/>
    <w:rsid w:val="008655D0"/>
    <w:rsid w:val="00870AC8"/>
    <w:rsid w:val="008735FA"/>
    <w:rsid w:val="00873D83"/>
    <w:rsid w:val="00874E92"/>
    <w:rsid w:val="0088460B"/>
    <w:rsid w:val="008846D4"/>
    <w:rsid w:val="008926BF"/>
    <w:rsid w:val="00894044"/>
    <w:rsid w:val="008A60B0"/>
    <w:rsid w:val="008A6DD3"/>
    <w:rsid w:val="008E12F0"/>
    <w:rsid w:val="008E34E8"/>
    <w:rsid w:val="008E58B8"/>
    <w:rsid w:val="008F6347"/>
    <w:rsid w:val="0091228A"/>
    <w:rsid w:val="00914656"/>
    <w:rsid w:val="00933CDA"/>
    <w:rsid w:val="00935478"/>
    <w:rsid w:val="0094261F"/>
    <w:rsid w:val="009440EE"/>
    <w:rsid w:val="00944467"/>
    <w:rsid w:val="00976342"/>
    <w:rsid w:val="00982DEB"/>
    <w:rsid w:val="009A067F"/>
    <w:rsid w:val="009D387C"/>
    <w:rsid w:val="009D3D5E"/>
    <w:rsid w:val="00A027BC"/>
    <w:rsid w:val="00A22F8E"/>
    <w:rsid w:val="00A61FDC"/>
    <w:rsid w:val="00A75DE7"/>
    <w:rsid w:val="00A80783"/>
    <w:rsid w:val="00A93FCA"/>
    <w:rsid w:val="00AA5E01"/>
    <w:rsid w:val="00AB0607"/>
    <w:rsid w:val="00AB756A"/>
    <w:rsid w:val="00AC2066"/>
    <w:rsid w:val="00B072FE"/>
    <w:rsid w:val="00B2043C"/>
    <w:rsid w:val="00B23FBB"/>
    <w:rsid w:val="00B37767"/>
    <w:rsid w:val="00B52433"/>
    <w:rsid w:val="00B5422B"/>
    <w:rsid w:val="00B54B73"/>
    <w:rsid w:val="00B55C23"/>
    <w:rsid w:val="00B57422"/>
    <w:rsid w:val="00B80372"/>
    <w:rsid w:val="00B8615C"/>
    <w:rsid w:val="00BB59C9"/>
    <w:rsid w:val="00BC2B52"/>
    <w:rsid w:val="00BD7FB4"/>
    <w:rsid w:val="00BE6F3E"/>
    <w:rsid w:val="00C07910"/>
    <w:rsid w:val="00C11D52"/>
    <w:rsid w:val="00C47561"/>
    <w:rsid w:val="00C61464"/>
    <w:rsid w:val="00C61D78"/>
    <w:rsid w:val="00C840DE"/>
    <w:rsid w:val="00C92834"/>
    <w:rsid w:val="00CA2098"/>
    <w:rsid w:val="00CB403B"/>
    <w:rsid w:val="00CC616C"/>
    <w:rsid w:val="00CD70E6"/>
    <w:rsid w:val="00CE1677"/>
    <w:rsid w:val="00CE4982"/>
    <w:rsid w:val="00CF1376"/>
    <w:rsid w:val="00CF5D15"/>
    <w:rsid w:val="00D213AC"/>
    <w:rsid w:val="00D36998"/>
    <w:rsid w:val="00D40B38"/>
    <w:rsid w:val="00D45850"/>
    <w:rsid w:val="00D46666"/>
    <w:rsid w:val="00D46869"/>
    <w:rsid w:val="00D51539"/>
    <w:rsid w:val="00D66D26"/>
    <w:rsid w:val="00D75F06"/>
    <w:rsid w:val="00D8747B"/>
    <w:rsid w:val="00D964F3"/>
    <w:rsid w:val="00D97F85"/>
    <w:rsid w:val="00DB04A5"/>
    <w:rsid w:val="00DB3368"/>
    <w:rsid w:val="00DE529C"/>
    <w:rsid w:val="00DF0A6C"/>
    <w:rsid w:val="00DF54C7"/>
    <w:rsid w:val="00E14616"/>
    <w:rsid w:val="00E255DB"/>
    <w:rsid w:val="00E40639"/>
    <w:rsid w:val="00E4433A"/>
    <w:rsid w:val="00E66BF0"/>
    <w:rsid w:val="00E7442F"/>
    <w:rsid w:val="00E75102"/>
    <w:rsid w:val="00E7695A"/>
    <w:rsid w:val="00E80F2F"/>
    <w:rsid w:val="00E81B7D"/>
    <w:rsid w:val="00E90385"/>
    <w:rsid w:val="00E91323"/>
    <w:rsid w:val="00E95D1B"/>
    <w:rsid w:val="00EA308F"/>
    <w:rsid w:val="00EB2F3D"/>
    <w:rsid w:val="00EC09D5"/>
    <w:rsid w:val="00EC777A"/>
    <w:rsid w:val="00ED060B"/>
    <w:rsid w:val="00ED48D2"/>
    <w:rsid w:val="00EF2448"/>
    <w:rsid w:val="00EF27E9"/>
    <w:rsid w:val="00EF5021"/>
    <w:rsid w:val="00EF56A2"/>
    <w:rsid w:val="00F12B71"/>
    <w:rsid w:val="00F219EB"/>
    <w:rsid w:val="00F3182D"/>
    <w:rsid w:val="00F35812"/>
    <w:rsid w:val="00F37CF5"/>
    <w:rsid w:val="00F41ED8"/>
    <w:rsid w:val="00F45559"/>
    <w:rsid w:val="00F50217"/>
    <w:rsid w:val="00F5206E"/>
    <w:rsid w:val="00F5560E"/>
    <w:rsid w:val="00F56AE2"/>
    <w:rsid w:val="00F607C5"/>
    <w:rsid w:val="00F62AC9"/>
    <w:rsid w:val="00F76952"/>
    <w:rsid w:val="00F85E41"/>
    <w:rsid w:val="00F86341"/>
    <w:rsid w:val="00F8734C"/>
    <w:rsid w:val="00F93962"/>
    <w:rsid w:val="00FC1B52"/>
    <w:rsid w:val="00FC2125"/>
    <w:rsid w:val="00FC5043"/>
    <w:rsid w:val="00FD07B7"/>
    <w:rsid w:val="00FD74E0"/>
    <w:rsid w:val="00FE135F"/>
    <w:rsid w:val="00FE289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29AB6303"/>
  <w15:docId w15:val="{404D3C5C-DB03-43CB-BE05-7F9ECB7AF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uk-UA" w:bidi="uk-U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5F1F"/>
    <w:pPr>
      <w:spacing w:after="0" w:line="240" w:lineRule="auto"/>
    </w:pPr>
    <w:rPr>
      <w:rFonts w:ascii="Arial" w:hAnsi="Arial"/>
      <w:sz w:val="18"/>
    </w:rPr>
  </w:style>
  <w:style w:type="paragraph" w:styleId="1">
    <w:name w:val="heading 1"/>
    <w:basedOn w:val="a"/>
    <w:next w:val="a"/>
    <w:link w:val="10"/>
    <w:qFormat/>
    <w:rsid w:val="00D964F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01609E"/>
    <w:pPr>
      <w:widowControl w:val="0"/>
      <w:autoSpaceDE w:val="0"/>
      <w:autoSpaceDN w:val="0"/>
      <w:spacing w:line="211" w:lineRule="exact"/>
      <w:ind w:left="120"/>
      <w:outlineLvl w:val="1"/>
    </w:pPr>
    <w:rPr>
      <w:rFonts w:ascii="Trebuchet MS" w:eastAsia="Trebuchet MS" w:hAnsi="Trebuchet MS" w:cs="Trebuchet MS"/>
      <w:b/>
      <w:bCs/>
      <w:sz w:val="19"/>
      <w:szCs w:val="19"/>
    </w:rPr>
  </w:style>
  <w:style w:type="paragraph" w:styleId="3">
    <w:name w:val="heading 3"/>
    <w:basedOn w:val="a"/>
    <w:next w:val="a"/>
    <w:link w:val="30"/>
    <w:unhideWhenUsed/>
    <w:qFormat/>
    <w:rsid w:val="00D964F3"/>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aliases w:val="II/III"/>
    <w:basedOn w:val="a"/>
    <w:next w:val="a"/>
    <w:link w:val="40"/>
    <w:unhideWhenUsed/>
    <w:qFormat/>
    <w:rsid w:val="00FE289C"/>
    <w:pPr>
      <w:keepNext/>
      <w:keepLines/>
      <w:spacing w:before="200"/>
      <w:outlineLvl w:val="3"/>
    </w:pPr>
    <w:rPr>
      <w:rFonts w:ascii="Cambria" w:eastAsia="Times New Roman" w:hAnsi="Cambria" w:cs="Times New Roman"/>
      <w:b/>
      <w:bCs/>
      <w:i/>
      <w:iCs/>
      <w:color w:val="4F81BD"/>
      <w:sz w:val="22"/>
      <w:szCs w:val="20"/>
      <w:lang w:val="en-GB" w:eastAsia="en-US" w:bidi="ar-SA"/>
    </w:rPr>
  </w:style>
  <w:style w:type="paragraph" w:styleId="9">
    <w:name w:val="heading 9"/>
    <w:basedOn w:val="a"/>
    <w:next w:val="a"/>
    <w:link w:val="90"/>
    <w:qFormat/>
    <w:rsid w:val="00FE289C"/>
    <w:pPr>
      <w:keepNext/>
      <w:widowControl w:val="0"/>
      <w:ind w:firstLine="709"/>
      <w:jc w:val="both"/>
      <w:outlineLvl w:val="8"/>
    </w:pPr>
    <w:rPr>
      <w:rFonts w:ascii="Times New Roman" w:eastAsia="Times New Roman" w:hAnsi="Times New Roman" w:cs="Times New Roman"/>
      <w:b/>
      <w:i/>
      <w:sz w:val="28"/>
      <w:szCs w:val="20"/>
      <w:lang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64F3"/>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1"/>
    <w:rsid w:val="0001609E"/>
    <w:rPr>
      <w:rFonts w:ascii="Trebuchet MS" w:eastAsia="Trebuchet MS" w:hAnsi="Trebuchet MS" w:cs="Trebuchet MS"/>
      <w:b/>
      <w:bCs/>
      <w:sz w:val="19"/>
      <w:szCs w:val="19"/>
    </w:rPr>
  </w:style>
  <w:style w:type="character" w:customStyle="1" w:styleId="30">
    <w:name w:val="Заголовок 3 Знак"/>
    <w:basedOn w:val="a0"/>
    <w:link w:val="3"/>
    <w:uiPriority w:val="9"/>
    <w:semiHidden/>
    <w:rsid w:val="00D964F3"/>
    <w:rPr>
      <w:rFonts w:asciiTheme="majorHAnsi" w:eastAsiaTheme="majorEastAsia" w:hAnsiTheme="majorHAnsi" w:cstheme="majorBidi"/>
      <w:b/>
      <w:bCs/>
      <w:color w:val="4F81BD" w:themeColor="accent1"/>
      <w:sz w:val="18"/>
    </w:rPr>
  </w:style>
  <w:style w:type="character" w:customStyle="1" w:styleId="40">
    <w:name w:val="Заголовок 4 Знак"/>
    <w:aliases w:val="II/III Знак"/>
    <w:basedOn w:val="a0"/>
    <w:link w:val="4"/>
    <w:rsid w:val="00FE289C"/>
    <w:rPr>
      <w:rFonts w:ascii="Cambria" w:eastAsia="Times New Roman" w:hAnsi="Cambria" w:cs="Times New Roman"/>
      <w:b/>
      <w:bCs/>
      <w:i/>
      <w:iCs/>
      <w:color w:val="4F81BD"/>
      <w:szCs w:val="20"/>
      <w:lang w:val="en-GB" w:eastAsia="en-US" w:bidi="ar-SA"/>
    </w:rPr>
  </w:style>
  <w:style w:type="character" w:customStyle="1" w:styleId="90">
    <w:name w:val="Заголовок 9 Знак"/>
    <w:basedOn w:val="a0"/>
    <w:link w:val="9"/>
    <w:rsid w:val="00FE289C"/>
    <w:rPr>
      <w:rFonts w:ascii="Times New Roman" w:eastAsia="Times New Roman" w:hAnsi="Times New Roman" w:cs="Times New Roman"/>
      <w:b/>
      <w:i/>
      <w:sz w:val="28"/>
      <w:szCs w:val="20"/>
      <w:lang w:eastAsia="ru-RU" w:bidi="ar-SA"/>
    </w:rPr>
  </w:style>
  <w:style w:type="character" w:customStyle="1" w:styleId="Tablecaption">
    <w:name w:val="Table caption"/>
    <w:basedOn w:val="a0"/>
    <w:rsid w:val="006116F6"/>
    <w:rPr>
      <w:rFonts w:ascii="Bookman Old Style" w:eastAsia="Bookman Old Style" w:hAnsi="Bookman Old Style" w:cs="Bookman Old Style"/>
      <w:b w:val="0"/>
      <w:bCs w:val="0"/>
      <w:i w:val="0"/>
      <w:iCs w:val="0"/>
      <w:smallCaps w:val="0"/>
      <w:strike w:val="0"/>
      <w:color w:val="000000"/>
      <w:spacing w:val="4"/>
      <w:w w:val="100"/>
      <w:position w:val="0"/>
      <w:sz w:val="9"/>
      <w:szCs w:val="9"/>
      <w:u w:val="none"/>
      <w:lang w:val="uk-UA"/>
    </w:rPr>
  </w:style>
  <w:style w:type="paragraph" w:customStyle="1" w:styleId="H1">
    <w:name w:val="H1"/>
    <w:basedOn w:val="a"/>
    <w:link w:val="H1Char"/>
    <w:rsid w:val="00D8747B"/>
    <w:pPr>
      <w:widowControl w:val="0"/>
      <w:shd w:val="clear" w:color="auto" w:fill="FFFF00"/>
      <w:tabs>
        <w:tab w:val="left" w:pos="10340"/>
      </w:tabs>
      <w:spacing w:after="240"/>
      <w:ind w:left="720" w:hanging="720"/>
    </w:pPr>
    <w:rPr>
      <w:rFonts w:eastAsia="Arial" w:cs="Arial"/>
      <w:b/>
      <w:bCs/>
      <w:sz w:val="28"/>
      <w:szCs w:val="28"/>
    </w:rPr>
  </w:style>
  <w:style w:type="character" w:customStyle="1" w:styleId="H1Char">
    <w:name w:val="H1 Char"/>
    <w:basedOn w:val="a0"/>
    <w:link w:val="H1"/>
    <w:rsid w:val="00D8747B"/>
    <w:rPr>
      <w:rFonts w:ascii="Arial" w:eastAsia="Arial" w:hAnsi="Arial" w:cs="Arial"/>
      <w:b/>
      <w:bCs/>
      <w:sz w:val="28"/>
      <w:szCs w:val="28"/>
      <w:shd w:val="clear" w:color="auto" w:fill="FFFF00"/>
    </w:rPr>
  </w:style>
  <w:style w:type="paragraph" w:styleId="a3">
    <w:name w:val="Balloon Text"/>
    <w:basedOn w:val="a"/>
    <w:link w:val="a4"/>
    <w:semiHidden/>
    <w:unhideWhenUsed/>
    <w:rsid w:val="001B5A32"/>
    <w:rPr>
      <w:rFonts w:ascii="Tahoma" w:hAnsi="Tahoma" w:cs="Tahoma"/>
      <w:sz w:val="16"/>
      <w:szCs w:val="16"/>
    </w:rPr>
  </w:style>
  <w:style w:type="character" w:customStyle="1" w:styleId="a4">
    <w:name w:val="Текст выноски Знак"/>
    <w:basedOn w:val="a0"/>
    <w:link w:val="a3"/>
    <w:uiPriority w:val="99"/>
    <w:semiHidden/>
    <w:rsid w:val="001B5A32"/>
    <w:rPr>
      <w:rFonts w:ascii="Tahoma" w:hAnsi="Tahoma" w:cs="Tahoma"/>
      <w:sz w:val="16"/>
      <w:szCs w:val="16"/>
      <w:lang w:val="uk-UA"/>
    </w:rPr>
  </w:style>
  <w:style w:type="paragraph" w:styleId="a5">
    <w:name w:val="header"/>
    <w:basedOn w:val="a"/>
    <w:link w:val="a6"/>
    <w:unhideWhenUsed/>
    <w:rsid w:val="001B5A32"/>
    <w:pPr>
      <w:tabs>
        <w:tab w:val="center" w:pos="4680"/>
        <w:tab w:val="right" w:pos="9360"/>
      </w:tabs>
    </w:pPr>
  </w:style>
  <w:style w:type="character" w:customStyle="1" w:styleId="a6">
    <w:name w:val="Верхний колонтитул Знак"/>
    <w:basedOn w:val="a0"/>
    <w:link w:val="a5"/>
    <w:uiPriority w:val="99"/>
    <w:rsid w:val="001B5A32"/>
    <w:rPr>
      <w:lang w:val="uk-UA"/>
    </w:rPr>
  </w:style>
  <w:style w:type="paragraph" w:styleId="a7">
    <w:name w:val="footer"/>
    <w:basedOn w:val="a"/>
    <w:link w:val="a8"/>
    <w:uiPriority w:val="99"/>
    <w:unhideWhenUsed/>
    <w:rsid w:val="001B5A32"/>
    <w:pPr>
      <w:tabs>
        <w:tab w:val="center" w:pos="4680"/>
        <w:tab w:val="right" w:pos="9360"/>
      </w:tabs>
    </w:pPr>
  </w:style>
  <w:style w:type="character" w:customStyle="1" w:styleId="a8">
    <w:name w:val="Нижний колонтитул Знак"/>
    <w:basedOn w:val="a0"/>
    <w:link w:val="a7"/>
    <w:uiPriority w:val="99"/>
    <w:rsid w:val="001B5A32"/>
    <w:rPr>
      <w:lang w:val="uk-UA"/>
    </w:rPr>
  </w:style>
  <w:style w:type="paragraph" w:styleId="a9">
    <w:name w:val="No Spacing"/>
    <w:uiPriority w:val="1"/>
    <w:qFormat/>
    <w:rsid w:val="00445F1F"/>
    <w:pPr>
      <w:spacing w:after="0" w:line="240" w:lineRule="auto"/>
    </w:pPr>
    <w:rPr>
      <w:rFonts w:ascii="Arial" w:hAnsi="Arial"/>
      <w:sz w:val="18"/>
    </w:rPr>
  </w:style>
  <w:style w:type="paragraph" w:customStyle="1" w:styleId="Default">
    <w:name w:val="Default"/>
    <w:rsid w:val="00FC1B52"/>
    <w:pPr>
      <w:autoSpaceDE w:val="0"/>
      <w:autoSpaceDN w:val="0"/>
      <w:adjustRightInd w:val="0"/>
      <w:spacing w:after="0" w:line="240" w:lineRule="auto"/>
    </w:pPr>
    <w:rPr>
      <w:rFonts w:ascii="Gotham Bold" w:hAnsi="Gotham Bold" w:cs="Gotham Bold"/>
      <w:color w:val="000000"/>
      <w:sz w:val="24"/>
      <w:szCs w:val="24"/>
    </w:rPr>
  </w:style>
  <w:style w:type="paragraph" w:customStyle="1" w:styleId="Pa2">
    <w:name w:val="Pa2"/>
    <w:basedOn w:val="Default"/>
    <w:next w:val="Default"/>
    <w:uiPriority w:val="99"/>
    <w:rsid w:val="00133E13"/>
    <w:pPr>
      <w:spacing w:line="181" w:lineRule="atLeast"/>
    </w:pPr>
    <w:rPr>
      <w:rFonts w:ascii="Gotham Light" w:hAnsi="Gotham Light" w:cs="Arial"/>
      <w:color w:val="auto"/>
    </w:rPr>
  </w:style>
  <w:style w:type="table" w:styleId="aa">
    <w:name w:val="Table Grid"/>
    <w:basedOn w:val="a1"/>
    <w:rsid w:val="008E34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0">
    <w:name w:val="A10"/>
    <w:uiPriority w:val="99"/>
    <w:rsid w:val="008E34E8"/>
    <w:rPr>
      <w:rFonts w:cs="Gotham Light"/>
      <w:color w:val="211D1E"/>
      <w:sz w:val="26"/>
      <w:szCs w:val="26"/>
    </w:rPr>
  </w:style>
  <w:style w:type="character" w:customStyle="1" w:styleId="A11">
    <w:name w:val="A11"/>
    <w:uiPriority w:val="99"/>
    <w:rsid w:val="008E34E8"/>
    <w:rPr>
      <w:rFonts w:cs="Gotham Light"/>
      <w:color w:val="211D1E"/>
      <w:sz w:val="15"/>
      <w:szCs w:val="15"/>
    </w:rPr>
  </w:style>
  <w:style w:type="paragraph" w:customStyle="1" w:styleId="Pa8">
    <w:name w:val="Pa8"/>
    <w:basedOn w:val="Default"/>
    <w:next w:val="Default"/>
    <w:uiPriority w:val="99"/>
    <w:rsid w:val="008E34E8"/>
    <w:pPr>
      <w:spacing w:line="221" w:lineRule="atLeast"/>
    </w:pPr>
    <w:rPr>
      <w:rFonts w:cstheme="minorBidi"/>
      <w:color w:val="auto"/>
    </w:rPr>
  </w:style>
  <w:style w:type="paragraph" w:customStyle="1" w:styleId="Pa6">
    <w:name w:val="Pa6"/>
    <w:basedOn w:val="Default"/>
    <w:next w:val="Default"/>
    <w:uiPriority w:val="99"/>
    <w:rsid w:val="00A80783"/>
    <w:pPr>
      <w:spacing w:line="401" w:lineRule="atLeast"/>
    </w:pPr>
    <w:rPr>
      <w:rFonts w:cstheme="minorBidi"/>
      <w:color w:val="auto"/>
    </w:rPr>
  </w:style>
  <w:style w:type="paragraph" w:customStyle="1" w:styleId="Pa7">
    <w:name w:val="Pa7"/>
    <w:basedOn w:val="Default"/>
    <w:next w:val="Default"/>
    <w:uiPriority w:val="99"/>
    <w:rsid w:val="00A80783"/>
    <w:pPr>
      <w:spacing w:line="281" w:lineRule="atLeast"/>
    </w:pPr>
    <w:rPr>
      <w:rFonts w:cstheme="minorBidi"/>
      <w:color w:val="auto"/>
    </w:rPr>
  </w:style>
  <w:style w:type="character" w:customStyle="1" w:styleId="A80">
    <w:name w:val="A8"/>
    <w:uiPriority w:val="99"/>
    <w:rsid w:val="00A80783"/>
    <w:rPr>
      <w:rFonts w:cs="Gotham Bold"/>
      <w:b/>
      <w:bCs/>
      <w:color w:val="202377"/>
      <w:sz w:val="16"/>
      <w:szCs w:val="16"/>
    </w:rPr>
  </w:style>
  <w:style w:type="character" w:customStyle="1" w:styleId="A12">
    <w:name w:val="A12"/>
    <w:uiPriority w:val="99"/>
    <w:rsid w:val="00A80783"/>
    <w:rPr>
      <w:rFonts w:cs="Gotham Bold"/>
      <w:b/>
      <w:bCs/>
      <w:color w:val="428F9D"/>
      <w:sz w:val="48"/>
      <w:szCs w:val="48"/>
    </w:rPr>
  </w:style>
  <w:style w:type="character" w:customStyle="1" w:styleId="A14">
    <w:name w:val="A14"/>
    <w:uiPriority w:val="99"/>
    <w:rsid w:val="00632A2C"/>
    <w:rPr>
      <w:rFonts w:cs="Gotham Bold"/>
      <w:b/>
      <w:bCs/>
      <w:i/>
      <w:iCs/>
      <w:color w:val="428F9D"/>
      <w:sz w:val="12"/>
      <w:szCs w:val="12"/>
    </w:rPr>
  </w:style>
  <w:style w:type="paragraph" w:customStyle="1" w:styleId="Pa3">
    <w:name w:val="Pa3"/>
    <w:basedOn w:val="Default"/>
    <w:next w:val="Default"/>
    <w:uiPriority w:val="99"/>
    <w:rsid w:val="00632A2C"/>
    <w:pPr>
      <w:spacing w:line="241" w:lineRule="atLeast"/>
    </w:pPr>
    <w:rPr>
      <w:rFonts w:cstheme="minorBidi"/>
      <w:color w:val="auto"/>
    </w:rPr>
  </w:style>
  <w:style w:type="character" w:customStyle="1" w:styleId="A40">
    <w:name w:val="A4"/>
    <w:uiPriority w:val="99"/>
    <w:rsid w:val="00632A2C"/>
    <w:rPr>
      <w:rFonts w:cs="Gotham Bold"/>
      <w:b/>
      <w:bCs/>
      <w:color w:val="428F9D"/>
      <w:sz w:val="32"/>
      <w:szCs w:val="32"/>
    </w:rPr>
  </w:style>
  <w:style w:type="character" w:customStyle="1" w:styleId="A15">
    <w:name w:val="A15"/>
    <w:uiPriority w:val="99"/>
    <w:rsid w:val="00AA5E01"/>
    <w:rPr>
      <w:rFonts w:cs="Gotham Bold"/>
      <w:b/>
      <w:bCs/>
      <w:i/>
      <w:iCs/>
      <w:color w:val="428F9D"/>
      <w:sz w:val="16"/>
      <w:szCs w:val="16"/>
    </w:rPr>
  </w:style>
  <w:style w:type="character" w:customStyle="1" w:styleId="A70">
    <w:name w:val="A7"/>
    <w:uiPriority w:val="99"/>
    <w:rsid w:val="00F45559"/>
    <w:rPr>
      <w:rFonts w:cs="Gotham Bold"/>
      <w:color w:val="4A5D6A"/>
      <w:sz w:val="28"/>
      <w:szCs w:val="28"/>
    </w:rPr>
  </w:style>
  <w:style w:type="paragraph" w:styleId="ab">
    <w:name w:val="Body Text"/>
    <w:basedOn w:val="a"/>
    <w:link w:val="ac"/>
    <w:qFormat/>
    <w:rsid w:val="0001609E"/>
    <w:pPr>
      <w:widowControl w:val="0"/>
      <w:autoSpaceDE w:val="0"/>
      <w:autoSpaceDN w:val="0"/>
    </w:pPr>
    <w:rPr>
      <w:rFonts w:eastAsia="Arial" w:cs="Arial"/>
      <w:sz w:val="19"/>
      <w:szCs w:val="19"/>
    </w:rPr>
  </w:style>
  <w:style w:type="character" w:customStyle="1" w:styleId="ac">
    <w:name w:val="Основной текст Знак"/>
    <w:basedOn w:val="a0"/>
    <w:link w:val="ab"/>
    <w:uiPriority w:val="1"/>
    <w:rsid w:val="0001609E"/>
    <w:rPr>
      <w:rFonts w:ascii="Arial" w:eastAsia="Arial" w:hAnsi="Arial" w:cs="Arial"/>
      <w:sz w:val="19"/>
      <w:szCs w:val="19"/>
    </w:rPr>
  </w:style>
  <w:style w:type="paragraph" w:styleId="ad">
    <w:name w:val="List Paragraph"/>
    <w:basedOn w:val="a"/>
    <w:uiPriority w:val="34"/>
    <w:qFormat/>
    <w:rsid w:val="00525F4C"/>
    <w:pPr>
      <w:ind w:left="720"/>
      <w:contextualSpacing/>
    </w:pPr>
  </w:style>
  <w:style w:type="character" w:customStyle="1" w:styleId="A17">
    <w:name w:val="A17"/>
    <w:uiPriority w:val="99"/>
    <w:rsid w:val="009440EE"/>
    <w:rPr>
      <w:rFonts w:cs="Gotham Condensed Light"/>
      <w:color w:val="4A5E6A"/>
      <w:sz w:val="19"/>
      <w:szCs w:val="19"/>
    </w:rPr>
  </w:style>
  <w:style w:type="paragraph" w:customStyle="1" w:styleId="Pa15">
    <w:name w:val="Pa15"/>
    <w:basedOn w:val="Default"/>
    <w:next w:val="Default"/>
    <w:uiPriority w:val="99"/>
    <w:rsid w:val="009440EE"/>
    <w:pPr>
      <w:spacing w:line="221" w:lineRule="atLeast"/>
    </w:pPr>
    <w:rPr>
      <w:rFonts w:ascii="Gotham Condensed Light" w:hAnsi="Gotham Condensed Light" w:cstheme="minorBidi"/>
      <w:color w:val="auto"/>
    </w:rPr>
  </w:style>
  <w:style w:type="paragraph" w:customStyle="1" w:styleId="Pa13">
    <w:name w:val="Pa13"/>
    <w:basedOn w:val="Default"/>
    <w:next w:val="Default"/>
    <w:uiPriority w:val="99"/>
    <w:rsid w:val="00001579"/>
    <w:pPr>
      <w:spacing w:line="221" w:lineRule="atLeast"/>
    </w:pPr>
    <w:rPr>
      <w:rFonts w:ascii="Gotham Condensed Bold" w:hAnsi="Gotham Condensed Bold" w:cstheme="minorBidi"/>
      <w:color w:val="auto"/>
    </w:rPr>
  </w:style>
  <w:style w:type="character" w:customStyle="1" w:styleId="A22">
    <w:name w:val="A22"/>
    <w:uiPriority w:val="99"/>
    <w:rsid w:val="00F607C5"/>
    <w:rPr>
      <w:rFonts w:cs="Gotham Condensed Book"/>
      <w:color w:val="4A5E6A"/>
      <w:sz w:val="16"/>
      <w:szCs w:val="16"/>
      <w:u w:val="single"/>
    </w:rPr>
  </w:style>
  <w:style w:type="paragraph" w:customStyle="1" w:styleId="h10">
    <w:name w:val="h1"/>
    <w:basedOn w:val="a"/>
    <w:qFormat/>
    <w:rsid w:val="00E81B7D"/>
    <w:rPr>
      <w:rFonts w:eastAsia="Arial" w:cs="Arial"/>
      <w:b/>
      <w:bCs/>
      <w:color w:val="222478"/>
      <w:sz w:val="34"/>
      <w:szCs w:val="40"/>
    </w:rPr>
  </w:style>
  <w:style w:type="paragraph" w:customStyle="1" w:styleId="h2">
    <w:name w:val="h2"/>
    <w:basedOn w:val="Pa7"/>
    <w:qFormat/>
    <w:rsid w:val="00840F6F"/>
    <w:pPr>
      <w:spacing w:line="240" w:lineRule="auto"/>
    </w:pPr>
    <w:rPr>
      <w:rFonts w:ascii="Arial" w:hAnsi="Arial" w:cs="Arial"/>
      <w:b/>
      <w:bCs/>
      <w:color w:val="428F9D"/>
      <w:sz w:val="28"/>
      <w:szCs w:val="28"/>
    </w:rPr>
  </w:style>
  <w:style w:type="paragraph" w:styleId="11">
    <w:name w:val="toc 1"/>
    <w:basedOn w:val="a"/>
    <w:next w:val="a"/>
    <w:autoRedefine/>
    <w:uiPriority w:val="39"/>
    <w:unhideWhenUsed/>
    <w:rsid w:val="00F8734C"/>
    <w:pPr>
      <w:widowControl w:val="0"/>
      <w:tabs>
        <w:tab w:val="right" w:pos="10206"/>
      </w:tabs>
      <w:spacing w:after="240"/>
      <w:ind w:left="709" w:right="1678"/>
    </w:pPr>
    <w:rPr>
      <w:b/>
      <w:noProof/>
      <w:color w:val="202377"/>
      <w:kern w:val="2"/>
      <w:sz w:val="26"/>
      <w:szCs w:val="26"/>
    </w:rPr>
  </w:style>
  <w:style w:type="paragraph" w:styleId="21">
    <w:name w:val="toc 2"/>
    <w:basedOn w:val="a"/>
    <w:next w:val="a"/>
    <w:autoRedefine/>
    <w:uiPriority w:val="39"/>
    <w:unhideWhenUsed/>
    <w:rsid w:val="00F8734C"/>
    <w:pPr>
      <w:widowControl w:val="0"/>
      <w:tabs>
        <w:tab w:val="right" w:pos="10206"/>
      </w:tabs>
      <w:spacing w:line="480" w:lineRule="auto"/>
      <w:ind w:left="709"/>
    </w:pPr>
    <w:rPr>
      <w:noProof/>
      <w:color w:val="202377"/>
      <w:kern w:val="2"/>
      <w:sz w:val="26"/>
      <w:szCs w:val="26"/>
    </w:rPr>
  </w:style>
  <w:style w:type="character" w:styleId="ae">
    <w:name w:val="Hyperlink"/>
    <w:basedOn w:val="a0"/>
    <w:unhideWhenUsed/>
    <w:rsid w:val="00D964F3"/>
    <w:rPr>
      <w:color w:val="0000FF" w:themeColor="hyperlink"/>
      <w:u w:val="single"/>
    </w:rPr>
  </w:style>
  <w:style w:type="character" w:styleId="af">
    <w:name w:val="annotation reference"/>
    <w:basedOn w:val="a0"/>
    <w:semiHidden/>
    <w:unhideWhenUsed/>
    <w:rsid w:val="00640594"/>
    <w:rPr>
      <w:sz w:val="16"/>
      <w:szCs w:val="16"/>
    </w:rPr>
  </w:style>
  <w:style w:type="paragraph" w:styleId="af0">
    <w:name w:val="annotation text"/>
    <w:basedOn w:val="a"/>
    <w:link w:val="af1"/>
    <w:semiHidden/>
    <w:unhideWhenUsed/>
    <w:rsid w:val="00640594"/>
    <w:rPr>
      <w:sz w:val="20"/>
      <w:szCs w:val="20"/>
    </w:rPr>
  </w:style>
  <w:style w:type="character" w:customStyle="1" w:styleId="af1">
    <w:name w:val="Текст примечания Знак"/>
    <w:basedOn w:val="a0"/>
    <w:link w:val="af0"/>
    <w:semiHidden/>
    <w:rsid w:val="00640594"/>
    <w:rPr>
      <w:rFonts w:ascii="Arial" w:hAnsi="Arial"/>
      <w:sz w:val="20"/>
      <w:szCs w:val="20"/>
    </w:rPr>
  </w:style>
  <w:style w:type="paragraph" w:styleId="af2">
    <w:name w:val="annotation subject"/>
    <w:basedOn w:val="af0"/>
    <w:next w:val="af0"/>
    <w:link w:val="12"/>
    <w:unhideWhenUsed/>
    <w:rsid w:val="00640594"/>
    <w:rPr>
      <w:b/>
      <w:bCs/>
    </w:rPr>
  </w:style>
  <w:style w:type="character" w:customStyle="1" w:styleId="12">
    <w:name w:val="Тема примечания Знак1"/>
    <w:basedOn w:val="af1"/>
    <w:link w:val="af2"/>
    <w:uiPriority w:val="99"/>
    <w:semiHidden/>
    <w:rsid w:val="00640594"/>
    <w:rPr>
      <w:rFonts w:ascii="Arial" w:hAnsi="Arial"/>
      <w:b/>
      <w:bCs/>
      <w:sz w:val="20"/>
      <w:szCs w:val="20"/>
    </w:rPr>
  </w:style>
  <w:style w:type="paragraph" w:customStyle="1" w:styleId="31">
    <w:name w:val="çàãîëîâîê 3"/>
    <w:basedOn w:val="a"/>
    <w:next w:val="a"/>
    <w:rsid w:val="00FE289C"/>
    <w:pPr>
      <w:keepNext/>
      <w:autoSpaceDE w:val="0"/>
      <w:autoSpaceDN w:val="0"/>
      <w:adjustRightInd w:val="0"/>
      <w:ind w:firstLine="709"/>
      <w:jc w:val="both"/>
    </w:pPr>
    <w:rPr>
      <w:rFonts w:ascii="Times New Roman" w:eastAsia="Times New Roman" w:hAnsi="Times New Roman" w:cs="Times New Roman"/>
      <w:i/>
      <w:iCs/>
      <w:noProof/>
      <w:sz w:val="24"/>
      <w:szCs w:val="24"/>
      <w:lang w:val="en-US" w:eastAsia="ru-RU" w:bidi="ar-SA"/>
    </w:rPr>
  </w:style>
  <w:style w:type="paragraph" w:customStyle="1" w:styleId="AppendixTitle">
    <w:name w:val="Appendix Title"/>
    <w:basedOn w:val="ab"/>
    <w:rsid w:val="00FE289C"/>
    <w:pPr>
      <w:autoSpaceDE/>
      <w:autoSpaceDN/>
      <w:ind w:left="1440" w:hanging="1440"/>
    </w:pPr>
    <w:rPr>
      <w:rFonts w:ascii="Times New Roman" w:eastAsia="Times New Roman" w:hAnsi="Times New Roman" w:cs="Times New Roman"/>
      <w:b/>
      <w:snapToGrid w:val="0"/>
      <w:sz w:val="24"/>
      <w:szCs w:val="20"/>
      <w:lang w:val="en-US" w:eastAsia="en-US" w:bidi="ar-SA"/>
    </w:rPr>
  </w:style>
  <w:style w:type="character" w:customStyle="1" w:styleId="TableBody">
    <w:name w:val="Table Body"/>
    <w:rsid w:val="00FE289C"/>
    <w:rPr>
      <w:rFonts w:ascii="Arial" w:hAnsi="Arial"/>
      <w:noProof w:val="0"/>
      <w:sz w:val="16"/>
      <w:lang w:val="en-US"/>
    </w:rPr>
  </w:style>
  <w:style w:type="paragraph" w:customStyle="1" w:styleId="CDSDescriptiveinformation">
    <w:name w:val="CDS Descriptive information"/>
    <w:rsid w:val="00FE289C"/>
    <w:pPr>
      <w:spacing w:after="0" w:line="240" w:lineRule="auto"/>
    </w:pPr>
    <w:rPr>
      <w:rFonts w:ascii="Arial" w:eastAsia="Times New Roman" w:hAnsi="Arial" w:cs="Times New Roman"/>
      <w:i/>
      <w:szCs w:val="20"/>
      <w:lang w:val="en-US" w:eastAsia="en-US" w:bidi="ar-SA"/>
    </w:rPr>
  </w:style>
  <w:style w:type="paragraph" w:customStyle="1" w:styleId="Style3">
    <w:name w:val="Style3"/>
    <w:basedOn w:val="a"/>
    <w:rsid w:val="00FE289C"/>
    <w:pPr>
      <w:widowControl w:val="0"/>
      <w:autoSpaceDE w:val="0"/>
      <w:autoSpaceDN w:val="0"/>
      <w:adjustRightInd w:val="0"/>
      <w:spacing w:line="274" w:lineRule="exact"/>
      <w:ind w:hanging="288"/>
    </w:pPr>
    <w:rPr>
      <w:rFonts w:ascii="Times New Roman" w:eastAsia="Times New Roman" w:hAnsi="Times New Roman" w:cs="Times New Roman"/>
      <w:sz w:val="24"/>
      <w:szCs w:val="24"/>
      <w:lang w:val="ru-RU" w:eastAsia="ru-RU" w:bidi="ar-SA"/>
    </w:rPr>
  </w:style>
  <w:style w:type="paragraph" w:customStyle="1" w:styleId="Style4">
    <w:name w:val="Style4"/>
    <w:basedOn w:val="a"/>
    <w:rsid w:val="00FE289C"/>
    <w:pPr>
      <w:widowControl w:val="0"/>
      <w:autoSpaceDE w:val="0"/>
      <w:autoSpaceDN w:val="0"/>
      <w:adjustRightInd w:val="0"/>
      <w:spacing w:line="275" w:lineRule="exact"/>
    </w:pPr>
    <w:rPr>
      <w:rFonts w:ascii="Times New Roman" w:eastAsia="Times New Roman" w:hAnsi="Times New Roman" w:cs="Times New Roman"/>
      <w:sz w:val="24"/>
      <w:szCs w:val="24"/>
      <w:lang w:val="ru-RU" w:eastAsia="ru-RU" w:bidi="ar-SA"/>
    </w:rPr>
  </w:style>
  <w:style w:type="character" w:customStyle="1" w:styleId="FontStyle13">
    <w:name w:val="Font Style13"/>
    <w:rsid w:val="00FE289C"/>
    <w:rPr>
      <w:rFonts w:ascii="Times New Roman" w:hAnsi="Times New Roman" w:cs="Times New Roman"/>
      <w:sz w:val="22"/>
      <w:szCs w:val="22"/>
    </w:rPr>
  </w:style>
  <w:style w:type="paragraph" w:customStyle="1" w:styleId="Style5">
    <w:name w:val="Style5"/>
    <w:basedOn w:val="a"/>
    <w:rsid w:val="00FE289C"/>
    <w:pPr>
      <w:widowControl w:val="0"/>
      <w:autoSpaceDE w:val="0"/>
      <w:autoSpaceDN w:val="0"/>
      <w:adjustRightInd w:val="0"/>
      <w:spacing w:line="276" w:lineRule="exact"/>
      <w:ind w:hanging="360"/>
    </w:pPr>
    <w:rPr>
      <w:rFonts w:ascii="Times New Roman" w:eastAsia="Times New Roman" w:hAnsi="Times New Roman" w:cs="Times New Roman"/>
      <w:sz w:val="24"/>
      <w:szCs w:val="24"/>
      <w:lang w:val="ru-RU" w:eastAsia="ru-RU" w:bidi="ar-SA"/>
    </w:rPr>
  </w:style>
  <w:style w:type="paragraph" w:customStyle="1" w:styleId="Style6">
    <w:name w:val="Style6"/>
    <w:basedOn w:val="a"/>
    <w:rsid w:val="00FE289C"/>
    <w:pPr>
      <w:widowControl w:val="0"/>
      <w:autoSpaceDE w:val="0"/>
      <w:autoSpaceDN w:val="0"/>
      <w:adjustRightInd w:val="0"/>
      <w:spacing w:line="274" w:lineRule="exact"/>
      <w:ind w:hanging="355"/>
    </w:pPr>
    <w:rPr>
      <w:rFonts w:ascii="Times New Roman" w:eastAsia="Times New Roman" w:hAnsi="Times New Roman" w:cs="Times New Roman"/>
      <w:sz w:val="24"/>
      <w:szCs w:val="24"/>
      <w:lang w:val="ru-RU" w:eastAsia="ru-RU" w:bidi="ar-SA"/>
    </w:rPr>
  </w:style>
  <w:style w:type="character" w:customStyle="1" w:styleId="FontStyle11">
    <w:name w:val="Font Style11"/>
    <w:rsid w:val="00FE289C"/>
    <w:rPr>
      <w:rFonts w:ascii="Times New Roman" w:hAnsi="Times New Roman" w:cs="Times New Roman"/>
      <w:b/>
      <w:bCs/>
      <w:sz w:val="22"/>
      <w:szCs w:val="22"/>
    </w:rPr>
  </w:style>
  <w:style w:type="paragraph" w:customStyle="1" w:styleId="22">
    <w:name w:val="çàãîëîâîê 2"/>
    <w:basedOn w:val="a"/>
    <w:next w:val="a"/>
    <w:rsid w:val="00FE289C"/>
    <w:pPr>
      <w:keepNext/>
      <w:widowControl w:val="0"/>
      <w:autoSpaceDE w:val="0"/>
      <w:autoSpaceDN w:val="0"/>
      <w:adjustRightInd w:val="0"/>
      <w:spacing w:line="360" w:lineRule="auto"/>
      <w:ind w:firstLine="624"/>
      <w:jc w:val="both"/>
    </w:pPr>
    <w:rPr>
      <w:rFonts w:ascii="Times New Roman" w:eastAsia="Times New Roman" w:hAnsi="Times New Roman" w:cs="Times New Roman"/>
      <w:sz w:val="28"/>
      <w:szCs w:val="28"/>
      <w:lang w:eastAsia="ru-RU" w:bidi="ar-SA"/>
    </w:rPr>
  </w:style>
  <w:style w:type="character" w:customStyle="1" w:styleId="mediumtext1">
    <w:name w:val="medium_text1"/>
    <w:rsid w:val="00FE289C"/>
    <w:rPr>
      <w:sz w:val="16"/>
      <w:szCs w:val="16"/>
    </w:rPr>
  </w:style>
  <w:style w:type="character" w:customStyle="1" w:styleId="FontStyle31">
    <w:name w:val="Font Style31"/>
    <w:rsid w:val="00FE289C"/>
    <w:rPr>
      <w:rFonts w:ascii="Times New Roman" w:hAnsi="Times New Roman" w:cs="Times New Roman"/>
      <w:spacing w:val="10"/>
      <w:sz w:val="18"/>
      <w:szCs w:val="18"/>
    </w:rPr>
  </w:style>
  <w:style w:type="paragraph" w:customStyle="1" w:styleId="Mandatorysafetyconcepts">
    <w:name w:val="Mandatory safety concepts"/>
    <w:rsid w:val="00FE289C"/>
    <w:pPr>
      <w:widowControl w:val="0"/>
      <w:spacing w:after="0" w:line="240" w:lineRule="auto"/>
    </w:pPr>
    <w:rPr>
      <w:rFonts w:ascii="Times New Roman" w:eastAsia="Times New Roman" w:hAnsi="Times New Roman" w:cs="Times New Roman"/>
      <w:b/>
      <w:noProof/>
      <w:szCs w:val="20"/>
      <w:lang w:val="en-US" w:eastAsia="en-US" w:bidi="ar-SA"/>
    </w:rPr>
  </w:style>
  <w:style w:type="character" w:styleId="af3">
    <w:name w:val="Strong"/>
    <w:qFormat/>
    <w:rsid w:val="00FE289C"/>
    <w:rPr>
      <w:b/>
      <w:bCs/>
    </w:rPr>
  </w:style>
  <w:style w:type="paragraph" w:styleId="af4">
    <w:name w:val="Normal (Web)"/>
    <w:basedOn w:val="a"/>
    <w:rsid w:val="00FE289C"/>
    <w:pPr>
      <w:spacing w:before="100" w:beforeAutospacing="1" w:after="100" w:afterAutospacing="1"/>
    </w:pPr>
    <w:rPr>
      <w:rFonts w:ascii="Times New Roman" w:eastAsia="Times New Roman" w:hAnsi="Times New Roman" w:cs="Times New Roman"/>
      <w:sz w:val="24"/>
      <w:szCs w:val="24"/>
      <w:lang w:val="ru-RU" w:eastAsia="ru-RU" w:bidi="ar-SA"/>
    </w:rPr>
  </w:style>
  <w:style w:type="character" w:customStyle="1" w:styleId="FontStyle20">
    <w:name w:val="Font Style20"/>
    <w:rsid w:val="00FE289C"/>
    <w:rPr>
      <w:rFonts w:ascii="Times New Roman" w:hAnsi="Times New Roman" w:cs="Times New Roman"/>
      <w:sz w:val="22"/>
      <w:szCs w:val="22"/>
    </w:rPr>
  </w:style>
  <w:style w:type="character" w:customStyle="1" w:styleId="st1">
    <w:name w:val="st1"/>
    <w:basedOn w:val="a0"/>
    <w:rsid w:val="00FE289C"/>
  </w:style>
  <w:style w:type="paragraph" w:styleId="af5">
    <w:name w:val="Title"/>
    <w:basedOn w:val="a"/>
    <w:link w:val="af6"/>
    <w:qFormat/>
    <w:rsid w:val="00FE289C"/>
    <w:pPr>
      <w:spacing w:line="360" w:lineRule="auto"/>
      <w:jc w:val="center"/>
    </w:pPr>
    <w:rPr>
      <w:rFonts w:ascii="Times New Roman" w:eastAsia="Times New Roman" w:hAnsi="Times New Roman" w:cs="Times New Roman"/>
      <w:b/>
      <w:bCs/>
      <w:sz w:val="26"/>
      <w:szCs w:val="26"/>
      <w:lang w:val="x-none" w:eastAsia="ru-RU" w:bidi="ar-SA"/>
    </w:rPr>
  </w:style>
  <w:style w:type="character" w:customStyle="1" w:styleId="af6">
    <w:name w:val="Название Знак"/>
    <w:basedOn w:val="a0"/>
    <w:link w:val="af5"/>
    <w:rsid w:val="00FE289C"/>
    <w:rPr>
      <w:rFonts w:ascii="Times New Roman" w:eastAsia="Times New Roman" w:hAnsi="Times New Roman" w:cs="Times New Roman"/>
      <w:b/>
      <w:bCs/>
      <w:sz w:val="26"/>
      <w:szCs w:val="26"/>
      <w:lang w:val="x-none" w:eastAsia="ru-RU" w:bidi="ar-SA"/>
    </w:rPr>
  </w:style>
  <w:style w:type="character" w:styleId="af7">
    <w:name w:val="Emphasis"/>
    <w:qFormat/>
    <w:rsid w:val="00FE289C"/>
    <w:rPr>
      <w:i/>
      <w:iCs/>
    </w:rPr>
  </w:style>
  <w:style w:type="character" w:customStyle="1" w:styleId="msoins0">
    <w:name w:val="msoins"/>
    <w:basedOn w:val="a0"/>
    <w:rsid w:val="00FE289C"/>
  </w:style>
  <w:style w:type="paragraph" w:customStyle="1" w:styleId="Optionalconcepts">
    <w:name w:val="Optional concepts"/>
    <w:rsid w:val="00FE289C"/>
    <w:pPr>
      <w:widowControl w:val="0"/>
      <w:spacing w:after="240" w:line="240" w:lineRule="auto"/>
    </w:pPr>
    <w:rPr>
      <w:rFonts w:ascii="Times New Roman" w:eastAsia="Times New Roman" w:hAnsi="Times New Roman" w:cs="Times New Roman"/>
      <w:szCs w:val="20"/>
      <w:lang w:val="en-US" w:eastAsia="en-US" w:bidi="ar-SA"/>
    </w:rPr>
  </w:style>
  <w:style w:type="character" w:customStyle="1" w:styleId="TableText12">
    <w:name w:val="TableText 12"/>
    <w:rsid w:val="00FE289C"/>
    <w:rPr>
      <w:rFonts w:ascii="Times New Roman" w:hAnsi="Times New Roman"/>
      <w:sz w:val="24"/>
    </w:rPr>
  </w:style>
  <w:style w:type="paragraph" w:styleId="32">
    <w:name w:val="Body Text 3"/>
    <w:basedOn w:val="a"/>
    <w:link w:val="33"/>
    <w:rsid w:val="00FE289C"/>
    <w:pPr>
      <w:widowControl w:val="0"/>
      <w:spacing w:after="120"/>
    </w:pPr>
    <w:rPr>
      <w:rFonts w:ascii="Times New Roman" w:eastAsia="Times New Roman" w:hAnsi="Times New Roman" w:cs="Times New Roman"/>
      <w:sz w:val="16"/>
      <w:szCs w:val="16"/>
      <w:lang w:val="x-none" w:eastAsia="ru-RU" w:bidi="ar-SA"/>
    </w:rPr>
  </w:style>
  <w:style w:type="character" w:customStyle="1" w:styleId="33">
    <w:name w:val="Основной текст 3 Знак"/>
    <w:basedOn w:val="a0"/>
    <w:link w:val="32"/>
    <w:rsid w:val="00FE289C"/>
    <w:rPr>
      <w:rFonts w:ascii="Times New Roman" w:eastAsia="Times New Roman" w:hAnsi="Times New Roman" w:cs="Times New Roman"/>
      <w:sz w:val="16"/>
      <w:szCs w:val="16"/>
      <w:lang w:val="x-none" w:eastAsia="ru-RU" w:bidi="ar-SA"/>
    </w:rPr>
  </w:style>
  <w:style w:type="paragraph" w:customStyle="1" w:styleId="table">
    <w:name w:val="table"/>
    <w:basedOn w:val="a"/>
    <w:next w:val="a"/>
    <w:rsid w:val="00FE289C"/>
    <w:pPr>
      <w:spacing w:line="240" w:lineRule="exact"/>
    </w:pPr>
    <w:rPr>
      <w:rFonts w:ascii="Times New Roman" w:eastAsia="Times New Roman" w:hAnsi="Times New Roman" w:cs="Times New Roman"/>
      <w:sz w:val="20"/>
      <w:szCs w:val="20"/>
      <w:lang w:val="en-US" w:eastAsia="en-US" w:bidi="ar-SA"/>
    </w:rPr>
  </w:style>
  <w:style w:type="paragraph" w:customStyle="1" w:styleId="Times10">
    <w:name w:val="Times 10"/>
    <w:basedOn w:val="a"/>
    <w:rsid w:val="00FE289C"/>
    <w:pPr>
      <w:tabs>
        <w:tab w:val="left" w:pos="360"/>
      </w:tabs>
    </w:pPr>
    <w:rPr>
      <w:rFonts w:ascii="Times New Roman" w:eastAsia="Times New Roman" w:hAnsi="Times New Roman" w:cs="Times New Roman"/>
      <w:sz w:val="20"/>
      <w:szCs w:val="20"/>
      <w:lang w:val="en-US" w:eastAsia="en-US" w:bidi="ar-SA"/>
    </w:rPr>
  </w:style>
  <w:style w:type="paragraph" w:customStyle="1" w:styleId="TableHeader">
    <w:name w:val="TableHeader"/>
    <w:basedOn w:val="Times10"/>
    <w:rsid w:val="00FE289C"/>
    <w:pPr>
      <w:jc w:val="center"/>
    </w:pPr>
    <w:rPr>
      <w:caps/>
    </w:rPr>
  </w:style>
  <w:style w:type="paragraph" w:styleId="af8">
    <w:name w:val="caption"/>
    <w:basedOn w:val="ab"/>
    <w:next w:val="ab"/>
    <w:qFormat/>
    <w:rsid w:val="00FE289C"/>
    <w:pPr>
      <w:keepNext/>
      <w:widowControl/>
      <w:autoSpaceDE/>
      <w:autoSpaceDN/>
      <w:spacing w:before="120" w:after="120"/>
      <w:jc w:val="center"/>
      <w:outlineLvl w:val="1"/>
    </w:pPr>
    <w:rPr>
      <w:rFonts w:ascii="Times New Roman Bold" w:eastAsia="Times New Roman" w:hAnsi="Times New Roman Bold" w:cs="Times New Roman"/>
      <w:b/>
      <w:kern w:val="28"/>
      <w:sz w:val="24"/>
      <w:szCs w:val="20"/>
      <w:lang w:val="en-US" w:eastAsia="en-US" w:bidi="ar-SA"/>
    </w:rPr>
  </w:style>
  <w:style w:type="paragraph" w:customStyle="1" w:styleId="TNR10-pt">
    <w:name w:val="TNR 10-pt"/>
    <w:basedOn w:val="a"/>
    <w:rsid w:val="00FE289C"/>
    <w:pPr>
      <w:tabs>
        <w:tab w:val="left" w:pos="360"/>
      </w:tabs>
    </w:pPr>
    <w:rPr>
      <w:rFonts w:ascii="Times New Roman" w:eastAsia="Times New Roman" w:hAnsi="Times New Roman" w:cs="Times New Roman"/>
      <w:sz w:val="20"/>
      <w:szCs w:val="20"/>
      <w:lang w:val="en-US" w:eastAsia="en-US" w:bidi="ar-SA"/>
    </w:rPr>
  </w:style>
  <w:style w:type="paragraph" w:customStyle="1" w:styleId="Appendix">
    <w:name w:val="Appendix"/>
    <w:basedOn w:val="1"/>
    <w:next w:val="ab"/>
    <w:rsid w:val="00FE289C"/>
    <w:pPr>
      <w:keepLines w:val="0"/>
      <w:spacing w:before="180" w:after="120"/>
    </w:pPr>
    <w:rPr>
      <w:rFonts w:ascii="Times New Roman Bold" w:eastAsia="Times New Roman" w:hAnsi="Times New Roman Bold" w:cs="Times New Roman"/>
      <w:bCs w:val="0"/>
      <w:caps/>
      <w:color w:val="auto"/>
      <w:kern w:val="28"/>
      <w:sz w:val="24"/>
      <w:szCs w:val="20"/>
      <w:lang w:val="en-US" w:eastAsia="en-US" w:bidi="ar-SA"/>
    </w:rPr>
  </w:style>
  <w:style w:type="paragraph" w:customStyle="1" w:styleId="Ascii">
    <w:name w:val="Ascii"/>
    <w:basedOn w:val="a"/>
    <w:rsid w:val="00FE289C"/>
    <w:pPr>
      <w:spacing w:line="150" w:lineRule="exact"/>
    </w:pPr>
    <w:rPr>
      <w:rFonts w:ascii="Courier New" w:eastAsia="Times New Roman" w:hAnsi="Courier New" w:cs="Times New Roman"/>
      <w:sz w:val="15"/>
      <w:szCs w:val="20"/>
      <w:lang w:val="en-US" w:eastAsia="en-US" w:bidi="ar-SA"/>
    </w:rPr>
  </w:style>
  <w:style w:type="paragraph" w:customStyle="1" w:styleId="TableAnnotationText">
    <w:name w:val="Table Annotation Text"/>
    <w:basedOn w:val="a"/>
    <w:rsid w:val="00FE289C"/>
    <w:pPr>
      <w:keepLines/>
      <w:tabs>
        <w:tab w:val="left" w:pos="360"/>
      </w:tabs>
      <w:ind w:left="360" w:hanging="360"/>
    </w:pPr>
    <w:rPr>
      <w:rFonts w:ascii="Times New Roman" w:eastAsia="Times New Roman" w:hAnsi="Times New Roman" w:cs="Times New Roman"/>
      <w:sz w:val="20"/>
      <w:szCs w:val="20"/>
      <w:lang w:val="en-US" w:eastAsia="en-US" w:bidi="ar-SA"/>
    </w:rPr>
  </w:style>
  <w:style w:type="character" w:customStyle="1" w:styleId="af9">
    <w:name w:val="Тема примечания Знак"/>
    <w:basedOn w:val="af1"/>
    <w:rsid w:val="00FE289C"/>
    <w:rPr>
      <w:rFonts w:ascii="Arial" w:hAnsi="Arial"/>
      <w:sz w:val="20"/>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55" Type="http://schemas.microsoft.com/office/2016/09/relationships/commentsIds" Target="commentsIds.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4.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header" Target="header5.xml"/><Relationship Id="rId30" Type="http://schemas.openxmlformats.org/officeDocument/2006/relationships/hyperlink" Target="https://www.pfizermed.com.u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noFill/>
        </a:ln>
        <a:effectLst/>
      </a:spPr>
      <a:bodyPr wrap="square" lIns="0" tIns="0" rIns="0" bIns="0"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F2E6A683E4F324881253E6442CCF65E" ma:contentTypeVersion="0" ma:contentTypeDescription="Create a new document." ma:contentTypeScope="" ma:versionID="c3c8087399f6fd800294858a0b52fd7a">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4ED768-46BD-4D2D-9F64-6900D86B5CA2}">
  <ds:schemaRefs>
    <ds:schemaRef ds:uri="http://schemas.microsoft.com/sharepoint/v3/contenttype/forms"/>
  </ds:schemaRefs>
</ds:datastoreItem>
</file>

<file path=customXml/itemProps2.xml><?xml version="1.0" encoding="utf-8"?>
<ds:datastoreItem xmlns:ds="http://schemas.openxmlformats.org/officeDocument/2006/customXml" ds:itemID="{A2A2D781-F6A8-42E0-A53C-7F3F42FA03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EEEF399-4CD2-49D5-9626-0A4456949A48}">
  <ds:schemaRefs>
    <ds:schemaRef ds:uri="http://www.w3.org/XML/1998/namespace"/>
    <ds:schemaRef ds:uri="http://purl.org/dc/elements/1.1/"/>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schemas.microsoft.com/office/infopath/2007/PartnerControls"/>
    <ds:schemaRef ds:uri="http://purl.org/dc/dcmitype/"/>
  </ds:schemaRefs>
</ds:datastoreItem>
</file>

<file path=customXml/itemProps4.xml><?xml version="1.0" encoding="utf-8"?>
<ds:datastoreItem xmlns:ds="http://schemas.openxmlformats.org/officeDocument/2006/customXml" ds:itemID="{60321117-4BF3-45D1-832A-6FD6257D9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25</Pages>
  <Words>45438</Words>
  <Characters>25900</Characters>
  <Application>Microsoft Office Word</Application>
  <DocSecurity>0</DocSecurity>
  <Lines>215</Lines>
  <Paragraphs>142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Pfizer Inc</Company>
  <LinksUpToDate>false</LinksUpToDate>
  <CharactersWithSpaces>71196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Karim Abdelaziz</dc:creator>
  <cp:lastModifiedBy>Борецька Маріанна Петрівна</cp:lastModifiedBy>
  <cp:revision>7</cp:revision>
  <cp:lastPrinted>2018-03-16T16:27:00Z</cp:lastPrinted>
  <dcterms:created xsi:type="dcterms:W3CDTF">2018-08-03T11:56:00Z</dcterms:created>
  <dcterms:modified xsi:type="dcterms:W3CDTF">2018-11-13T08:38:00Z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0x0101001F2E6A683E4F324881253E6442CCF65E</vt:lpwstr>
  </property>
</Properties>
</file>