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DF" w:rsidRPr="00CD2119" w:rsidRDefault="00B701DF" w:rsidP="00B70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5245" w:right="-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701DF" w:rsidRPr="00CD2119" w:rsidRDefault="00B701DF" w:rsidP="00B70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5245" w:right="-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Експертного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</w:t>
      </w:r>
      <w:r w:rsidRPr="00CD21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експертний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України»</w:t>
      </w:r>
    </w:p>
    <w:p w:rsidR="00B701DF" w:rsidRPr="00CD2119" w:rsidRDefault="00B701DF" w:rsidP="00B70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01DF" w:rsidRPr="00CD2119" w:rsidRDefault="00B701DF" w:rsidP="00B70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ЗАЯВА</w:t>
      </w:r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 xml:space="preserve">про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наявність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/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відсутність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реального та/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потенційного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конфлікту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інтересів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 кандидата </w:t>
      </w:r>
      <w:r w:rsidR="009030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члени Експертного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комітету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оцінки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медичних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технологій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Державного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підприємства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Державний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експертний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міністерства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  <w:r w:rsidRPr="00CD21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України»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6"/>
        <w:gridCol w:w="5351"/>
        <w:gridCol w:w="1828"/>
      </w:tblGrid>
      <w:tr w:rsidR="00B701DF" w:rsidRPr="00CD2119" w:rsidTr="00FD23DA">
        <w:trPr>
          <w:trHeight w:val="975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П.І.Б.: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Контактний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тел.:</w:t>
            </w: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701DF" w:rsidRPr="00663D3E" w:rsidRDefault="00663D3E" w:rsidP="0066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дреса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="00B701DF"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пошти</w:t>
            </w:r>
            <w:r w:rsidR="00B701DF" w:rsidRPr="00663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7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B701DF" w:rsidRPr="00CD2119" w:rsidTr="00FD23DA">
        <w:trPr>
          <w:trHeight w:val="529"/>
        </w:trPr>
        <w:tc>
          <w:tcPr>
            <w:tcW w:w="7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Ваші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близькі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останніх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чотирьох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надалі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Експертний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" w:name="_heading=h.3znysh7" w:colFirst="0" w:colLast="0"/>
                  <w:bookmarkEnd w:id="1"/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1DF" w:rsidRPr="00CD2119" w:rsidTr="00FD23DA">
        <w:trPr>
          <w:trHeight w:val="529"/>
        </w:trPr>
        <w:tc>
          <w:tcPr>
            <w:tcW w:w="79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1DF" w:rsidRPr="00CD2119" w:rsidTr="00FD23DA">
        <w:trPr>
          <w:trHeight w:val="1365"/>
        </w:trPr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rPr>
          <w:trHeight w:val="1365"/>
        </w:trPr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Ваші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близькі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працюєте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останніх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чотирьох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спонсорство та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негрошову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асистентів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оплати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поїздок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виступи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тренінги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стосовно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оплати за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вкладені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Вами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опосередковані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холдингової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інвестиційних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недержавного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пенсійного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подібних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контролюються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Вами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облігації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цінні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папери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комерційні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підприємницькі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наприклад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спільне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партнерство)?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A021BA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є Ви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інтелектуальної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розширені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звужені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результатами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патенти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знаки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включаючи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заявки,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розглядаються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</w:t>
            </w:r>
          </w:p>
          <w:p w:rsidR="00B701DF" w:rsidRPr="00CD2119" w:rsidRDefault="00B701DF" w:rsidP="00FD23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rPr>
                <w:trHeight w:val="274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запатентоване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ноу-хау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останніх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експертну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пов’язану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реєстрацією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доклінічними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випробуваннями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стосуватися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перебували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останніх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посаді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 представляли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захищали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7.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матимуть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позитивний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негативний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вплив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Ваших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близьких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отримували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 будь-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платежі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компенсації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оплати за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проїзд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гонорари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публічні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виступи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публікації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стосуватись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обставини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сприйматися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вплив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Вашу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об’єктивність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незалежність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1DF" w:rsidRPr="00CD2119" w:rsidTr="00FD23DA">
        <w:tc>
          <w:tcPr>
            <w:tcW w:w="7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надаєте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(надавали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останніх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Ви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уповноваженому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органу, в тому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медичних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заявнику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виключення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лікарських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(з)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переліку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лікарських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до (з)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номенклатури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лікарських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закуповуватимуться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кошти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державного бюджету?</w:t>
            </w: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tbl>
            <w:tblPr>
              <w:tblW w:w="440" w:type="dxa"/>
              <w:tblInd w:w="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"/>
            </w:tblGrid>
            <w:tr w:rsidR="00B701DF" w:rsidRPr="00CD2119" w:rsidTr="00FD23DA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01DF" w:rsidRPr="00CD2119" w:rsidRDefault="00B701DF" w:rsidP="00FD23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01DF" w:rsidRPr="00CD2119" w:rsidRDefault="00B701DF" w:rsidP="00B70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«Так»,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CD21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1402"/>
        <w:gridCol w:w="3777"/>
        <w:gridCol w:w="4602"/>
      </w:tblGrid>
      <w:tr w:rsidR="00B701DF" w:rsidRPr="00A021BA" w:rsidTr="00FD23DA">
        <w:tc>
          <w:tcPr>
            <w:tcW w:w="9781" w:type="dxa"/>
            <w:gridSpan w:val="3"/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Зазначаю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заява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правдива і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містить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повну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701DF" w:rsidRPr="00CD2119" w:rsidRDefault="00B701DF" w:rsidP="0090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Погоджуюся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розкриття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зазначеної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цій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іншим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членам Експертного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публічному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доступі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офіційному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вебсайті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уповноваженого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органу.</w:t>
            </w:r>
          </w:p>
        </w:tc>
      </w:tr>
      <w:tr w:rsidR="00B701DF" w:rsidRPr="00A021BA" w:rsidTr="00FD23DA">
        <w:tc>
          <w:tcPr>
            <w:tcW w:w="1402" w:type="dxa"/>
          </w:tcPr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56" w:lineRule="auto"/>
              <w:rPr>
                <w:rFonts w:ascii="Times New Roman" w:eastAsia="Times New Roman" w:hAnsi="Times New Roman" w:cs="Times New Roman"/>
              </w:rPr>
            </w:pPr>
            <w:bookmarkStart w:id="2" w:name="_heading=h.1t3h5sf" w:colFirst="0" w:colLast="0"/>
            <w:bookmarkEnd w:id="2"/>
            <w:r w:rsidRPr="00663D3E">
              <w:rPr>
                <w:rFonts w:ascii="Times New Roman" w:eastAsia="Times New Roman" w:hAnsi="Times New Roman" w:cs="Times New Roman"/>
              </w:rPr>
              <w:t>_________</w:t>
            </w:r>
            <w:r w:rsidRPr="00663D3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663D3E">
              <w:rPr>
                <w:rFonts w:ascii="Times New Roman" w:eastAsia="Times New Roman" w:hAnsi="Times New Roman" w:cs="Times New Roman"/>
              </w:rPr>
              <w:t>Примітки</w:t>
            </w:r>
            <w:proofErr w:type="spellEnd"/>
            <w:r w:rsidRPr="00663D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379" w:type="dxa"/>
            <w:gridSpan w:val="2"/>
          </w:tcPr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63D3E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1. 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цій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заяві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зазначаються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обставини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можуть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становити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реальний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та/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або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потенційний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конфлікт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. До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конфлікту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належать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фінансові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професійні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інші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стосуються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участі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розгляді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оцінки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медичних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технологій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щодо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включення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виключення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лікарських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засобів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до (з)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Національного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переліку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основних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лікарських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засобів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та до (з)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номенклатури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лікарських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засобів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закуповуватимуться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кошти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державного бюджету, 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також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можуть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вплинути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результати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такої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роботи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Реальний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конфлікт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 -</w:t>
            </w:r>
            <w:proofErr w:type="gram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суперечність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між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приватним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інтересом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особи та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її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службовими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представницькими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повноваженнями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впливає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об’єктивність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або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неупередженість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прийняття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рішень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або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вчинення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невчинення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дій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під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час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зазначених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повноважень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Потенційний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конфлікт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інтересів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наявність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у особи приватного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інтересу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сфері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в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якій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вона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виконує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свої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службові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представницькі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повноваження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може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вплинути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об’єктивність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неупередженість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прийняття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нею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рішень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або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вчинення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невчинення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дій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під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час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зазначених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повноважень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Також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зазначається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такі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Ваших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близьких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проживають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з Вами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спільно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пов’язані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з Вами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спільним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побутом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і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мають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взаємні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права та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обов’язки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сімейного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характеру, у тому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числі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особи,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проживають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з Вами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спільно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але не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перебувають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шлюбі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також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незалежно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зазначених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умов -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чоловіка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дружини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батька,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матері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вітчима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мачухи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сина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дочки,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пасинка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падчерки,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рідного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брата,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рідної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сестри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діда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баби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прадіда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прабаби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внука, внучки, правнука, правнучки, зятя,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невістки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тестя,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тещі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свекра, свекрухи,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усиновлювача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усиновленого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опікуна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піклувальника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особи, яка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перебуває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під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Вашою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опікою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або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піклуванням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) та 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разі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наявності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інших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з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якими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Ви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маєте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важливі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спільні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інтереси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які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можуть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бути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сприйняті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як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втручання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у Вашу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діяльність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як члена Експертного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комітету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наприклад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роботодавець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співробітники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63D3E">
              <w:rPr>
                <w:rFonts w:ascii="Times New Roman" w:eastAsia="Times New Roman" w:hAnsi="Times New Roman" w:cs="Times New Roman"/>
                <w:lang w:val="ru-RU"/>
              </w:rPr>
              <w:t>тощо</w:t>
            </w:r>
            <w:proofErr w:type="spellEnd"/>
            <w:r w:rsidRPr="00663D3E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B701DF" w:rsidRPr="00663D3E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01DF" w:rsidRPr="00CD2119" w:rsidTr="00FD2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75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(П.І.Б.)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B701DF" w:rsidRPr="00CD2119" w:rsidRDefault="00B701DF" w:rsidP="00FD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</w:t>
            </w:r>
            <w:proofErr w:type="spellEnd"/>
            <w:r w:rsidRPr="00CD21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701DF" w:rsidRPr="00CD2119" w:rsidRDefault="00B701DF" w:rsidP="00B701DF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1DF" w:rsidRPr="00CD2119" w:rsidRDefault="00B701DF" w:rsidP="00B701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6E47" w:rsidRPr="00B701DF" w:rsidRDefault="00F6516A" w:rsidP="00B701DF"/>
    <w:sectPr w:rsidR="00A06E47" w:rsidRPr="00B701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A1"/>
    <w:rsid w:val="00306D1D"/>
    <w:rsid w:val="00315AA1"/>
    <w:rsid w:val="00330DA4"/>
    <w:rsid w:val="00663D3E"/>
    <w:rsid w:val="00903028"/>
    <w:rsid w:val="00A021BA"/>
    <w:rsid w:val="00B701DF"/>
    <w:rsid w:val="00F6516A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77E87-75BD-4ADB-A77A-0B80FEC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Космінський Роман Віталійович</dc:creator>
  <cp:keywords/>
  <dc:description/>
  <cp:lastModifiedBy>Піняжко Ореста Богданівна</cp:lastModifiedBy>
  <cp:revision>2</cp:revision>
  <dcterms:created xsi:type="dcterms:W3CDTF">2024-07-05T08:20:00Z</dcterms:created>
  <dcterms:modified xsi:type="dcterms:W3CDTF">2024-07-05T08:20:00Z</dcterms:modified>
</cp:coreProperties>
</file>