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15E36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0D696F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3524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E35248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F40BF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E3524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615E36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35248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35248" w:rsidRPr="00615E36" w:rsidRDefault="00E35248" w:rsidP="00E3524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4EC3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2410" w:type="dxa"/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276" w:type="dxa"/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E35248" w:rsidRPr="00EB4EC3" w:rsidRDefault="005E73AF" w:rsidP="005E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Бельджіум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вакцини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": СГС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Сімон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E35248" w:rsidRPr="00A62956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C.I.4, type ІІ - Change(s) in the SPC, Labelling or PL due to new quality, preclinical, clinical or pharmacovigilance data.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 5.1 of the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update immunogenicity response information based on results from Study C0921062 and following EMEA/H/C/002226/P46/057 procedure. Study C0921062 is a Phase 3b, open-label, with a single-arm design study, to evaluate the 58 Opinion of the committee for medicinal products for human use on a type II variation to the terms of the marketing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EMA/CHMP/308139/2024 Page 2/4 safety and immunogenicity of a single dose of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Nimenrix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in infants at 3 months of age, followed by a booster dose at 12 months of age. In addition, the MAH took the opportunity to implement editorial changes in the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Імунологічні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біологічні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властивості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Інструкції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медичного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  <w:t>C.I.3.b, type ІІ - Change(s) in the SPC, Labelling or PL intended to implement the outcome of a procedure concerning PSUR or PASS or the outcome of the assessment done under A 45/46 - Change(s) with new additional data submitted by the MAH.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 4.8 of the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in order to add ‘hypersensitivity’ and ‘Anaphylaxis’ to the list of adverse drug reactions (ADRs) with frequency ‘uncommon’ and ‘not known’ respectively, following PRAC’s recommendation for procedure EMEA/H/002226/PAM/LEG/058. The Package Leaflet is updated accordingly. In addition, the MAH took the opportunity to introduce minor editorial changes to the PI.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Побічні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реакції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для</w:t>
            </w:r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B4EC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EB4EC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EC3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96F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68EE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367F6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05F1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2A8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E73AF"/>
    <w:rsid w:val="005F0DD0"/>
    <w:rsid w:val="005F2130"/>
    <w:rsid w:val="005F2817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15E36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2E21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0BF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5248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B7B52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299B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807"/>
    <w:rsid w:val="00FC0746"/>
    <w:rsid w:val="00FC10AC"/>
    <w:rsid w:val="00FC76DF"/>
    <w:rsid w:val="00FD053E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A02FA9-9461-45CE-A520-3F013259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052F-2874-4F1D-B43C-C9504F93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2025-02-11T14:52:00Z</dcterms:created>
  <dcterms:modified xsi:type="dcterms:W3CDTF">2025-02-11T14:52:00Z</dcterms:modified>
</cp:coreProperties>
</file>