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FE0145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9C2DB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4F1EB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F6771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6F6771" w:rsidRPr="009C2DB7" w:rsidRDefault="006F6771" w:rsidP="006F677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6F6771" w:rsidRDefault="006F6771" w:rsidP="006F677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ОНІВАЙД® ПЕГИЛЬОВАНИЙ ЛІПОСОМАЛЬНИЙ</w:t>
            </w:r>
          </w:p>
        </w:tc>
        <w:tc>
          <w:tcPr>
            <w:tcW w:w="2410" w:type="dxa"/>
            <w:shd w:val="clear" w:color="auto" w:fill="FFFFFF"/>
          </w:tcPr>
          <w:p w:rsidR="006F6771" w:rsidRDefault="006F6771" w:rsidP="006F677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дисперсії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інфузій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4,3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стандартно-експортній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міститься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стікером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F6771" w:rsidRPr="00DE4C4A" w:rsidRDefault="006F6771" w:rsidP="006F6771">
            <w:pPr>
              <w:pStyle w:val="a3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CFD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shd w:val="clear" w:color="auto" w:fill="FFFFFF"/>
          </w:tcPr>
          <w:p w:rsidR="006F6771" w:rsidRPr="00DE4C4A" w:rsidRDefault="006F6771" w:rsidP="006F6771">
            <w:pPr>
              <w:pStyle w:val="a3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02CF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6F6771" w:rsidRPr="006F6771" w:rsidRDefault="006F6771" w:rsidP="006F67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102B56"/>
                <w:lang w:val="ru-RU"/>
              </w:rPr>
            </w:pP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контроль вихідних матеріалів та нерозфасованого продукту: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Авіста Фарма Солюшнс, США;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</w: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укупорку та візуальний контроль: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Аджиномото Алтеа, Інк., США;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</w: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контроль нерозфасованого продукту: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 xml:space="preserve">Ассошиейтс оф Кейп Код, США; 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</w: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маркування та вторинне пакування: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Бакстер Онколоджі ГмбХ, Німеччина;</w:t>
            </w:r>
          </w:p>
          <w:p w:rsidR="006F6771" w:rsidRPr="006F6771" w:rsidRDefault="006F6771" w:rsidP="006F67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102B56"/>
                <w:lang w:val="ru-RU"/>
              </w:rPr>
            </w:pP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контроль вихідних матеріалів: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Бостон Аналітикал,США;</w:t>
            </w:r>
          </w:p>
          <w:p w:rsidR="006F6771" w:rsidRPr="006F6771" w:rsidRDefault="006F6771" w:rsidP="006F67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102B56"/>
                <w:sz w:val="18"/>
                <w:szCs w:val="18"/>
                <w:lang w:val="ru-RU"/>
              </w:rPr>
            </w:pP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контроль якості готового лікарського засобу: ендотоксин, стерильність, тверді частки: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ЕсДжіЕс Інститут Фрезеніус ГмбХ, Німеччина;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</w: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 xml:space="preserve">відповідальний за контроль якості готового лікарського засобу: кількісне визначення, ідентифікація, домішки, </w:t>
            </w: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lastRenderedPageBreak/>
              <w:t>фізико-хімічні показники: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ЕсДжіЕс Інститут Фрезеніус ГмбХ, Німеччина;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</w: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виробництво та контроль нерозфасованого продукту, контроль вихідних матеріалів: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Іпсен Біосайнс, Інк., США;</w:t>
            </w:r>
          </w:p>
          <w:p w:rsidR="006F6771" w:rsidRPr="006F6771" w:rsidRDefault="006F6771" w:rsidP="006F677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Arial" w:hAnsi="Arial" w:cs="Arial"/>
                <w:bCs/>
                <w:color w:val="102B56"/>
                <w:sz w:val="36"/>
                <w:szCs w:val="36"/>
                <w:lang w:val="ru-RU"/>
              </w:rPr>
            </w:pP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 xml:space="preserve">відповідальний за виробництво та контроль нерозфасованого продукту, контроль вихідних матеріалів; за укупорку та візуальний контроль; за контроль якості готового лікарського засобу: кількісне визначення, ідентифікація, домішки, фізико-хімічні показники; за контроль якості готового лікарського засобу: ендотоксин, стерильність, тверді частки; за маркування та вторинне пакування: 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Іпсен Фарма Біотек, Франція;</w:t>
            </w:r>
          </w:p>
          <w:p w:rsidR="006F6771" w:rsidRPr="006F6771" w:rsidRDefault="006F6771" w:rsidP="006F677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Arial" w:hAnsi="Arial" w:cs="Arial"/>
                <w:bCs/>
                <w:color w:val="102B56"/>
                <w:sz w:val="36"/>
                <w:szCs w:val="36"/>
                <w:lang w:val="ru-RU"/>
              </w:rPr>
            </w:pP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контроль вихідних матеріалів та нерозфасованого продукту: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Кволіті Кемікал Лабораторіз, США;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</w: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маркування, вторинне пакування та випуск серії готового лікарського засобу: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Лабораторії Серв`є Індастрі, Франц</w:t>
            </w:r>
            <w:proofErr w:type="spellStart"/>
            <w:r w:rsidRPr="0090663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я;</w:t>
            </w:r>
          </w:p>
          <w:p w:rsidR="006F6771" w:rsidRPr="006F6771" w:rsidRDefault="006F6771" w:rsidP="006F677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Arial" w:hAnsi="Arial" w:cs="Arial"/>
                <w:bCs/>
                <w:color w:val="102B56"/>
                <w:sz w:val="36"/>
                <w:szCs w:val="36"/>
                <w:lang w:val="ru-RU"/>
              </w:rPr>
            </w:pP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маркування та вторинне пакування:</w:t>
            </w:r>
          </w:p>
          <w:p w:rsidR="006F6771" w:rsidRPr="006F6771" w:rsidRDefault="006F6771" w:rsidP="006F6771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Arial" w:hAnsi="Arial" w:cs="Arial"/>
                <w:bCs/>
                <w:color w:val="102B56"/>
                <w:sz w:val="36"/>
                <w:szCs w:val="36"/>
                <w:lang w:val="ru-RU"/>
              </w:rPr>
            </w:pP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lastRenderedPageBreak/>
              <w:t>Дере Ложістік, Франція;</w:t>
            </w:r>
          </w:p>
          <w:p w:rsidR="006F6771" w:rsidRPr="006F6771" w:rsidRDefault="006F6771" w:rsidP="006F67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102B56"/>
                <w:sz w:val="18"/>
                <w:szCs w:val="18"/>
                <w:lang w:val="ru-RU"/>
              </w:rPr>
            </w:pP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контроль вихідних матеріалів:</w:t>
            </w:r>
            <w:r w:rsidRPr="006F6771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br/>
              <w:t>ПРОКСІ Лабораторіз БВ Сіненсіс Лайф Сайнсіс БВ, Нідерланди;</w:t>
            </w:r>
          </w:p>
          <w:p w:rsidR="006F6771" w:rsidRPr="006F6771" w:rsidRDefault="006F6771" w:rsidP="006F67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102B56"/>
                <w:sz w:val="18"/>
                <w:szCs w:val="18"/>
                <w:lang w:val="ru-RU"/>
              </w:rPr>
            </w:pPr>
            <w:r w:rsidRPr="006F677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відповідальний за контроль вихідних матеріалів:</w:t>
            </w:r>
          </w:p>
          <w:p w:rsidR="006F6771" w:rsidRPr="0090663C" w:rsidRDefault="006F6771" w:rsidP="006F67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90663C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КАЛІ КОНТРОЛЬ, </w:t>
            </w:r>
            <w:proofErr w:type="spellStart"/>
            <w:r w:rsidRPr="0090663C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Франція</w:t>
            </w:r>
            <w:proofErr w:type="spellEnd"/>
          </w:p>
          <w:p w:rsidR="006F6771" w:rsidRPr="0090663C" w:rsidRDefault="006F6771" w:rsidP="006F67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shd w:val="clear" w:color="auto" w:fill="FFFFFF"/>
          </w:tcPr>
          <w:p w:rsidR="006F6771" w:rsidRDefault="006F6771" w:rsidP="006F67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США/</w:t>
            </w:r>
          </w:p>
          <w:p w:rsidR="006F6771" w:rsidRDefault="006F6771" w:rsidP="006F67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6F6771" w:rsidRDefault="006F6771" w:rsidP="006F67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6F6771" w:rsidRDefault="006F6771" w:rsidP="006F67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6F6771" w:rsidRDefault="006F6771" w:rsidP="006F67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C.I.6.a, ІІ - Change(s) to therapeutic indication(s) - Addition of a new therapeutic indication or modification of an approved one: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Extension of indication to include first-line treatment of adult patients with metastatic adenocarcinoma of the pancreas for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Onivyde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combination with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oxaliplatin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5 fluorouracil (5 FU)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leucovorin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(LV) based on final results from phase 3 study NAPOLI 3 (D-US-60010-001); this is an interventional study with a primary objective to evaluate the efficacy of the regimen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irinotecan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liposome injection +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oxaliplatin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+ 5-fluorouracil (5-FU)/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leucovorin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(LV) versus nab-paclitaxel + gemcitabine in improving overall survival (OS) in subjects who have not previously received chemotherapy for metastatic adenocarcinoma of the pancreas; As a consequence, sections 4.1, 4.2, 4.4, 4.8, 5.1, 5.2 and 6.6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updated. The Package Leaflet is updated in accordance.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терапевтичне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оновлюються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наступні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Фармакологічні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властивості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Особливості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Спосіб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Побічні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The updated RMP version 5.0 is also submitted.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F67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 рамках внесення зміни були оновлені наступні розділи ПУР: Частина І. Загальна інформація, Частина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6F67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Специфікація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Модуль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СІ.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Епідеміологія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цільова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(і)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популяція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(ї),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Модуль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СІП.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Експозиція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пацієнтів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залучених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клінічних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Модуль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CIV.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Популяції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вивчались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клінічних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Модуль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CV.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Післяреєстраційний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Модуль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СVII.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Ідентифіковані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потенційні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мінімізації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VI. </w:t>
            </w:r>
            <w:r w:rsidRPr="006F67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Резюме плану управління ризиками, Частина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VII</w:t>
            </w:r>
            <w:r w:rsidRPr="006F67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 Додатки.</w:t>
            </w:r>
            <w:r w:rsidRPr="006F67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Також, розділи Модуль СІІ. Доклінічна частина специфікації з безпеки та Модуль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VIII</w:t>
            </w:r>
            <w:r w:rsidRPr="006F67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Резюме проблем безпеки зазнали редакційних правок. Крім того, внаслідок відповідних оновлень, змінилися версія ПУР, дата підписання, дата закінчення збору даних, обгрунтування для подання оновленого ПУР, Резюме значних змін у цьому ПУР, </w:t>
            </w:r>
            <w:r w:rsidRPr="006F67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інформація щодо уповноваженої особи заявника, відповідальної за фармаконагляд, зміст та перелік скорочень.</w:t>
            </w:r>
            <w:r w:rsidRPr="006F67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C.I.4, II - Change(s) in the SPC, Labelling or PL due to new quality, preclinical, clinical or pharmacovigilance data: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Update of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order to add “Interstitial lung disease (including pneumonitis)” to the list of adverse drug reactions (ADRs) with frequency ”Uncommon” based on clinical study data, post-marketing data and literature. The Package Leaflet is updated accordingly.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наслідок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оновлюється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Побічні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побічною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редакцією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інтерстиціальне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захворювання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легень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пневмоніт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6F6771" w:rsidRDefault="006F6771" w:rsidP="006F677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6F6771" w:rsidRDefault="006F6771" w:rsidP="006F677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UA/18775/01/01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4BA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556B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073D5B-E225-42AE-BE1D-4A6BA97F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1F54-F2A6-4591-948B-08142F89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3733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2025-01-23T15:21:00Z</dcterms:created>
  <dcterms:modified xsi:type="dcterms:W3CDTF">2025-01-23T15:21:00Z</dcterms:modified>
</cp:coreProperties>
</file>