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514273">
        <w:tc>
          <w:tcPr>
            <w:tcW w:w="3271" w:type="dxa"/>
          </w:tcPr>
          <w:p w:rsidR="003C2E8A" w:rsidRDefault="003C2E8A" w:rsidP="00A93E77">
            <w:pPr>
              <w:rPr>
                <w:sz w:val="28"/>
                <w:szCs w:val="28"/>
                <w:lang w:val="uk-UA"/>
              </w:rPr>
            </w:pPr>
          </w:p>
          <w:p w:rsidR="006F7E05" w:rsidRDefault="003C2E8A" w:rsidP="00A93E77">
            <w:pPr>
              <w:rPr>
                <w:sz w:val="28"/>
                <w:szCs w:val="28"/>
                <w:lang w:val="uk-UA"/>
              </w:rPr>
            </w:pPr>
            <w:r>
              <w:rPr>
                <w:sz w:val="28"/>
                <w:szCs w:val="28"/>
                <w:lang w:val="uk-UA"/>
              </w:rPr>
              <w:t>02 грудня 2024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3C2E8A" w:rsidRDefault="003C2E8A" w:rsidP="00A93E77">
            <w:pPr>
              <w:ind w:firstLine="72"/>
              <w:jc w:val="center"/>
              <w:rPr>
                <w:sz w:val="28"/>
                <w:szCs w:val="28"/>
                <w:lang w:val="uk-UA"/>
              </w:rPr>
            </w:pPr>
          </w:p>
          <w:p w:rsidR="006F7E05" w:rsidRDefault="003C2E8A" w:rsidP="00A93E77">
            <w:pPr>
              <w:ind w:firstLine="72"/>
              <w:jc w:val="center"/>
              <w:rPr>
                <w:sz w:val="28"/>
                <w:szCs w:val="28"/>
                <w:lang w:val="uk-UA"/>
              </w:rPr>
            </w:pPr>
            <w:r>
              <w:rPr>
                <w:sz w:val="28"/>
                <w:szCs w:val="28"/>
                <w:lang w:val="uk-UA"/>
              </w:rPr>
              <w:t xml:space="preserve">                                             № 1996</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BA1AA2">
        <w:rPr>
          <w:sz w:val="28"/>
          <w:szCs w:val="28"/>
          <w:lang w:val="uk-UA"/>
        </w:rPr>
        <w:t>Олександру Гріценку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 xml:space="preserve">покласти на заступника Міністра </w:t>
      </w:r>
      <w:r w:rsidR="00BA1AA2">
        <w:rPr>
          <w:sz w:val="28"/>
          <w:szCs w:val="28"/>
          <w:lang w:val="uk-UA"/>
        </w:rPr>
        <w:t>Едема Адаманова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5F7B7A" w:rsidRDefault="005F7B7A" w:rsidP="00FC73F7">
      <w:pPr>
        <w:pStyle w:val="31"/>
        <w:spacing w:after="0"/>
        <w:ind w:left="0"/>
        <w:rPr>
          <w:b/>
          <w:sz w:val="28"/>
          <w:szCs w:val="28"/>
          <w:lang w:val="uk-UA"/>
        </w:rPr>
        <w:sectPr w:rsidR="005F7B7A"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5F7B7A" w:rsidRPr="00C65DFF" w:rsidTr="00E45030">
        <w:tc>
          <w:tcPr>
            <w:tcW w:w="3825" w:type="dxa"/>
            <w:hideMark/>
          </w:tcPr>
          <w:p w:rsidR="005F7B7A" w:rsidRPr="00B71A0D" w:rsidRDefault="005F7B7A" w:rsidP="001528C3">
            <w:pPr>
              <w:pStyle w:val="4"/>
              <w:tabs>
                <w:tab w:val="left" w:pos="12600"/>
              </w:tabs>
              <w:spacing w:before="0" w:after="0"/>
              <w:rPr>
                <w:sz w:val="18"/>
                <w:szCs w:val="18"/>
              </w:rPr>
            </w:pPr>
            <w:r w:rsidRPr="00B71A0D">
              <w:rPr>
                <w:sz w:val="18"/>
                <w:szCs w:val="18"/>
              </w:rPr>
              <w:lastRenderedPageBreak/>
              <w:t>Додаток 1</w:t>
            </w:r>
          </w:p>
          <w:p w:rsidR="005F7B7A" w:rsidRPr="00B71A0D" w:rsidRDefault="005F7B7A" w:rsidP="001528C3">
            <w:pPr>
              <w:pStyle w:val="4"/>
              <w:tabs>
                <w:tab w:val="left" w:pos="12600"/>
              </w:tabs>
              <w:spacing w:before="0" w:after="0"/>
              <w:rPr>
                <w:sz w:val="18"/>
                <w:szCs w:val="18"/>
              </w:rPr>
            </w:pPr>
            <w:r w:rsidRPr="00B71A0D">
              <w:rPr>
                <w:sz w:val="18"/>
                <w:szCs w:val="18"/>
              </w:rPr>
              <w:t>до наказу Міністерства охорони</w:t>
            </w:r>
          </w:p>
          <w:p w:rsidR="005F7B7A" w:rsidRPr="00B71A0D" w:rsidRDefault="005F7B7A" w:rsidP="001528C3">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F7B7A" w:rsidRPr="00C65DFF" w:rsidRDefault="005F7B7A" w:rsidP="001528C3">
            <w:pPr>
              <w:pStyle w:val="4"/>
              <w:tabs>
                <w:tab w:val="left" w:pos="12600"/>
              </w:tabs>
              <w:spacing w:before="0" w:after="0"/>
              <w:rPr>
                <w:rFonts w:cs="Arial"/>
                <w:sz w:val="16"/>
                <w:szCs w:val="16"/>
              </w:rPr>
            </w:pPr>
            <w:r w:rsidRPr="004004C0">
              <w:rPr>
                <w:bCs w:val="0"/>
                <w:iCs/>
                <w:sz w:val="18"/>
                <w:szCs w:val="18"/>
                <w:u w:val="single"/>
              </w:rPr>
              <w:t xml:space="preserve">від </w:t>
            </w:r>
            <w:r>
              <w:rPr>
                <w:bCs w:val="0"/>
                <w:iCs/>
                <w:sz w:val="18"/>
                <w:szCs w:val="18"/>
                <w:u w:val="single"/>
              </w:rPr>
              <w:t xml:space="preserve">02 грудня 2024 </w:t>
            </w:r>
            <w:r w:rsidRPr="004004C0">
              <w:rPr>
                <w:bCs w:val="0"/>
                <w:iCs/>
                <w:sz w:val="18"/>
                <w:szCs w:val="18"/>
                <w:u w:val="single"/>
              </w:rPr>
              <w:t>№</w:t>
            </w:r>
            <w:r>
              <w:rPr>
                <w:bCs w:val="0"/>
                <w:iCs/>
                <w:sz w:val="18"/>
                <w:szCs w:val="18"/>
                <w:u w:val="single"/>
              </w:rPr>
              <w:t xml:space="preserve"> 1996</w:t>
            </w:r>
          </w:p>
        </w:tc>
      </w:tr>
    </w:tbl>
    <w:p w:rsidR="005F7B7A" w:rsidRPr="00C65DFF" w:rsidRDefault="005F7B7A" w:rsidP="005F7B7A">
      <w:pPr>
        <w:tabs>
          <w:tab w:val="left" w:pos="12600"/>
        </w:tabs>
        <w:jc w:val="center"/>
        <w:rPr>
          <w:rFonts w:ascii="Arial" w:hAnsi="Arial" w:cs="Arial"/>
          <w:b/>
          <w:sz w:val="16"/>
          <w:szCs w:val="16"/>
          <w:lang w:val="en-US"/>
        </w:rPr>
      </w:pPr>
    </w:p>
    <w:p w:rsidR="005F7B7A" w:rsidRPr="00C65DFF" w:rsidRDefault="005F7B7A" w:rsidP="005F7B7A">
      <w:pPr>
        <w:keepNext/>
        <w:tabs>
          <w:tab w:val="left" w:pos="12600"/>
        </w:tabs>
        <w:jc w:val="center"/>
        <w:outlineLvl w:val="1"/>
        <w:rPr>
          <w:rFonts w:ascii="Arial" w:hAnsi="Arial" w:cs="Arial"/>
          <w:b/>
          <w:caps/>
          <w:sz w:val="16"/>
          <w:szCs w:val="16"/>
        </w:rPr>
      </w:pPr>
    </w:p>
    <w:p w:rsidR="005F7B7A" w:rsidRDefault="005F7B7A" w:rsidP="005F7B7A">
      <w:pPr>
        <w:keepNext/>
        <w:tabs>
          <w:tab w:val="left" w:pos="12600"/>
        </w:tabs>
        <w:jc w:val="center"/>
        <w:outlineLvl w:val="1"/>
        <w:rPr>
          <w:b/>
          <w:sz w:val="28"/>
          <w:szCs w:val="28"/>
        </w:rPr>
      </w:pPr>
      <w:r>
        <w:rPr>
          <w:b/>
          <w:caps/>
          <w:sz w:val="28"/>
          <w:szCs w:val="28"/>
        </w:rPr>
        <w:t>ПЕРЕЛІК</w:t>
      </w:r>
    </w:p>
    <w:p w:rsidR="005F7B7A" w:rsidRDefault="005F7B7A" w:rsidP="005F7B7A">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5F7B7A" w:rsidRPr="00C65DFF" w:rsidRDefault="005F7B7A" w:rsidP="005F7B7A">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560"/>
        <w:gridCol w:w="1134"/>
        <w:gridCol w:w="1701"/>
        <w:gridCol w:w="1559"/>
        <w:gridCol w:w="1843"/>
        <w:gridCol w:w="1134"/>
        <w:gridCol w:w="992"/>
        <w:gridCol w:w="1559"/>
      </w:tblGrid>
      <w:tr w:rsidR="005F7B7A" w:rsidRPr="00C65DFF" w:rsidTr="00E45030">
        <w:trPr>
          <w:tblHeader/>
        </w:trPr>
        <w:tc>
          <w:tcPr>
            <w:tcW w:w="568" w:type="dxa"/>
            <w:tcBorders>
              <w:top w:val="single" w:sz="4" w:space="0" w:color="000000"/>
            </w:tcBorders>
            <w:shd w:val="clear" w:color="auto" w:fill="D9D9D9"/>
            <w:hideMark/>
          </w:tcPr>
          <w:p w:rsidR="005F7B7A" w:rsidRPr="00C65DFF" w:rsidRDefault="005F7B7A" w:rsidP="00E45030">
            <w:pPr>
              <w:tabs>
                <w:tab w:val="left" w:pos="12600"/>
              </w:tabs>
              <w:jc w:val="center"/>
              <w:rPr>
                <w:rFonts w:ascii="Arial" w:hAnsi="Arial" w:cs="Arial"/>
                <w:b/>
                <w:i/>
                <w:sz w:val="16"/>
                <w:szCs w:val="16"/>
              </w:rPr>
            </w:pPr>
            <w:r w:rsidRPr="00C65DFF">
              <w:rPr>
                <w:rFonts w:ascii="Arial" w:hAnsi="Arial" w:cs="Arial"/>
                <w:b/>
                <w:i/>
                <w:sz w:val="16"/>
                <w:szCs w:val="16"/>
              </w:rPr>
              <w:t>№ п/п</w:t>
            </w:r>
          </w:p>
        </w:tc>
        <w:tc>
          <w:tcPr>
            <w:tcW w:w="1559" w:type="dxa"/>
            <w:tcBorders>
              <w:top w:val="single" w:sz="4" w:space="0" w:color="000000"/>
            </w:tcBorders>
            <w:shd w:val="clear" w:color="auto" w:fill="D9D9D9"/>
          </w:tcPr>
          <w:p w:rsidR="005F7B7A" w:rsidRPr="00C65DFF" w:rsidRDefault="005F7B7A" w:rsidP="00E45030">
            <w:pPr>
              <w:tabs>
                <w:tab w:val="left" w:pos="12600"/>
              </w:tabs>
              <w:jc w:val="center"/>
              <w:rPr>
                <w:rFonts w:ascii="Arial" w:hAnsi="Arial" w:cs="Arial"/>
                <w:b/>
                <w:i/>
                <w:sz w:val="16"/>
                <w:szCs w:val="16"/>
              </w:rPr>
            </w:pPr>
            <w:r w:rsidRPr="00C65DFF">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5F7B7A" w:rsidRPr="00C65DFF" w:rsidRDefault="005F7B7A" w:rsidP="00E45030">
            <w:pPr>
              <w:tabs>
                <w:tab w:val="left" w:pos="12600"/>
              </w:tabs>
              <w:jc w:val="center"/>
              <w:rPr>
                <w:rFonts w:ascii="Arial" w:hAnsi="Arial" w:cs="Arial"/>
                <w:b/>
                <w:i/>
                <w:sz w:val="16"/>
                <w:szCs w:val="16"/>
              </w:rPr>
            </w:pPr>
            <w:r w:rsidRPr="00C65DFF">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5F7B7A" w:rsidRPr="00C65DFF" w:rsidRDefault="005F7B7A" w:rsidP="00E45030">
            <w:pPr>
              <w:tabs>
                <w:tab w:val="left" w:pos="12600"/>
              </w:tabs>
              <w:jc w:val="center"/>
              <w:rPr>
                <w:rFonts w:ascii="Arial" w:hAnsi="Arial" w:cs="Arial"/>
                <w:b/>
                <w:i/>
                <w:sz w:val="16"/>
                <w:szCs w:val="16"/>
              </w:rPr>
            </w:pPr>
            <w:r w:rsidRPr="00C65DFF">
              <w:rPr>
                <w:rFonts w:ascii="Arial" w:hAnsi="Arial" w:cs="Arial"/>
                <w:b/>
                <w:i/>
                <w:sz w:val="16"/>
                <w:szCs w:val="16"/>
              </w:rPr>
              <w:t>Заявник</w:t>
            </w:r>
          </w:p>
        </w:tc>
        <w:tc>
          <w:tcPr>
            <w:tcW w:w="1134" w:type="dxa"/>
            <w:tcBorders>
              <w:top w:val="single" w:sz="4" w:space="0" w:color="000000"/>
            </w:tcBorders>
            <w:shd w:val="clear" w:color="auto" w:fill="D9D9D9"/>
          </w:tcPr>
          <w:p w:rsidR="005F7B7A" w:rsidRPr="00C65DFF" w:rsidRDefault="005F7B7A" w:rsidP="00E45030">
            <w:pPr>
              <w:tabs>
                <w:tab w:val="left" w:pos="12600"/>
              </w:tabs>
              <w:jc w:val="center"/>
              <w:rPr>
                <w:rFonts w:ascii="Arial" w:hAnsi="Arial" w:cs="Arial"/>
                <w:b/>
                <w:i/>
                <w:sz w:val="16"/>
                <w:szCs w:val="16"/>
              </w:rPr>
            </w:pPr>
            <w:r w:rsidRPr="00C65DFF">
              <w:rPr>
                <w:rFonts w:ascii="Arial" w:hAnsi="Arial" w:cs="Arial"/>
                <w:b/>
                <w:i/>
                <w:sz w:val="16"/>
                <w:szCs w:val="16"/>
              </w:rPr>
              <w:t>Країна заявника</w:t>
            </w:r>
          </w:p>
        </w:tc>
        <w:tc>
          <w:tcPr>
            <w:tcW w:w="1701" w:type="dxa"/>
            <w:tcBorders>
              <w:top w:val="single" w:sz="4" w:space="0" w:color="000000"/>
            </w:tcBorders>
            <w:shd w:val="clear" w:color="auto" w:fill="D9D9D9"/>
          </w:tcPr>
          <w:p w:rsidR="005F7B7A" w:rsidRPr="00C65DFF" w:rsidRDefault="005F7B7A" w:rsidP="00E45030">
            <w:pPr>
              <w:tabs>
                <w:tab w:val="left" w:pos="12600"/>
              </w:tabs>
              <w:jc w:val="center"/>
              <w:rPr>
                <w:rFonts w:ascii="Arial" w:hAnsi="Arial" w:cs="Arial"/>
                <w:b/>
                <w:i/>
                <w:sz w:val="16"/>
                <w:szCs w:val="16"/>
              </w:rPr>
            </w:pPr>
            <w:r w:rsidRPr="00C65DFF">
              <w:rPr>
                <w:rFonts w:ascii="Arial" w:hAnsi="Arial" w:cs="Arial"/>
                <w:b/>
                <w:i/>
                <w:sz w:val="16"/>
                <w:szCs w:val="16"/>
              </w:rPr>
              <w:t>Виробник</w:t>
            </w:r>
          </w:p>
        </w:tc>
        <w:tc>
          <w:tcPr>
            <w:tcW w:w="1559" w:type="dxa"/>
            <w:tcBorders>
              <w:top w:val="single" w:sz="4" w:space="0" w:color="000000"/>
            </w:tcBorders>
            <w:shd w:val="clear" w:color="auto" w:fill="D9D9D9"/>
          </w:tcPr>
          <w:p w:rsidR="005F7B7A" w:rsidRPr="00C65DFF" w:rsidRDefault="005F7B7A" w:rsidP="00E45030">
            <w:pPr>
              <w:tabs>
                <w:tab w:val="left" w:pos="12600"/>
              </w:tabs>
              <w:jc w:val="center"/>
              <w:rPr>
                <w:rFonts w:ascii="Arial" w:hAnsi="Arial" w:cs="Arial"/>
                <w:b/>
                <w:i/>
                <w:sz w:val="16"/>
                <w:szCs w:val="16"/>
              </w:rPr>
            </w:pPr>
            <w:r w:rsidRPr="00C65DFF">
              <w:rPr>
                <w:rFonts w:ascii="Arial" w:hAnsi="Arial" w:cs="Arial"/>
                <w:b/>
                <w:i/>
                <w:sz w:val="16"/>
                <w:szCs w:val="16"/>
              </w:rPr>
              <w:t>Країна виробника</w:t>
            </w:r>
          </w:p>
        </w:tc>
        <w:tc>
          <w:tcPr>
            <w:tcW w:w="1843" w:type="dxa"/>
            <w:tcBorders>
              <w:top w:val="single" w:sz="4" w:space="0" w:color="000000"/>
            </w:tcBorders>
            <w:shd w:val="clear" w:color="auto" w:fill="D9D9D9"/>
          </w:tcPr>
          <w:p w:rsidR="005F7B7A" w:rsidRPr="00C65DFF" w:rsidRDefault="005F7B7A" w:rsidP="00E45030">
            <w:pPr>
              <w:tabs>
                <w:tab w:val="left" w:pos="12600"/>
              </w:tabs>
              <w:jc w:val="center"/>
              <w:rPr>
                <w:rFonts w:ascii="Arial" w:hAnsi="Arial" w:cs="Arial"/>
                <w:b/>
                <w:i/>
                <w:sz w:val="16"/>
                <w:szCs w:val="16"/>
              </w:rPr>
            </w:pPr>
            <w:r w:rsidRPr="00C65DFF">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F7B7A" w:rsidRPr="00C65DFF" w:rsidRDefault="005F7B7A" w:rsidP="00E45030">
            <w:pPr>
              <w:tabs>
                <w:tab w:val="left" w:pos="12600"/>
              </w:tabs>
              <w:jc w:val="center"/>
              <w:rPr>
                <w:rFonts w:ascii="Arial" w:hAnsi="Arial" w:cs="Arial"/>
                <w:b/>
                <w:i/>
                <w:sz w:val="16"/>
                <w:szCs w:val="16"/>
              </w:rPr>
            </w:pPr>
            <w:r w:rsidRPr="00C65DFF">
              <w:rPr>
                <w:rFonts w:ascii="Arial" w:hAnsi="Arial" w:cs="Arial"/>
                <w:b/>
                <w:i/>
                <w:sz w:val="16"/>
                <w:szCs w:val="16"/>
              </w:rPr>
              <w:t>Умови відпуску</w:t>
            </w:r>
          </w:p>
        </w:tc>
        <w:tc>
          <w:tcPr>
            <w:tcW w:w="992" w:type="dxa"/>
            <w:tcBorders>
              <w:top w:val="single" w:sz="4" w:space="0" w:color="000000"/>
            </w:tcBorders>
            <w:shd w:val="clear" w:color="auto" w:fill="D9D9D9"/>
          </w:tcPr>
          <w:p w:rsidR="005F7B7A" w:rsidRPr="00C65DFF" w:rsidRDefault="005F7B7A" w:rsidP="00E45030">
            <w:pPr>
              <w:tabs>
                <w:tab w:val="left" w:pos="12600"/>
              </w:tabs>
              <w:jc w:val="center"/>
              <w:rPr>
                <w:rFonts w:ascii="Arial" w:hAnsi="Arial" w:cs="Arial"/>
                <w:b/>
                <w:i/>
                <w:sz w:val="16"/>
                <w:szCs w:val="16"/>
              </w:rPr>
            </w:pPr>
            <w:r w:rsidRPr="00C65DFF">
              <w:rPr>
                <w:rFonts w:ascii="Arial" w:hAnsi="Arial" w:cs="Arial"/>
                <w:b/>
                <w:i/>
                <w:sz w:val="16"/>
                <w:szCs w:val="16"/>
              </w:rPr>
              <w:t>Рекламування</w:t>
            </w:r>
          </w:p>
        </w:tc>
        <w:tc>
          <w:tcPr>
            <w:tcW w:w="1559" w:type="dxa"/>
            <w:tcBorders>
              <w:top w:val="single" w:sz="4" w:space="0" w:color="000000"/>
            </w:tcBorders>
            <w:shd w:val="clear" w:color="auto" w:fill="D9D9D9"/>
          </w:tcPr>
          <w:p w:rsidR="005F7B7A" w:rsidRPr="00C65DFF" w:rsidRDefault="005F7B7A" w:rsidP="00E45030">
            <w:pPr>
              <w:tabs>
                <w:tab w:val="left" w:pos="12600"/>
              </w:tabs>
              <w:jc w:val="center"/>
              <w:rPr>
                <w:rFonts w:ascii="Arial" w:hAnsi="Arial" w:cs="Arial"/>
                <w:b/>
                <w:i/>
                <w:sz w:val="16"/>
                <w:szCs w:val="16"/>
              </w:rPr>
            </w:pPr>
            <w:r w:rsidRPr="00C65DFF">
              <w:rPr>
                <w:rFonts w:ascii="Arial" w:hAnsi="Arial" w:cs="Arial"/>
                <w:b/>
                <w:i/>
                <w:sz w:val="16"/>
                <w:szCs w:val="16"/>
              </w:rPr>
              <w:t>Номер реєстраційного посвідчення</w:t>
            </w:r>
          </w:p>
        </w:tc>
      </w:tr>
      <w:tr w:rsidR="005F7B7A" w:rsidRPr="00C65DFF" w:rsidTr="00E45030">
        <w:tc>
          <w:tcPr>
            <w:tcW w:w="568" w:type="dxa"/>
            <w:tcBorders>
              <w:top w:val="single" w:sz="4" w:space="0" w:color="auto"/>
              <w:left w:val="single" w:sz="4" w:space="0" w:color="000000"/>
              <w:bottom w:val="single" w:sz="4" w:space="0" w:color="auto"/>
              <w:right w:val="single" w:sz="4" w:space="0" w:color="auto"/>
            </w:tcBorders>
            <w:shd w:val="clear" w:color="auto" w:fill="FFFFFF"/>
          </w:tcPr>
          <w:p w:rsidR="005F7B7A" w:rsidRPr="00C65DFF" w:rsidRDefault="005F7B7A" w:rsidP="005F7B7A">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F7B7A" w:rsidRPr="00C65DFF" w:rsidRDefault="005F7B7A" w:rsidP="00E45030">
            <w:pPr>
              <w:pStyle w:val="110"/>
              <w:tabs>
                <w:tab w:val="left" w:pos="12600"/>
              </w:tabs>
              <w:rPr>
                <w:rFonts w:ascii="Arial" w:hAnsi="Arial" w:cs="Arial"/>
                <w:b/>
                <w:i/>
                <w:color w:val="000000"/>
                <w:sz w:val="16"/>
                <w:szCs w:val="16"/>
              </w:rPr>
            </w:pPr>
            <w:r w:rsidRPr="00C65DFF">
              <w:rPr>
                <w:rFonts w:ascii="Arial" w:hAnsi="Arial" w:cs="Arial"/>
                <w:b/>
                <w:sz w:val="16"/>
                <w:szCs w:val="16"/>
              </w:rPr>
              <w:t>ГАДОБУТРОЛУ МОНОГІДРАТ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F7B7A" w:rsidRPr="00C65DFF" w:rsidRDefault="005F7B7A" w:rsidP="00E45030">
            <w:pPr>
              <w:pStyle w:val="110"/>
              <w:tabs>
                <w:tab w:val="left" w:pos="12600"/>
              </w:tabs>
              <w:rPr>
                <w:rFonts w:ascii="Arial" w:hAnsi="Arial" w:cs="Arial"/>
                <w:color w:val="000000"/>
                <w:sz w:val="16"/>
                <w:szCs w:val="16"/>
                <w:lang w:val="ru-RU"/>
              </w:rPr>
            </w:pPr>
            <w:r w:rsidRPr="00C65DFF">
              <w:rPr>
                <w:rFonts w:ascii="Arial" w:hAnsi="Arial" w:cs="Arial"/>
                <w:color w:val="000000"/>
                <w:sz w:val="16"/>
                <w:szCs w:val="16"/>
                <w:lang w:val="ru-RU"/>
              </w:rPr>
              <w:t>порошок (субстанція) у алюмінієвих пляшках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F7B7A" w:rsidRPr="00C65DFF" w:rsidRDefault="005F7B7A"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F7B7A" w:rsidRPr="00C65DFF" w:rsidRDefault="005F7B7A"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F7B7A" w:rsidRPr="00C65DFF" w:rsidRDefault="005F7B7A"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Cичуань Ренан Фармас'ютікал Ко., Лтд</w:t>
            </w:r>
            <w:r w:rsidRPr="00C65DFF">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7B7A" w:rsidRPr="00C65DFF" w:rsidRDefault="005F7B7A"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Китай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F7B7A" w:rsidRPr="00C65DFF" w:rsidRDefault="005F7B7A"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F7B7A" w:rsidRPr="00C65DFF" w:rsidRDefault="005F7B7A"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F7B7A" w:rsidRPr="00C65DFF" w:rsidRDefault="005F7B7A"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7B7A" w:rsidRPr="00C65DFF" w:rsidRDefault="005F7B7A" w:rsidP="00E45030">
            <w:pPr>
              <w:pStyle w:val="110"/>
              <w:tabs>
                <w:tab w:val="left" w:pos="12600"/>
              </w:tabs>
              <w:jc w:val="center"/>
              <w:rPr>
                <w:rFonts w:ascii="Arial" w:hAnsi="Arial" w:cs="Arial"/>
                <w:sz w:val="16"/>
                <w:szCs w:val="16"/>
              </w:rPr>
            </w:pPr>
            <w:r w:rsidRPr="00C65DFF">
              <w:rPr>
                <w:rFonts w:ascii="Arial" w:hAnsi="Arial" w:cs="Arial"/>
                <w:sz w:val="16"/>
                <w:szCs w:val="16"/>
              </w:rPr>
              <w:t>UA/20685/01/01</w:t>
            </w:r>
          </w:p>
        </w:tc>
      </w:tr>
    </w:tbl>
    <w:p w:rsidR="005F7B7A" w:rsidRPr="00C65DFF" w:rsidRDefault="005F7B7A" w:rsidP="005F7B7A">
      <w:pPr>
        <w:ind w:right="20"/>
        <w:rPr>
          <w:rFonts w:ascii="Arial" w:hAnsi="Arial" w:cs="Arial"/>
          <w:b/>
          <w:i/>
          <w:sz w:val="18"/>
          <w:szCs w:val="18"/>
        </w:rPr>
      </w:pPr>
    </w:p>
    <w:p w:rsidR="005F7B7A" w:rsidRPr="00C65DFF" w:rsidRDefault="005F7B7A" w:rsidP="005F7B7A">
      <w:pPr>
        <w:ind w:right="20"/>
        <w:rPr>
          <w:rStyle w:val="cs7864ebcf1"/>
          <w:rFonts w:ascii="Arial" w:hAnsi="Arial" w:cs="Arial"/>
          <w:color w:val="auto"/>
          <w:sz w:val="18"/>
          <w:szCs w:val="18"/>
        </w:rPr>
      </w:pPr>
    </w:p>
    <w:p w:rsidR="005F7B7A" w:rsidRPr="00C65DFF" w:rsidRDefault="005F7B7A" w:rsidP="005F7B7A">
      <w:pPr>
        <w:ind w:right="20"/>
        <w:rPr>
          <w:rStyle w:val="cs7864ebcf1"/>
          <w:rFonts w:ascii="Arial" w:hAnsi="Arial" w:cs="Arial"/>
          <w:color w:val="auto"/>
          <w:sz w:val="18"/>
          <w:szCs w:val="18"/>
        </w:rPr>
      </w:pPr>
    </w:p>
    <w:p w:rsidR="005F7B7A" w:rsidRPr="00C65DFF" w:rsidRDefault="005F7B7A" w:rsidP="005F7B7A">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5F7B7A" w:rsidRPr="00C97284" w:rsidTr="00E45030">
        <w:tc>
          <w:tcPr>
            <w:tcW w:w="7421" w:type="dxa"/>
            <w:hideMark/>
          </w:tcPr>
          <w:p w:rsidR="005F7B7A" w:rsidRPr="00C97284" w:rsidRDefault="005F7B7A" w:rsidP="00E45030">
            <w:pPr>
              <w:rPr>
                <w:rStyle w:val="cs95e872d03"/>
                <w:sz w:val="28"/>
                <w:szCs w:val="28"/>
              </w:rPr>
            </w:pPr>
            <w:r w:rsidRPr="00C97284">
              <w:rPr>
                <w:rStyle w:val="cs7a65ad241"/>
                <w:sz w:val="28"/>
                <w:szCs w:val="28"/>
              </w:rPr>
              <w:t>В.о. начальника</w:t>
            </w:r>
          </w:p>
          <w:p w:rsidR="005F7B7A" w:rsidRPr="00C97284" w:rsidRDefault="005F7B7A" w:rsidP="00E45030">
            <w:pPr>
              <w:ind w:right="20"/>
              <w:rPr>
                <w:rStyle w:val="cs7864ebcf1"/>
                <w:b w:val="0"/>
                <w:color w:val="auto"/>
                <w:sz w:val="28"/>
                <w:szCs w:val="28"/>
              </w:rPr>
            </w:pPr>
            <w:r w:rsidRPr="00C97284">
              <w:rPr>
                <w:rStyle w:val="cs7a65ad241"/>
                <w:sz w:val="28"/>
                <w:szCs w:val="28"/>
              </w:rPr>
              <w:t>Фармацевтичного управління </w:t>
            </w:r>
          </w:p>
        </w:tc>
        <w:tc>
          <w:tcPr>
            <w:tcW w:w="7422" w:type="dxa"/>
          </w:tcPr>
          <w:p w:rsidR="005F7B7A" w:rsidRPr="00C97284" w:rsidRDefault="005F7B7A" w:rsidP="00E45030">
            <w:pPr>
              <w:pStyle w:val="cs95e872d0"/>
              <w:rPr>
                <w:rStyle w:val="cs7864ebcf1"/>
                <w:color w:val="auto"/>
                <w:sz w:val="28"/>
                <w:szCs w:val="28"/>
              </w:rPr>
            </w:pPr>
          </w:p>
          <w:p w:rsidR="005F7B7A" w:rsidRPr="00C97284" w:rsidRDefault="005F7B7A" w:rsidP="00E45030">
            <w:pPr>
              <w:pStyle w:val="cs95e872d0"/>
              <w:jc w:val="right"/>
              <w:rPr>
                <w:rStyle w:val="cs7864ebcf1"/>
                <w:color w:val="auto"/>
                <w:sz w:val="28"/>
                <w:szCs w:val="28"/>
              </w:rPr>
            </w:pPr>
            <w:r w:rsidRPr="00C97284">
              <w:rPr>
                <w:rStyle w:val="cs7a65ad241"/>
                <w:sz w:val="28"/>
                <w:szCs w:val="28"/>
              </w:rPr>
              <w:t>Олександр ГРІЦЕНКО</w:t>
            </w:r>
          </w:p>
        </w:tc>
      </w:tr>
    </w:tbl>
    <w:p w:rsidR="005F7B7A" w:rsidRPr="001E6B38" w:rsidRDefault="005F7B7A" w:rsidP="005F7B7A">
      <w:pPr>
        <w:ind w:right="20"/>
        <w:rPr>
          <w:rStyle w:val="cs7864ebcf1"/>
          <w:rFonts w:ascii="Arial" w:hAnsi="Arial" w:cs="Arial"/>
          <w:color w:val="auto"/>
          <w:sz w:val="18"/>
          <w:szCs w:val="18"/>
        </w:rPr>
      </w:pPr>
    </w:p>
    <w:p w:rsidR="005F7B7A" w:rsidRDefault="005F7B7A" w:rsidP="00FC73F7">
      <w:pPr>
        <w:pStyle w:val="31"/>
        <w:spacing w:after="0"/>
        <w:ind w:left="0"/>
        <w:rPr>
          <w:b/>
          <w:sz w:val="28"/>
          <w:szCs w:val="28"/>
          <w:lang w:val="uk-UA"/>
        </w:rPr>
        <w:sectPr w:rsidR="005F7B7A" w:rsidSect="00E45030">
          <w:headerReference w:type="default" r:id="rId13"/>
          <w:pgSz w:w="16838" w:h="11906" w:orient="landscape"/>
          <w:pgMar w:top="907" w:right="1134" w:bottom="907" w:left="1077" w:header="709" w:footer="709" w:gutter="0"/>
          <w:cols w:space="708"/>
          <w:titlePg/>
          <w:docGrid w:linePitch="360"/>
        </w:sectPr>
      </w:pPr>
    </w:p>
    <w:p w:rsidR="00480E42" w:rsidRPr="00C65DFF" w:rsidRDefault="00480E42" w:rsidP="00480E42">
      <w:pPr>
        <w:rPr>
          <w:rFonts w:ascii="Arial" w:hAnsi="Arial" w:cs="Arial"/>
          <w:sz w:val="16"/>
          <w:szCs w:val="16"/>
        </w:rPr>
      </w:pPr>
    </w:p>
    <w:tbl>
      <w:tblPr>
        <w:tblW w:w="3825" w:type="dxa"/>
        <w:tblInd w:w="11448" w:type="dxa"/>
        <w:tblLayout w:type="fixed"/>
        <w:tblLook w:val="04A0" w:firstRow="1" w:lastRow="0" w:firstColumn="1" w:lastColumn="0" w:noHBand="0" w:noVBand="1"/>
      </w:tblPr>
      <w:tblGrid>
        <w:gridCol w:w="3825"/>
      </w:tblGrid>
      <w:tr w:rsidR="00480E42" w:rsidRPr="00C65DFF" w:rsidTr="00E45030">
        <w:tc>
          <w:tcPr>
            <w:tcW w:w="3825" w:type="dxa"/>
            <w:hideMark/>
          </w:tcPr>
          <w:p w:rsidR="00480E42" w:rsidRDefault="00480E42" w:rsidP="0097757F">
            <w:pPr>
              <w:pStyle w:val="4"/>
              <w:tabs>
                <w:tab w:val="left" w:pos="12600"/>
              </w:tabs>
              <w:spacing w:before="0" w:after="0"/>
              <w:rPr>
                <w:bCs w:val="0"/>
                <w:iCs/>
                <w:sz w:val="18"/>
                <w:szCs w:val="18"/>
              </w:rPr>
            </w:pPr>
            <w:r>
              <w:rPr>
                <w:bCs w:val="0"/>
                <w:iCs/>
                <w:sz w:val="18"/>
                <w:szCs w:val="18"/>
              </w:rPr>
              <w:t>Додаток 2</w:t>
            </w:r>
          </w:p>
          <w:p w:rsidR="00480E42" w:rsidRDefault="00480E42" w:rsidP="0097757F">
            <w:pPr>
              <w:pStyle w:val="4"/>
              <w:tabs>
                <w:tab w:val="left" w:pos="12600"/>
              </w:tabs>
              <w:spacing w:before="0" w:after="0"/>
              <w:rPr>
                <w:bCs w:val="0"/>
                <w:iCs/>
                <w:sz w:val="18"/>
                <w:szCs w:val="18"/>
              </w:rPr>
            </w:pPr>
            <w:r>
              <w:rPr>
                <w:bCs w:val="0"/>
                <w:iCs/>
                <w:sz w:val="18"/>
                <w:szCs w:val="18"/>
              </w:rPr>
              <w:t>до наказу Міністерства охорони</w:t>
            </w:r>
          </w:p>
          <w:p w:rsidR="00480E42" w:rsidRDefault="00480E42" w:rsidP="0097757F">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80E42" w:rsidRPr="00E36647" w:rsidRDefault="00480E42" w:rsidP="0097757F">
            <w:pPr>
              <w:pStyle w:val="11"/>
              <w:rPr>
                <w:rFonts w:ascii="Arial" w:hAnsi="Arial" w:cs="Arial"/>
                <w:sz w:val="16"/>
                <w:szCs w:val="16"/>
                <w:u w:val="single"/>
              </w:rPr>
            </w:pPr>
            <w:r w:rsidRPr="00E36647">
              <w:rPr>
                <w:b/>
                <w:bCs/>
                <w:iCs/>
                <w:sz w:val="18"/>
                <w:szCs w:val="18"/>
                <w:u w:val="single"/>
              </w:rPr>
              <w:t>від 02 грудня 2024 року № 1996</w:t>
            </w:r>
          </w:p>
        </w:tc>
      </w:tr>
    </w:tbl>
    <w:p w:rsidR="00480E42" w:rsidRPr="00C65DFF" w:rsidRDefault="00480E42" w:rsidP="00480E42">
      <w:pPr>
        <w:keepNext/>
        <w:tabs>
          <w:tab w:val="left" w:pos="12600"/>
        </w:tabs>
        <w:jc w:val="center"/>
        <w:outlineLvl w:val="1"/>
        <w:rPr>
          <w:rFonts w:ascii="Arial" w:hAnsi="Arial" w:cs="Arial"/>
          <w:b/>
          <w:caps/>
        </w:rPr>
      </w:pPr>
    </w:p>
    <w:p w:rsidR="00480E42" w:rsidRPr="00786BFF" w:rsidRDefault="00480E42" w:rsidP="00480E42">
      <w:pPr>
        <w:keepNext/>
        <w:tabs>
          <w:tab w:val="left" w:pos="12600"/>
        </w:tabs>
        <w:jc w:val="center"/>
        <w:outlineLvl w:val="1"/>
        <w:rPr>
          <w:b/>
          <w:caps/>
          <w:sz w:val="28"/>
          <w:szCs w:val="28"/>
        </w:rPr>
      </w:pPr>
      <w:r w:rsidRPr="00786BFF">
        <w:rPr>
          <w:b/>
          <w:caps/>
          <w:sz w:val="28"/>
          <w:szCs w:val="28"/>
        </w:rPr>
        <w:t>ПЕРЕЛІК</w:t>
      </w:r>
    </w:p>
    <w:p w:rsidR="00480E42" w:rsidRPr="00786BFF" w:rsidRDefault="00480E42" w:rsidP="00480E42">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480E42" w:rsidRPr="00C65DFF" w:rsidRDefault="00480E42" w:rsidP="00480E42">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5"/>
        <w:gridCol w:w="1134"/>
        <w:gridCol w:w="1560"/>
        <w:gridCol w:w="1134"/>
        <w:gridCol w:w="3402"/>
        <w:gridCol w:w="1134"/>
        <w:gridCol w:w="992"/>
        <w:gridCol w:w="1559"/>
      </w:tblGrid>
      <w:tr w:rsidR="00480E42" w:rsidRPr="00C65DFF" w:rsidTr="00E45030">
        <w:trPr>
          <w:tblHeader/>
        </w:trPr>
        <w:tc>
          <w:tcPr>
            <w:tcW w:w="568" w:type="dxa"/>
            <w:tcBorders>
              <w:top w:val="single" w:sz="4" w:space="0" w:color="000000"/>
            </w:tcBorders>
            <w:shd w:val="clear" w:color="auto" w:fill="D9D9D9"/>
            <w:hideMark/>
          </w:tcPr>
          <w:p w:rsidR="00480E42" w:rsidRPr="00C65DFF" w:rsidRDefault="00480E42" w:rsidP="00E45030">
            <w:pPr>
              <w:tabs>
                <w:tab w:val="left" w:pos="12600"/>
              </w:tabs>
              <w:jc w:val="center"/>
              <w:rPr>
                <w:rFonts w:ascii="Arial" w:hAnsi="Arial" w:cs="Arial"/>
                <w:b/>
                <w:i/>
                <w:sz w:val="16"/>
                <w:szCs w:val="16"/>
              </w:rPr>
            </w:pPr>
            <w:r w:rsidRPr="00C65DFF">
              <w:rPr>
                <w:rFonts w:ascii="Arial" w:hAnsi="Arial" w:cs="Arial"/>
                <w:b/>
                <w:i/>
                <w:sz w:val="16"/>
                <w:szCs w:val="16"/>
              </w:rPr>
              <w:t>№ п/п</w:t>
            </w:r>
          </w:p>
        </w:tc>
        <w:tc>
          <w:tcPr>
            <w:tcW w:w="1276" w:type="dxa"/>
            <w:tcBorders>
              <w:top w:val="single" w:sz="4" w:space="0" w:color="000000"/>
            </w:tcBorders>
            <w:shd w:val="clear" w:color="auto" w:fill="D9D9D9"/>
          </w:tcPr>
          <w:p w:rsidR="00480E42" w:rsidRPr="00C65DFF" w:rsidRDefault="00480E42" w:rsidP="00E45030">
            <w:pPr>
              <w:tabs>
                <w:tab w:val="left" w:pos="12600"/>
              </w:tabs>
              <w:jc w:val="center"/>
              <w:rPr>
                <w:rFonts w:ascii="Arial" w:hAnsi="Arial" w:cs="Arial"/>
                <w:b/>
                <w:i/>
                <w:sz w:val="16"/>
                <w:szCs w:val="16"/>
              </w:rPr>
            </w:pPr>
            <w:r w:rsidRPr="00C65DFF">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80E42" w:rsidRPr="00C65DFF" w:rsidRDefault="00480E42" w:rsidP="00E45030">
            <w:pPr>
              <w:tabs>
                <w:tab w:val="left" w:pos="12600"/>
              </w:tabs>
              <w:jc w:val="center"/>
              <w:rPr>
                <w:rFonts w:ascii="Arial" w:hAnsi="Arial" w:cs="Arial"/>
                <w:b/>
                <w:i/>
                <w:sz w:val="16"/>
                <w:szCs w:val="16"/>
              </w:rPr>
            </w:pPr>
            <w:r w:rsidRPr="00C65DFF">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480E42" w:rsidRPr="00C65DFF" w:rsidRDefault="00480E42" w:rsidP="00E45030">
            <w:pPr>
              <w:tabs>
                <w:tab w:val="left" w:pos="12600"/>
              </w:tabs>
              <w:jc w:val="center"/>
              <w:rPr>
                <w:rFonts w:ascii="Arial" w:hAnsi="Arial" w:cs="Arial"/>
                <w:b/>
                <w:i/>
                <w:sz w:val="16"/>
                <w:szCs w:val="16"/>
              </w:rPr>
            </w:pPr>
            <w:r w:rsidRPr="00C65DFF">
              <w:rPr>
                <w:rFonts w:ascii="Arial" w:hAnsi="Arial" w:cs="Arial"/>
                <w:b/>
                <w:i/>
                <w:sz w:val="16"/>
                <w:szCs w:val="16"/>
              </w:rPr>
              <w:t>Заявник</w:t>
            </w:r>
          </w:p>
        </w:tc>
        <w:tc>
          <w:tcPr>
            <w:tcW w:w="1134" w:type="dxa"/>
            <w:tcBorders>
              <w:top w:val="single" w:sz="4" w:space="0" w:color="000000"/>
            </w:tcBorders>
            <w:shd w:val="clear" w:color="auto" w:fill="D9D9D9"/>
          </w:tcPr>
          <w:p w:rsidR="00480E42" w:rsidRPr="00C65DFF" w:rsidRDefault="00480E42" w:rsidP="00E45030">
            <w:pPr>
              <w:tabs>
                <w:tab w:val="left" w:pos="12600"/>
              </w:tabs>
              <w:jc w:val="center"/>
              <w:rPr>
                <w:rFonts w:ascii="Arial" w:hAnsi="Arial" w:cs="Arial"/>
                <w:b/>
                <w:i/>
                <w:sz w:val="16"/>
                <w:szCs w:val="16"/>
              </w:rPr>
            </w:pPr>
            <w:r w:rsidRPr="00C65DFF">
              <w:rPr>
                <w:rFonts w:ascii="Arial" w:hAnsi="Arial" w:cs="Arial"/>
                <w:b/>
                <w:i/>
                <w:sz w:val="16"/>
                <w:szCs w:val="16"/>
              </w:rPr>
              <w:t>Країна заявника</w:t>
            </w:r>
          </w:p>
        </w:tc>
        <w:tc>
          <w:tcPr>
            <w:tcW w:w="1560" w:type="dxa"/>
            <w:tcBorders>
              <w:top w:val="single" w:sz="4" w:space="0" w:color="000000"/>
            </w:tcBorders>
            <w:shd w:val="clear" w:color="auto" w:fill="D9D9D9"/>
          </w:tcPr>
          <w:p w:rsidR="00480E42" w:rsidRPr="00C65DFF" w:rsidRDefault="00480E42" w:rsidP="00E45030">
            <w:pPr>
              <w:tabs>
                <w:tab w:val="left" w:pos="12600"/>
              </w:tabs>
              <w:jc w:val="center"/>
              <w:rPr>
                <w:rFonts w:ascii="Arial" w:hAnsi="Arial" w:cs="Arial"/>
                <w:b/>
                <w:i/>
                <w:sz w:val="16"/>
                <w:szCs w:val="16"/>
              </w:rPr>
            </w:pPr>
            <w:r w:rsidRPr="00C65DFF">
              <w:rPr>
                <w:rFonts w:ascii="Arial" w:hAnsi="Arial" w:cs="Arial"/>
                <w:b/>
                <w:i/>
                <w:sz w:val="16"/>
                <w:szCs w:val="16"/>
              </w:rPr>
              <w:t>Виробник</w:t>
            </w:r>
          </w:p>
        </w:tc>
        <w:tc>
          <w:tcPr>
            <w:tcW w:w="1134" w:type="dxa"/>
            <w:tcBorders>
              <w:top w:val="single" w:sz="4" w:space="0" w:color="000000"/>
            </w:tcBorders>
            <w:shd w:val="clear" w:color="auto" w:fill="D9D9D9"/>
          </w:tcPr>
          <w:p w:rsidR="00480E42" w:rsidRPr="00C65DFF" w:rsidRDefault="00480E42" w:rsidP="00E45030">
            <w:pPr>
              <w:tabs>
                <w:tab w:val="left" w:pos="12600"/>
              </w:tabs>
              <w:jc w:val="center"/>
              <w:rPr>
                <w:rFonts w:ascii="Arial" w:hAnsi="Arial" w:cs="Arial"/>
                <w:b/>
                <w:i/>
                <w:sz w:val="16"/>
                <w:szCs w:val="16"/>
              </w:rPr>
            </w:pPr>
            <w:r w:rsidRPr="00C65DFF">
              <w:rPr>
                <w:rFonts w:ascii="Arial" w:hAnsi="Arial" w:cs="Arial"/>
                <w:b/>
                <w:i/>
                <w:sz w:val="16"/>
                <w:szCs w:val="16"/>
              </w:rPr>
              <w:t>Країна виробника</w:t>
            </w:r>
          </w:p>
        </w:tc>
        <w:tc>
          <w:tcPr>
            <w:tcW w:w="3402" w:type="dxa"/>
            <w:tcBorders>
              <w:top w:val="single" w:sz="4" w:space="0" w:color="000000"/>
            </w:tcBorders>
            <w:shd w:val="clear" w:color="auto" w:fill="D9D9D9"/>
          </w:tcPr>
          <w:p w:rsidR="00480E42" w:rsidRPr="00C65DFF" w:rsidRDefault="00480E42" w:rsidP="00E45030">
            <w:pPr>
              <w:tabs>
                <w:tab w:val="left" w:pos="12600"/>
              </w:tabs>
              <w:jc w:val="center"/>
              <w:rPr>
                <w:rFonts w:ascii="Arial" w:hAnsi="Arial" w:cs="Arial"/>
                <w:b/>
                <w:i/>
                <w:sz w:val="16"/>
                <w:szCs w:val="16"/>
              </w:rPr>
            </w:pPr>
            <w:r w:rsidRPr="00C65DFF">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80E42" w:rsidRPr="00C65DFF" w:rsidRDefault="00480E42" w:rsidP="00E45030">
            <w:pPr>
              <w:tabs>
                <w:tab w:val="left" w:pos="12600"/>
              </w:tabs>
              <w:jc w:val="center"/>
              <w:rPr>
                <w:rFonts w:ascii="Arial" w:hAnsi="Arial" w:cs="Arial"/>
                <w:b/>
                <w:i/>
                <w:sz w:val="16"/>
                <w:szCs w:val="16"/>
              </w:rPr>
            </w:pPr>
            <w:r w:rsidRPr="00C65DFF">
              <w:rPr>
                <w:rFonts w:ascii="Arial" w:hAnsi="Arial" w:cs="Arial"/>
                <w:b/>
                <w:i/>
                <w:sz w:val="16"/>
                <w:szCs w:val="16"/>
              </w:rPr>
              <w:t>Умови відпуску</w:t>
            </w:r>
          </w:p>
        </w:tc>
        <w:tc>
          <w:tcPr>
            <w:tcW w:w="992" w:type="dxa"/>
            <w:tcBorders>
              <w:top w:val="single" w:sz="4" w:space="0" w:color="000000"/>
            </w:tcBorders>
            <w:shd w:val="clear" w:color="auto" w:fill="D9D9D9"/>
          </w:tcPr>
          <w:p w:rsidR="00480E42" w:rsidRPr="00C65DFF" w:rsidRDefault="00480E42" w:rsidP="00E45030">
            <w:pPr>
              <w:tabs>
                <w:tab w:val="left" w:pos="12600"/>
              </w:tabs>
              <w:jc w:val="center"/>
              <w:rPr>
                <w:rFonts w:ascii="Arial" w:hAnsi="Arial" w:cs="Arial"/>
                <w:b/>
                <w:i/>
                <w:sz w:val="16"/>
                <w:szCs w:val="16"/>
              </w:rPr>
            </w:pPr>
            <w:r w:rsidRPr="00C65DFF">
              <w:rPr>
                <w:rFonts w:ascii="Arial" w:hAnsi="Arial" w:cs="Arial"/>
                <w:b/>
                <w:i/>
                <w:sz w:val="16"/>
                <w:szCs w:val="16"/>
              </w:rPr>
              <w:t>Рекламування</w:t>
            </w:r>
          </w:p>
        </w:tc>
        <w:tc>
          <w:tcPr>
            <w:tcW w:w="1559" w:type="dxa"/>
            <w:tcBorders>
              <w:top w:val="single" w:sz="4" w:space="0" w:color="000000"/>
            </w:tcBorders>
            <w:shd w:val="clear" w:color="auto" w:fill="D9D9D9"/>
          </w:tcPr>
          <w:p w:rsidR="00480E42" w:rsidRPr="00C65DFF" w:rsidRDefault="00480E42" w:rsidP="00E45030">
            <w:pPr>
              <w:tabs>
                <w:tab w:val="left" w:pos="12600"/>
              </w:tabs>
              <w:jc w:val="center"/>
              <w:rPr>
                <w:rFonts w:ascii="Arial" w:hAnsi="Arial" w:cs="Arial"/>
                <w:b/>
                <w:i/>
                <w:sz w:val="16"/>
                <w:szCs w:val="16"/>
              </w:rPr>
            </w:pPr>
            <w:r w:rsidRPr="00C65DFF">
              <w:rPr>
                <w:rFonts w:ascii="Arial" w:hAnsi="Arial" w:cs="Arial"/>
                <w:b/>
                <w:i/>
                <w:sz w:val="16"/>
                <w:szCs w:val="16"/>
              </w:rPr>
              <w:t>Номер реєстраційного посвідчення</w:t>
            </w:r>
          </w:p>
        </w:tc>
      </w:tr>
      <w:tr w:rsidR="00480E42" w:rsidRPr="00C65DFF" w:rsidTr="00E45030">
        <w:tc>
          <w:tcPr>
            <w:tcW w:w="568"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480E42">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E45030">
            <w:pPr>
              <w:pStyle w:val="110"/>
              <w:tabs>
                <w:tab w:val="left" w:pos="12600"/>
              </w:tabs>
              <w:rPr>
                <w:rFonts w:ascii="Arial" w:hAnsi="Arial" w:cs="Arial"/>
                <w:b/>
                <w:i/>
                <w:color w:val="000000"/>
                <w:sz w:val="16"/>
                <w:szCs w:val="16"/>
              </w:rPr>
            </w:pPr>
            <w:r w:rsidRPr="00C65DFF">
              <w:rPr>
                <w:rFonts w:ascii="Arial" w:hAnsi="Arial" w:cs="Arial"/>
                <w:b/>
                <w:sz w:val="16"/>
                <w:szCs w:val="16"/>
              </w:rPr>
              <w:t>3-ДІНІР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капсули по 300 мг, по 10 капсул у блістері, по 1 блістеру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"АРТЕРІУМ ЛТД"</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ПАТ "Київмедпрепарат"</w:t>
            </w:r>
            <w:r w:rsidRPr="00C65DFF">
              <w:rPr>
                <w:rFonts w:ascii="Arial" w:hAnsi="Arial" w:cs="Arial"/>
                <w:color w:val="000000"/>
                <w:sz w:val="16"/>
                <w:szCs w:val="16"/>
                <w:lang/>
              </w:rPr>
              <w:t>,</w:t>
            </w:r>
            <w:r w:rsidRPr="00C65DFF">
              <w:rPr>
                <w:rFonts w:ascii="Arial" w:hAnsi="Arial" w:cs="Arial"/>
                <w:color w:val="000000"/>
                <w:sz w:val="16"/>
                <w:szCs w:val="16"/>
              </w:rPr>
              <w:br/>
              <w:t>Україна</w:t>
            </w:r>
            <w:r w:rsidRPr="00C65DFF">
              <w:rPr>
                <w:rFonts w:ascii="Arial" w:hAnsi="Arial" w:cs="Arial"/>
                <w:color w:val="000000"/>
                <w:sz w:val="16"/>
                <w:szCs w:val="16"/>
              </w:rPr>
              <w:br/>
              <w:t>(пакування з in bulk фірми-виробника ФармаВіжн Санаі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перереєстрація на необмежений термін</w:t>
            </w:r>
            <w:r w:rsidRPr="00C65DFF">
              <w:rPr>
                <w:rFonts w:ascii="Arial" w:hAnsi="Arial" w:cs="Arial"/>
                <w:color w:val="000000"/>
                <w:sz w:val="16"/>
                <w:szCs w:val="16"/>
              </w:rPr>
              <w:br/>
              <w:t>Оновлено інформацію у розділах "Показання", "Взаємодія з іншими лікарськими засобами та інші види взаємодій", "Особливості застосування" та "Побічні реакції" інструкції для медичного застосування лікарського засобу відповідно до референтного лікарського засобу Omnicef (cefdinir) capsules, а також у розділі "Побічні реакції" щодо важливості звітування про побічні реакції.</w:t>
            </w:r>
            <w:r w:rsidRPr="00C65DFF">
              <w:rPr>
                <w:rFonts w:ascii="Arial" w:hAnsi="Arial" w:cs="Arial"/>
                <w:color w:val="000000"/>
                <w:sz w:val="16"/>
                <w:szCs w:val="16"/>
              </w:rPr>
              <w:br/>
            </w:r>
            <w:r w:rsidRPr="00C65DFF">
              <w:rPr>
                <w:rFonts w:ascii="Arial" w:hAnsi="Arial" w:cs="Arial"/>
                <w:color w:val="000000"/>
                <w:sz w:val="16"/>
                <w:szCs w:val="16"/>
              </w:rPr>
              <w:br/>
              <w:t>Резюме плану управління ризиками версія 1.3 додається.</w:t>
            </w:r>
            <w:r w:rsidRPr="00C65D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sz w:val="16"/>
                <w:szCs w:val="16"/>
              </w:rPr>
            </w:pPr>
            <w:r w:rsidRPr="00C65DFF">
              <w:rPr>
                <w:rFonts w:ascii="Arial" w:hAnsi="Arial" w:cs="Arial"/>
                <w:sz w:val="16"/>
                <w:szCs w:val="16"/>
              </w:rPr>
              <w:t>UA/17823/01/01</w:t>
            </w:r>
          </w:p>
        </w:tc>
      </w:tr>
      <w:tr w:rsidR="00480E42" w:rsidRPr="00C65DFF" w:rsidTr="00E45030">
        <w:tc>
          <w:tcPr>
            <w:tcW w:w="568"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480E42">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E45030">
            <w:pPr>
              <w:pStyle w:val="110"/>
              <w:tabs>
                <w:tab w:val="left" w:pos="12600"/>
              </w:tabs>
              <w:rPr>
                <w:rFonts w:ascii="Arial" w:hAnsi="Arial" w:cs="Arial"/>
                <w:b/>
                <w:i/>
                <w:color w:val="000000"/>
                <w:sz w:val="16"/>
                <w:szCs w:val="16"/>
              </w:rPr>
            </w:pPr>
            <w:r w:rsidRPr="00C65DFF">
              <w:rPr>
                <w:rFonts w:ascii="Arial" w:hAnsi="Arial" w:cs="Arial"/>
                <w:b/>
                <w:sz w:val="16"/>
                <w:szCs w:val="16"/>
              </w:rPr>
              <w:t>АДЕНОЗИН ТРИФОСФАТУ ДИНАТРІЄВА СІЛЬ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Кайпінг Дженьюін Байокемікал Фармасьютікал Ко., ЛТД</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sz w:val="16"/>
                <w:szCs w:val="16"/>
              </w:rPr>
            </w:pPr>
            <w:r w:rsidRPr="00C65DFF">
              <w:rPr>
                <w:rFonts w:ascii="Arial" w:hAnsi="Arial" w:cs="Arial"/>
                <w:sz w:val="16"/>
                <w:szCs w:val="16"/>
              </w:rPr>
              <w:t>UA/18132/01/01</w:t>
            </w:r>
          </w:p>
        </w:tc>
      </w:tr>
      <w:tr w:rsidR="00480E42" w:rsidRPr="00C65DFF" w:rsidTr="00E45030">
        <w:tc>
          <w:tcPr>
            <w:tcW w:w="568"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480E42">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E45030">
            <w:pPr>
              <w:pStyle w:val="110"/>
              <w:tabs>
                <w:tab w:val="left" w:pos="12600"/>
              </w:tabs>
              <w:rPr>
                <w:rFonts w:ascii="Arial" w:hAnsi="Arial" w:cs="Arial"/>
                <w:b/>
                <w:i/>
                <w:color w:val="000000"/>
                <w:sz w:val="16"/>
                <w:szCs w:val="16"/>
              </w:rPr>
            </w:pPr>
            <w:r w:rsidRPr="00C65DFF">
              <w:rPr>
                <w:rFonts w:ascii="Arial" w:hAnsi="Arial" w:cs="Arial"/>
                <w:b/>
                <w:sz w:val="16"/>
                <w:szCs w:val="16"/>
              </w:rPr>
              <w:t>БРІМІКА® ДЖЕНУЕЙР®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інгаляцій 340 мкг/12 мкг; по 60 доз порошку в інгаляторі, по 1 або по 3 інгалятори в алюмінієвому ламінованому пакеті кожен разом із пакетиком з осушувачем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БЕРЛІН-ХЕМІ АГ</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Індастріас Фармасеутікас Алмірал С.А.</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перереєстрація на 5 років</w:t>
            </w:r>
            <w:r w:rsidRPr="00C65DFF">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 (редагування тексту та уточнення інформації), "Побічні реакції" відповідно до матеріалів реєстраційного досьє. </w:t>
            </w:r>
            <w:r w:rsidRPr="00C65DFF">
              <w:rPr>
                <w:rFonts w:ascii="Arial" w:hAnsi="Arial" w:cs="Arial"/>
                <w:color w:val="000000"/>
                <w:sz w:val="16"/>
                <w:szCs w:val="16"/>
              </w:rPr>
              <w:br/>
              <w:t>Резюме плану управління ризиками версія 6.0 додається.</w:t>
            </w:r>
            <w:r w:rsidRPr="00C65D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sz w:val="16"/>
                <w:szCs w:val="16"/>
                <w:lang/>
              </w:rPr>
            </w:pPr>
            <w:r w:rsidRPr="00C65DFF">
              <w:rPr>
                <w:rFonts w:ascii="Arial" w:hAnsi="Arial" w:cs="Arial"/>
                <w:sz w:val="16"/>
                <w:szCs w:val="16"/>
              </w:rPr>
              <w:t>UA/17683/01/01</w:t>
            </w:r>
          </w:p>
        </w:tc>
      </w:tr>
      <w:tr w:rsidR="00480E42" w:rsidRPr="00C65DFF" w:rsidTr="00E45030">
        <w:tc>
          <w:tcPr>
            <w:tcW w:w="568"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480E42">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E45030">
            <w:pPr>
              <w:pStyle w:val="110"/>
              <w:tabs>
                <w:tab w:val="left" w:pos="12600"/>
              </w:tabs>
              <w:rPr>
                <w:rFonts w:ascii="Arial" w:hAnsi="Arial" w:cs="Arial"/>
                <w:b/>
                <w:i/>
                <w:color w:val="000000"/>
                <w:sz w:val="16"/>
                <w:szCs w:val="16"/>
              </w:rPr>
            </w:pPr>
            <w:r w:rsidRPr="00C65DFF">
              <w:rPr>
                <w:rFonts w:ascii="Arial" w:hAnsi="Arial" w:cs="Arial"/>
                <w:b/>
                <w:sz w:val="16"/>
                <w:szCs w:val="16"/>
              </w:rPr>
              <w:t>БУПІВАКАЇН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5 мг/мл, по 10 мл в ампулі; по 5 ампул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"АРТЕРІУМ ЛТД"</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перереєстрація на необмежений термін</w:t>
            </w:r>
            <w:r w:rsidRPr="00C65DFF">
              <w:rPr>
                <w:rFonts w:ascii="Arial" w:hAnsi="Arial" w:cs="Arial"/>
                <w:color w:val="000000"/>
                <w:sz w:val="16"/>
                <w:szCs w:val="16"/>
              </w:rPr>
              <w:br/>
              <w:t>Резюме плану управління ризиками версія 1.1 додається</w:t>
            </w:r>
            <w:r w:rsidRPr="00C65D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sz w:val="16"/>
                <w:szCs w:val="16"/>
              </w:rPr>
            </w:pPr>
            <w:r w:rsidRPr="00C65DFF">
              <w:rPr>
                <w:rFonts w:ascii="Arial" w:hAnsi="Arial" w:cs="Arial"/>
                <w:sz w:val="16"/>
                <w:szCs w:val="16"/>
              </w:rPr>
              <w:t>UA/17950/01/01</w:t>
            </w:r>
          </w:p>
        </w:tc>
      </w:tr>
      <w:tr w:rsidR="00480E42" w:rsidRPr="00C65DFF" w:rsidTr="00E45030">
        <w:tc>
          <w:tcPr>
            <w:tcW w:w="568"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480E42">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E45030">
            <w:pPr>
              <w:pStyle w:val="110"/>
              <w:tabs>
                <w:tab w:val="left" w:pos="12600"/>
              </w:tabs>
              <w:rPr>
                <w:rFonts w:ascii="Arial" w:hAnsi="Arial" w:cs="Arial"/>
                <w:b/>
                <w:i/>
                <w:color w:val="000000"/>
                <w:sz w:val="16"/>
                <w:szCs w:val="16"/>
              </w:rPr>
            </w:pPr>
            <w:r w:rsidRPr="00C65DFF">
              <w:rPr>
                <w:rFonts w:ascii="Arial" w:hAnsi="Arial" w:cs="Arial"/>
                <w:b/>
                <w:sz w:val="16"/>
                <w:szCs w:val="16"/>
              </w:rPr>
              <w:t>ДОРЗОПТ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краплі очні, розчин, по 5 мл у флаконі-крапельниці та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ЕлЕлСі Ромфарм Компані Джорджия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Грузія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 Т. РОМФАРМ КОМПАНІ С.Р.Л.</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перереєстрація на необмежений термін</w:t>
            </w:r>
            <w:r w:rsidRPr="00C65DFF">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"Застосування у період вагітності або годування груддю", "Діти", "Побічні реакції" відповідно до інформації щодо медичного застосування референтного лікарського засобу (Косопт, краплі очні, розчин, 20 мг/мл+5 мг/мл)</w:t>
            </w:r>
            <w:r w:rsidRPr="00C65DFF">
              <w:rPr>
                <w:rFonts w:ascii="Arial" w:hAnsi="Arial" w:cs="Arial"/>
                <w:color w:val="000000"/>
                <w:sz w:val="16"/>
                <w:szCs w:val="16"/>
              </w:rPr>
              <w:br/>
              <w:t>Резюме плану управління ризиками версія 1.0 додається</w:t>
            </w:r>
            <w:r w:rsidRPr="00C65DF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sz w:val="16"/>
                <w:szCs w:val="16"/>
              </w:rPr>
            </w:pPr>
            <w:r w:rsidRPr="00C65DFF">
              <w:rPr>
                <w:rFonts w:ascii="Arial" w:hAnsi="Arial" w:cs="Arial"/>
                <w:sz w:val="16"/>
                <w:szCs w:val="16"/>
              </w:rPr>
              <w:t>UA/17872/01/01</w:t>
            </w:r>
          </w:p>
        </w:tc>
      </w:tr>
      <w:tr w:rsidR="00480E42" w:rsidRPr="00C65DFF" w:rsidTr="00E45030">
        <w:tc>
          <w:tcPr>
            <w:tcW w:w="568"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480E42">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КОЛДРЕКС МЕНТОЛ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порошок для орального розчину по 10 пакетиків з порошком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СТАДА Арцнайміттель АГ</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ХАЛЕОН АЛКАЛА,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перереєстрація на необмежений термін</w:t>
            </w:r>
            <w:r w:rsidRPr="00C65DFF">
              <w:rPr>
                <w:rFonts w:ascii="Arial" w:hAnsi="Arial" w:cs="Arial"/>
                <w:color w:val="000000"/>
                <w:sz w:val="16"/>
                <w:szCs w:val="16"/>
              </w:rPr>
              <w:br/>
              <w:t>Оновлено інформацію у розділах "Взаємодія з іншими лікарськими засобами та інші види взаємодій", "Особливості застосування», «Спосіб застосування та дози", "Діти", "Побічні реакції" інструкції для медичного застосування лікарського засобу щодо безпеки застосування лікарського засобу та у розділі "Побічні реакції" щодо важливості звітування про побічні реакції.</w:t>
            </w:r>
            <w:r w:rsidRPr="00C65DFF">
              <w:rPr>
                <w:rFonts w:ascii="Arial" w:hAnsi="Arial" w:cs="Arial"/>
                <w:color w:val="000000"/>
                <w:sz w:val="16"/>
                <w:szCs w:val="16"/>
              </w:rPr>
              <w:br/>
              <w:t>Резюме плану управління ризиками версія 2.2 додається.</w:t>
            </w:r>
            <w:r w:rsidRPr="00C65DF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i/>
                <w:sz w:val="16"/>
                <w:szCs w:val="16"/>
              </w:rPr>
            </w:pPr>
            <w:r w:rsidRPr="00C65DF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sz w:val="16"/>
                <w:szCs w:val="16"/>
              </w:rPr>
            </w:pPr>
            <w:r w:rsidRPr="00C65DFF">
              <w:rPr>
                <w:rFonts w:ascii="Arial" w:hAnsi="Arial" w:cs="Arial"/>
                <w:sz w:val="16"/>
                <w:szCs w:val="16"/>
              </w:rPr>
              <w:t>UA/13674/01/01</w:t>
            </w:r>
          </w:p>
        </w:tc>
      </w:tr>
      <w:tr w:rsidR="00480E42" w:rsidRPr="00C65DFF" w:rsidTr="00E45030">
        <w:tc>
          <w:tcPr>
            <w:tcW w:w="568"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480E42">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E45030">
            <w:pPr>
              <w:pStyle w:val="110"/>
              <w:tabs>
                <w:tab w:val="left" w:pos="12600"/>
              </w:tabs>
              <w:rPr>
                <w:rFonts w:ascii="Arial" w:hAnsi="Arial" w:cs="Arial"/>
                <w:b/>
                <w:i/>
                <w:color w:val="000000"/>
                <w:sz w:val="16"/>
                <w:szCs w:val="16"/>
              </w:rPr>
            </w:pPr>
            <w:r w:rsidRPr="00C65DFF">
              <w:rPr>
                <w:rFonts w:ascii="Arial" w:hAnsi="Arial" w:cs="Arial"/>
                <w:b/>
                <w:sz w:val="16"/>
                <w:szCs w:val="16"/>
              </w:rPr>
              <w:t>ПЕНЦИКЛОВІР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Товариство з обмеженою відповідальністю "Фармацевтична компанія "Здоров'я"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Шанхай Фарма Груп Чангжоу Коні Фармасьютікал Ко., Лтд.</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sz w:val="16"/>
                <w:szCs w:val="16"/>
              </w:rPr>
            </w:pPr>
            <w:r w:rsidRPr="00C65DFF">
              <w:rPr>
                <w:rFonts w:ascii="Arial" w:hAnsi="Arial" w:cs="Arial"/>
                <w:sz w:val="16"/>
                <w:szCs w:val="16"/>
              </w:rPr>
              <w:t>UA/18198/01/01</w:t>
            </w:r>
          </w:p>
        </w:tc>
      </w:tr>
      <w:tr w:rsidR="00480E42" w:rsidRPr="00C65DFF" w:rsidTr="00E45030">
        <w:tc>
          <w:tcPr>
            <w:tcW w:w="568"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480E42">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E45030">
            <w:pPr>
              <w:pStyle w:val="110"/>
              <w:tabs>
                <w:tab w:val="left" w:pos="12600"/>
              </w:tabs>
              <w:rPr>
                <w:rFonts w:ascii="Arial" w:hAnsi="Arial" w:cs="Arial"/>
                <w:b/>
                <w:i/>
                <w:color w:val="000000"/>
                <w:sz w:val="16"/>
                <w:szCs w:val="16"/>
              </w:rPr>
            </w:pPr>
            <w:r w:rsidRPr="00C65DFF">
              <w:rPr>
                <w:rFonts w:ascii="Arial" w:hAnsi="Arial" w:cs="Arial"/>
                <w:b/>
                <w:sz w:val="16"/>
                <w:szCs w:val="16"/>
              </w:rPr>
              <w:t>ТАДАФІЛ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5 мг, по 10 таблеток у блістері, по 1 або по 3 блістери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ГЕТЕРО ЛАБЗ ЛІМІТЕД</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перереєстрація на необмежений термін</w:t>
            </w:r>
            <w:r w:rsidRPr="00C65DFF">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(CІАЛІС®, таблетки, вкриті плівковою оболонкою), а також оновлено інформацію в інструкції для медичного застосування лікарського засобу в розділі "Побічні реакції" щодо звітування про побічні реакції.</w:t>
            </w:r>
            <w:r w:rsidRPr="00C65DFF">
              <w:rPr>
                <w:rFonts w:ascii="Arial" w:hAnsi="Arial" w:cs="Arial"/>
                <w:color w:val="000000"/>
                <w:sz w:val="16"/>
                <w:szCs w:val="16"/>
              </w:rPr>
              <w:br/>
            </w:r>
            <w:r w:rsidRPr="00C65DFF">
              <w:rPr>
                <w:rFonts w:ascii="Arial" w:hAnsi="Arial" w:cs="Arial"/>
                <w:color w:val="000000"/>
                <w:sz w:val="16"/>
                <w:szCs w:val="16"/>
              </w:rPr>
              <w:br/>
              <w:t>Резюме плану управління ризиками версія 1.0 додається.</w:t>
            </w:r>
            <w:r w:rsidRPr="00C65DF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sz w:val="16"/>
                <w:szCs w:val="16"/>
              </w:rPr>
            </w:pPr>
            <w:r w:rsidRPr="00C65DFF">
              <w:rPr>
                <w:rFonts w:ascii="Arial" w:hAnsi="Arial" w:cs="Arial"/>
                <w:sz w:val="16"/>
                <w:szCs w:val="16"/>
              </w:rPr>
              <w:t>UA/17697/01/03</w:t>
            </w:r>
          </w:p>
        </w:tc>
      </w:tr>
      <w:tr w:rsidR="00480E42" w:rsidRPr="00C65DFF" w:rsidTr="00E45030">
        <w:tc>
          <w:tcPr>
            <w:tcW w:w="568"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480E42">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E45030">
            <w:pPr>
              <w:pStyle w:val="110"/>
              <w:tabs>
                <w:tab w:val="left" w:pos="12600"/>
              </w:tabs>
              <w:rPr>
                <w:rFonts w:ascii="Arial" w:hAnsi="Arial" w:cs="Arial"/>
                <w:b/>
                <w:i/>
                <w:color w:val="000000"/>
                <w:sz w:val="16"/>
                <w:szCs w:val="16"/>
              </w:rPr>
            </w:pPr>
            <w:r w:rsidRPr="00C65DFF">
              <w:rPr>
                <w:rFonts w:ascii="Arial" w:hAnsi="Arial" w:cs="Arial"/>
                <w:b/>
                <w:sz w:val="16"/>
                <w:szCs w:val="16"/>
              </w:rPr>
              <w:t>ТАДАФІЛ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10 мг, по 2 або по 4 таблетки у блістері, по 1 блістеру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ГЕТЕРО ЛАБЗ ЛІМІТЕД</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ГЕТЕРО ЛАБЗ ЛІМІТЕД</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перереєстрація на необмежений термін</w:t>
            </w:r>
            <w:r w:rsidRPr="00C65DFF">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(CІАЛІС®, таблетки, вкриті плівковою оболонкою), а також оновлено інформацію в інструкції для медичного застосування лікарського засобу в розділі "Побічні реакції" щодо звітування про побічні реакції.</w:t>
            </w:r>
            <w:r w:rsidRPr="00C65DFF">
              <w:rPr>
                <w:rFonts w:ascii="Arial" w:hAnsi="Arial" w:cs="Arial"/>
                <w:color w:val="000000"/>
                <w:sz w:val="16"/>
                <w:szCs w:val="16"/>
              </w:rPr>
              <w:br/>
            </w:r>
            <w:r w:rsidRPr="00C65DFF">
              <w:rPr>
                <w:rFonts w:ascii="Arial" w:hAnsi="Arial" w:cs="Arial"/>
                <w:color w:val="000000"/>
                <w:sz w:val="16"/>
                <w:szCs w:val="16"/>
              </w:rPr>
              <w:br/>
              <w:t>Резюме плану управління ризиками версія 1.0 додається.</w:t>
            </w:r>
            <w:r w:rsidRPr="00C65DF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sz w:val="16"/>
                <w:szCs w:val="16"/>
              </w:rPr>
            </w:pPr>
            <w:r w:rsidRPr="00C65DFF">
              <w:rPr>
                <w:rFonts w:ascii="Arial" w:hAnsi="Arial" w:cs="Arial"/>
                <w:sz w:val="16"/>
                <w:szCs w:val="16"/>
              </w:rPr>
              <w:t>UA/17697/01/01</w:t>
            </w:r>
          </w:p>
        </w:tc>
      </w:tr>
      <w:tr w:rsidR="00480E42" w:rsidRPr="00C65DFF" w:rsidTr="00E45030">
        <w:tc>
          <w:tcPr>
            <w:tcW w:w="568"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480E42">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80E42" w:rsidRPr="00C65DFF" w:rsidRDefault="00480E42" w:rsidP="00E45030">
            <w:pPr>
              <w:pStyle w:val="110"/>
              <w:tabs>
                <w:tab w:val="left" w:pos="12600"/>
              </w:tabs>
              <w:rPr>
                <w:rFonts w:ascii="Arial" w:hAnsi="Arial" w:cs="Arial"/>
                <w:b/>
                <w:i/>
                <w:color w:val="000000"/>
                <w:sz w:val="16"/>
                <w:szCs w:val="16"/>
              </w:rPr>
            </w:pPr>
            <w:r w:rsidRPr="00C65DFF">
              <w:rPr>
                <w:rFonts w:ascii="Arial" w:hAnsi="Arial" w:cs="Arial"/>
                <w:b/>
                <w:sz w:val="16"/>
                <w:szCs w:val="16"/>
              </w:rPr>
              <w:t>ТАДАФІЛ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20 мг, по 2 або по 4 таблетки у блістері, по 1 блістеру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ГЕТЕРО ЛАБЗ ЛІМІТЕД</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ГЕТЕРО ЛАБЗ ЛІМІТЕД</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перереєстрація на необмежений термін</w:t>
            </w:r>
            <w:r w:rsidRPr="00C65DFF">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(CІАЛІС®, таблетки, вкриті плівковою оболонкою), а також оновлено інформацію в інструкції для медичного застосування лікарського засобу в розділі "Побічні реакції" щодо звітування про побічні реакції.</w:t>
            </w:r>
            <w:r w:rsidRPr="00C65DFF">
              <w:rPr>
                <w:rFonts w:ascii="Arial" w:hAnsi="Arial" w:cs="Arial"/>
                <w:color w:val="000000"/>
                <w:sz w:val="16"/>
                <w:szCs w:val="16"/>
              </w:rPr>
              <w:br/>
            </w:r>
            <w:r w:rsidRPr="00C65DFF">
              <w:rPr>
                <w:rFonts w:ascii="Arial" w:hAnsi="Arial" w:cs="Arial"/>
                <w:color w:val="000000"/>
                <w:sz w:val="16"/>
                <w:szCs w:val="16"/>
              </w:rPr>
              <w:br/>
              <w:t>Резюме плану управління ризиками версія 1.0 додається.</w:t>
            </w:r>
            <w:r w:rsidRPr="00C65DF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80E42" w:rsidRPr="00C65DFF" w:rsidRDefault="00480E42" w:rsidP="00E45030">
            <w:pPr>
              <w:pStyle w:val="110"/>
              <w:tabs>
                <w:tab w:val="left" w:pos="12600"/>
              </w:tabs>
              <w:jc w:val="center"/>
              <w:rPr>
                <w:rFonts w:ascii="Arial" w:hAnsi="Arial" w:cs="Arial"/>
                <w:sz w:val="16"/>
                <w:szCs w:val="16"/>
              </w:rPr>
            </w:pPr>
            <w:r w:rsidRPr="00C65DFF">
              <w:rPr>
                <w:rFonts w:ascii="Arial" w:hAnsi="Arial" w:cs="Arial"/>
                <w:sz w:val="16"/>
                <w:szCs w:val="16"/>
              </w:rPr>
              <w:t>UA/17697/01/02</w:t>
            </w:r>
          </w:p>
        </w:tc>
      </w:tr>
    </w:tbl>
    <w:p w:rsidR="00480E42" w:rsidRPr="00C65DFF" w:rsidRDefault="00480E42" w:rsidP="00480E42">
      <w:pPr>
        <w:ind w:right="20"/>
        <w:rPr>
          <w:rFonts w:ascii="Arial" w:hAnsi="Arial" w:cs="Arial"/>
          <w:b/>
          <w:i/>
          <w:sz w:val="18"/>
          <w:szCs w:val="18"/>
        </w:rPr>
      </w:pPr>
    </w:p>
    <w:p w:rsidR="00480E42" w:rsidRPr="00C65DFF" w:rsidRDefault="00480E42" w:rsidP="00480E42">
      <w:pPr>
        <w:ind w:right="20"/>
        <w:rPr>
          <w:rStyle w:val="cs7864ebcf1"/>
          <w:rFonts w:ascii="Arial" w:hAnsi="Arial" w:cs="Arial"/>
          <w:color w:val="auto"/>
          <w:sz w:val="18"/>
          <w:szCs w:val="18"/>
        </w:rPr>
      </w:pPr>
    </w:p>
    <w:p w:rsidR="00480E42" w:rsidRPr="00C65DFF" w:rsidRDefault="00480E42" w:rsidP="00480E42">
      <w:pPr>
        <w:ind w:right="20"/>
        <w:rPr>
          <w:rStyle w:val="cs7864ebcf1"/>
          <w:rFonts w:ascii="Arial" w:hAnsi="Arial" w:cs="Arial"/>
          <w:color w:val="auto"/>
          <w:sz w:val="18"/>
          <w:szCs w:val="18"/>
        </w:rPr>
      </w:pPr>
    </w:p>
    <w:p w:rsidR="00480E42" w:rsidRPr="00C65DFF" w:rsidRDefault="00480E42" w:rsidP="00480E42">
      <w:pPr>
        <w:ind w:right="20"/>
        <w:rPr>
          <w:rStyle w:val="cs7864ebcf1"/>
          <w:rFonts w:ascii="Arial" w:hAnsi="Arial" w:cs="Arial"/>
          <w:color w:val="auto"/>
          <w:sz w:val="18"/>
          <w:szCs w:val="18"/>
        </w:rPr>
      </w:pPr>
    </w:p>
    <w:p w:rsidR="00480E42" w:rsidRDefault="00480E42" w:rsidP="00480E42">
      <w:pPr>
        <w:ind w:right="20"/>
        <w:rPr>
          <w:rStyle w:val="cs7864ebcf1"/>
          <w:color w:val="auto"/>
          <w:sz w:val="28"/>
          <w:szCs w:val="28"/>
        </w:rPr>
      </w:pPr>
      <w:r>
        <w:rPr>
          <w:rStyle w:val="cs7864ebcf1"/>
          <w:color w:val="auto"/>
          <w:sz w:val="28"/>
          <w:szCs w:val="28"/>
        </w:rPr>
        <w:t>В.о. начальника</w:t>
      </w:r>
    </w:p>
    <w:p w:rsidR="00480E42" w:rsidRPr="004338ED" w:rsidRDefault="00480E42" w:rsidP="00480E42">
      <w:pPr>
        <w:ind w:right="20"/>
        <w:rPr>
          <w:rStyle w:val="cs7864ebcf1"/>
          <w:color w:val="auto"/>
          <w:sz w:val="28"/>
          <w:szCs w:val="28"/>
        </w:rPr>
      </w:pPr>
      <w:r>
        <w:rPr>
          <w:rStyle w:val="cs7864ebcf1"/>
          <w:color w:val="auto"/>
          <w:sz w:val="28"/>
          <w:szCs w:val="28"/>
        </w:rPr>
        <w:t>Фармацевтичного управління                                                                                                           Олександр ГРІЦЕНКО</w:t>
      </w:r>
    </w:p>
    <w:p w:rsidR="00480E42" w:rsidRDefault="00480E42" w:rsidP="00FC73F7">
      <w:pPr>
        <w:pStyle w:val="31"/>
        <w:spacing w:after="0"/>
        <w:ind w:left="0"/>
        <w:rPr>
          <w:b/>
          <w:sz w:val="28"/>
          <w:szCs w:val="28"/>
          <w:lang w:val="uk-UA"/>
        </w:rPr>
        <w:sectPr w:rsidR="00480E42" w:rsidSect="00E45030">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4E3439" w:rsidRPr="00C65DFF" w:rsidTr="00E45030">
        <w:tc>
          <w:tcPr>
            <w:tcW w:w="3828" w:type="dxa"/>
          </w:tcPr>
          <w:p w:rsidR="004E3439" w:rsidRPr="00021C98" w:rsidRDefault="004E3439" w:rsidP="004C098D">
            <w:pPr>
              <w:keepNext/>
              <w:tabs>
                <w:tab w:val="left" w:pos="12600"/>
              </w:tabs>
              <w:outlineLvl w:val="3"/>
              <w:rPr>
                <w:b/>
                <w:iCs/>
                <w:sz w:val="18"/>
                <w:szCs w:val="18"/>
              </w:rPr>
            </w:pPr>
            <w:r w:rsidRPr="00021C98">
              <w:rPr>
                <w:b/>
                <w:iCs/>
                <w:sz w:val="18"/>
                <w:szCs w:val="18"/>
              </w:rPr>
              <w:t>Додаток 3</w:t>
            </w:r>
          </w:p>
          <w:p w:rsidR="004E3439" w:rsidRPr="00021C98" w:rsidRDefault="004E3439" w:rsidP="004C098D">
            <w:pPr>
              <w:pStyle w:val="4"/>
              <w:tabs>
                <w:tab w:val="left" w:pos="12600"/>
              </w:tabs>
              <w:spacing w:before="0" w:after="0"/>
              <w:rPr>
                <w:iCs/>
                <w:sz w:val="18"/>
                <w:szCs w:val="18"/>
              </w:rPr>
            </w:pPr>
            <w:r w:rsidRPr="00021C98">
              <w:rPr>
                <w:iCs/>
                <w:sz w:val="18"/>
                <w:szCs w:val="18"/>
              </w:rPr>
              <w:t>до наказу Міністерства охорони</w:t>
            </w:r>
          </w:p>
          <w:p w:rsidR="004E3439" w:rsidRPr="00021C98" w:rsidRDefault="004E3439" w:rsidP="004C098D">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4E3439" w:rsidRPr="00BD4A4F" w:rsidRDefault="004E3439" w:rsidP="004C098D">
            <w:pPr>
              <w:tabs>
                <w:tab w:val="left" w:pos="12600"/>
              </w:tabs>
              <w:rPr>
                <w:rFonts w:ascii="Arial" w:hAnsi="Arial" w:cs="Arial"/>
                <w:b/>
                <w:sz w:val="16"/>
                <w:szCs w:val="16"/>
                <w:u w:val="single"/>
              </w:rPr>
            </w:pPr>
            <w:r w:rsidRPr="00BD4A4F">
              <w:rPr>
                <w:b/>
                <w:sz w:val="18"/>
                <w:szCs w:val="18"/>
                <w:u w:val="single"/>
              </w:rPr>
              <w:t>від 02 грудня 2024 року № 1996</w:t>
            </w:r>
          </w:p>
        </w:tc>
      </w:tr>
    </w:tbl>
    <w:p w:rsidR="004E3439" w:rsidRPr="00C65DFF" w:rsidRDefault="004E3439" w:rsidP="004E3439">
      <w:pPr>
        <w:tabs>
          <w:tab w:val="left" w:pos="12600"/>
        </w:tabs>
        <w:jc w:val="center"/>
        <w:rPr>
          <w:rFonts w:ascii="Arial" w:hAnsi="Arial" w:cs="Arial"/>
          <w:sz w:val="16"/>
          <w:szCs w:val="16"/>
          <w:u w:val="single"/>
        </w:rPr>
      </w:pPr>
    </w:p>
    <w:p w:rsidR="004E3439" w:rsidRPr="00C65DFF" w:rsidRDefault="004E3439" w:rsidP="004E3439">
      <w:pPr>
        <w:keepNext/>
        <w:jc w:val="center"/>
        <w:outlineLvl w:val="1"/>
        <w:rPr>
          <w:rFonts w:ascii="Arial" w:hAnsi="Arial" w:cs="Arial"/>
          <w:b/>
          <w:caps/>
        </w:rPr>
      </w:pPr>
    </w:p>
    <w:p w:rsidR="004E3439" w:rsidRPr="004B381D" w:rsidRDefault="004E3439" w:rsidP="004E3439">
      <w:pPr>
        <w:pStyle w:val="3a"/>
        <w:jc w:val="center"/>
        <w:rPr>
          <w:b/>
          <w:caps/>
          <w:sz w:val="28"/>
          <w:szCs w:val="28"/>
          <w:lang w:eastAsia="uk-UA"/>
        </w:rPr>
      </w:pPr>
      <w:r w:rsidRPr="004B381D">
        <w:rPr>
          <w:b/>
          <w:caps/>
          <w:sz w:val="28"/>
          <w:szCs w:val="28"/>
          <w:lang w:eastAsia="uk-UA"/>
        </w:rPr>
        <w:t>ПЕРЕЛІК</w:t>
      </w:r>
    </w:p>
    <w:p w:rsidR="004E3439" w:rsidRPr="00CF3FCD" w:rsidRDefault="004E3439" w:rsidP="004E3439">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4E3439" w:rsidRPr="00C65DFF" w:rsidRDefault="004E3439" w:rsidP="004E3439">
      <w:pPr>
        <w:pStyle w:val="11"/>
        <w:rPr>
          <w:rFonts w:ascii="Arial" w:hAnsi="Arial" w:cs="Arial"/>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9"/>
        <w:gridCol w:w="1701"/>
        <w:gridCol w:w="1276"/>
        <w:gridCol w:w="992"/>
        <w:gridCol w:w="1560"/>
        <w:gridCol w:w="1134"/>
        <w:gridCol w:w="3543"/>
        <w:gridCol w:w="1134"/>
        <w:gridCol w:w="851"/>
        <w:gridCol w:w="1559"/>
      </w:tblGrid>
      <w:tr w:rsidR="004E3439" w:rsidRPr="00C65DFF" w:rsidTr="00E45030">
        <w:trPr>
          <w:tblHeader/>
        </w:trPr>
        <w:tc>
          <w:tcPr>
            <w:tcW w:w="566" w:type="dxa"/>
            <w:tcBorders>
              <w:top w:val="single" w:sz="4" w:space="0" w:color="000000"/>
            </w:tcBorders>
            <w:shd w:val="clear" w:color="auto" w:fill="D9D9D9"/>
          </w:tcPr>
          <w:p w:rsidR="004E3439" w:rsidRPr="00C65DFF" w:rsidRDefault="004E3439" w:rsidP="00E45030">
            <w:pPr>
              <w:tabs>
                <w:tab w:val="left" w:pos="12600"/>
              </w:tabs>
              <w:jc w:val="center"/>
              <w:rPr>
                <w:rFonts w:ascii="Arial" w:hAnsi="Arial" w:cs="Arial"/>
                <w:b/>
                <w:i/>
                <w:sz w:val="16"/>
                <w:szCs w:val="16"/>
              </w:rPr>
            </w:pPr>
            <w:r w:rsidRPr="00C65DFF">
              <w:rPr>
                <w:rFonts w:ascii="Arial" w:hAnsi="Arial" w:cs="Arial"/>
                <w:b/>
                <w:i/>
                <w:sz w:val="16"/>
                <w:szCs w:val="16"/>
              </w:rPr>
              <w:t>№ п/п</w:t>
            </w:r>
          </w:p>
        </w:tc>
        <w:tc>
          <w:tcPr>
            <w:tcW w:w="1419" w:type="dxa"/>
            <w:tcBorders>
              <w:top w:val="single" w:sz="4" w:space="0" w:color="000000"/>
            </w:tcBorders>
            <w:shd w:val="clear" w:color="auto" w:fill="D9D9D9"/>
          </w:tcPr>
          <w:p w:rsidR="004E3439" w:rsidRPr="00C65DFF" w:rsidRDefault="004E3439" w:rsidP="00E45030">
            <w:pPr>
              <w:tabs>
                <w:tab w:val="left" w:pos="12600"/>
              </w:tabs>
              <w:jc w:val="center"/>
              <w:rPr>
                <w:rFonts w:ascii="Arial" w:hAnsi="Arial" w:cs="Arial"/>
                <w:b/>
                <w:i/>
                <w:sz w:val="16"/>
                <w:szCs w:val="16"/>
              </w:rPr>
            </w:pPr>
            <w:r w:rsidRPr="00C65DFF">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E3439" w:rsidRPr="00C65DFF" w:rsidRDefault="004E3439" w:rsidP="00E45030">
            <w:pPr>
              <w:tabs>
                <w:tab w:val="left" w:pos="12600"/>
              </w:tabs>
              <w:jc w:val="center"/>
              <w:rPr>
                <w:rFonts w:ascii="Arial" w:hAnsi="Arial" w:cs="Arial"/>
                <w:b/>
                <w:i/>
                <w:sz w:val="16"/>
                <w:szCs w:val="16"/>
              </w:rPr>
            </w:pPr>
            <w:r w:rsidRPr="00C65DFF">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4E3439" w:rsidRPr="00C65DFF" w:rsidRDefault="004E3439" w:rsidP="00E45030">
            <w:pPr>
              <w:tabs>
                <w:tab w:val="left" w:pos="12600"/>
              </w:tabs>
              <w:jc w:val="center"/>
              <w:rPr>
                <w:rFonts w:ascii="Arial" w:hAnsi="Arial" w:cs="Arial"/>
                <w:b/>
                <w:i/>
                <w:sz w:val="16"/>
                <w:szCs w:val="16"/>
              </w:rPr>
            </w:pPr>
            <w:r w:rsidRPr="00C65DFF">
              <w:rPr>
                <w:rFonts w:ascii="Arial" w:hAnsi="Arial" w:cs="Arial"/>
                <w:b/>
                <w:i/>
                <w:sz w:val="16"/>
                <w:szCs w:val="16"/>
              </w:rPr>
              <w:t>Заявник</w:t>
            </w:r>
          </w:p>
        </w:tc>
        <w:tc>
          <w:tcPr>
            <w:tcW w:w="992" w:type="dxa"/>
            <w:tcBorders>
              <w:top w:val="single" w:sz="4" w:space="0" w:color="000000"/>
            </w:tcBorders>
            <w:shd w:val="clear" w:color="auto" w:fill="D9D9D9"/>
          </w:tcPr>
          <w:p w:rsidR="004E3439" w:rsidRPr="00C65DFF" w:rsidRDefault="004E3439" w:rsidP="00E45030">
            <w:pPr>
              <w:tabs>
                <w:tab w:val="left" w:pos="12600"/>
              </w:tabs>
              <w:jc w:val="center"/>
              <w:rPr>
                <w:rFonts w:ascii="Arial" w:hAnsi="Arial" w:cs="Arial"/>
                <w:b/>
                <w:i/>
                <w:sz w:val="16"/>
                <w:szCs w:val="16"/>
              </w:rPr>
            </w:pPr>
            <w:r w:rsidRPr="00C65DFF">
              <w:rPr>
                <w:rFonts w:ascii="Arial" w:hAnsi="Arial" w:cs="Arial"/>
                <w:b/>
                <w:i/>
                <w:sz w:val="16"/>
                <w:szCs w:val="16"/>
              </w:rPr>
              <w:t>Країна заявника</w:t>
            </w:r>
          </w:p>
        </w:tc>
        <w:tc>
          <w:tcPr>
            <w:tcW w:w="1560" w:type="dxa"/>
            <w:tcBorders>
              <w:top w:val="single" w:sz="4" w:space="0" w:color="000000"/>
            </w:tcBorders>
            <w:shd w:val="clear" w:color="auto" w:fill="D9D9D9"/>
          </w:tcPr>
          <w:p w:rsidR="004E3439" w:rsidRPr="00C65DFF" w:rsidRDefault="004E3439" w:rsidP="00E45030">
            <w:pPr>
              <w:tabs>
                <w:tab w:val="left" w:pos="12600"/>
              </w:tabs>
              <w:jc w:val="center"/>
              <w:rPr>
                <w:rFonts w:ascii="Arial" w:hAnsi="Arial" w:cs="Arial"/>
                <w:b/>
                <w:i/>
                <w:sz w:val="16"/>
                <w:szCs w:val="16"/>
              </w:rPr>
            </w:pPr>
            <w:r w:rsidRPr="00C65DFF">
              <w:rPr>
                <w:rFonts w:ascii="Arial" w:hAnsi="Arial" w:cs="Arial"/>
                <w:b/>
                <w:i/>
                <w:sz w:val="16"/>
                <w:szCs w:val="16"/>
              </w:rPr>
              <w:t>Виробник</w:t>
            </w:r>
          </w:p>
        </w:tc>
        <w:tc>
          <w:tcPr>
            <w:tcW w:w="1134" w:type="dxa"/>
            <w:tcBorders>
              <w:top w:val="single" w:sz="4" w:space="0" w:color="000000"/>
            </w:tcBorders>
            <w:shd w:val="clear" w:color="auto" w:fill="D9D9D9"/>
          </w:tcPr>
          <w:p w:rsidR="004E3439" w:rsidRPr="00C65DFF" w:rsidRDefault="004E3439" w:rsidP="00E45030">
            <w:pPr>
              <w:tabs>
                <w:tab w:val="left" w:pos="12600"/>
              </w:tabs>
              <w:jc w:val="center"/>
              <w:rPr>
                <w:rFonts w:ascii="Arial" w:hAnsi="Arial" w:cs="Arial"/>
                <w:b/>
                <w:i/>
                <w:sz w:val="16"/>
                <w:szCs w:val="16"/>
              </w:rPr>
            </w:pPr>
            <w:r w:rsidRPr="00C65DFF">
              <w:rPr>
                <w:rFonts w:ascii="Arial" w:hAnsi="Arial" w:cs="Arial"/>
                <w:b/>
                <w:i/>
                <w:sz w:val="16"/>
                <w:szCs w:val="16"/>
              </w:rPr>
              <w:t>Країна виробника</w:t>
            </w:r>
          </w:p>
        </w:tc>
        <w:tc>
          <w:tcPr>
            <w:tcW w:w="3543" w:type="dxa"/>
            <w:tcBorders>
              <w:top w:val="single" w:sz="4" w:space="0" w:color="000000"/>
            </w:tcBorders>
            <w:shd w:val="clear" w:color="auto" w:fill="D9D9D9"/>
          </w:tcPr>
          <w:p w:rsidR="004E3439" w:rsidRPr="00C65DFF" w:rsidRDefault="004E3439" w:rsidP="00E45030">
            <w:pPr>
              <w:tabs>
                <w:tab w:val="left" w:pos="12600"/>
              </w:tabs>
              <w:jc w:val="center"/>
              <w:rPr>
                <w:rFonts w:ascii="Arial" w:hAnsi="Arial" w:cs="Arial"/>
                <w:b/>
                <w:i/>
                <w:sz w:val="16"/>
                <w:szCs w:val="16"/>
              </w:rPr>
            </w:pPr>
            <w:r w:rsidRPr="00C65DFF">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E3439" w:rsidRPr="00C65DFF" w:rsidRDefault="004E3439" w:rsidP="00E45030">
            <w:pPr>
              <w:tabs>
                <w:tab w:val="left" w:pos="12600"/>
              </w:tabs>
              <w:jc w:val="center"/>
              <w:rPr>
                <w:rFonts w:ascii="Arial" w:hAnsi="Arial" w:cs="Arial"/>
                <w:b/>
                <w:i/>
                <w:sz w:val="16"/>
                <w:szCs w:val="16"/>
              </w:rPr>
            </w:pPr>
            <w:r w:rsidRPr="00C65DFF">
              <w:rPr>
                <w:rFonts w:ascii="Arial" w:hAnsi="Arial" w:cs="Arial"/>
                <w:b/>
                <w:i/>
                <w:sz w:val="16"/>
                <w:szCs w:val="16"/>
              </w:rPr>
              <w:t>Умови відпуску</w:t>
            </w:r>
          </w:p>
        </w:tc>
        <w:tc>
          <w:tcPr>
            <w:tcW w:w="851" w:type="dxa"/>
            <w:tcBorders>
              <w:top w:val="single" w:sz="4" w:space="0" w:color="000000"/>
            </w:tcBorders>
            <w:shd w:val="clear" w:color="auto" w:fill="D9D9D9"/>
          </w:tcPr>
          <w:p w:rsidR="004E3439" w:rsidRPr="00C65DFF" w:rsidRDefault="004E3439" w:rsidP="00E45030">
            <w:pPr>
              <w:tabs>
                <w:tab w:val="left" w:pos="12600"/>
              </w:tabs>
              <w:jc w:val="center"/>
              <w:rPr>
                <w:rFonts w:ascii="Arial" w:hAnsi="Arial" w:cs="Arial"/>
                <w:b/>
                <w:i/>
                <w:sz w:val="16"/>
                <w:szCs w:val="16"/>
              </w:rPr>
            </w:pPr>
            <w:r w:rsidRPr="00C65DFF">
              <w:rPr>
                <w:rFonts w:ascii="Arial" w:hAnsi="Arial" w:cs="Arial"/>
                <w:b/>
                <w:i/>
                <w:sz w:val="16"/>
                <w:szCs w:val="16"/>
              </w:rPr>
              <w:t>Рекламування</w:t>
            </w:r>
          </w:p>
        </w:tc>
        <w:tc>
          <w:tcPr>
            <w:tcW w:w="1559" w:type="dxa"/>
            <w:tcBorders>
              <w:top w:val="single" w:sz="4" w:space="0" w:color="000000"/>
            </w:tcBorders>
            <w:shd w:val="clear" w:color="auto" w:fill="D9D9D9"/>
          </w:tcPr>
          <w:p w:rsidR="004E3439" w:rsidRPr="00C65DFF" w:rsidRDefault="004E3439" w:rsidP="00E45030">
            <w:pPr>
              <w:tabs>
                <w:tab w:val="left" w:pos="12600"/>
              </w:tabs>
              <w:jc w:val="center"/>
              <w:rPr>
                <w:rFonts w:ascii="Arial" w:hAnsi="Arial" w:cs="Arial"/>
                <w:b/>
                <w:i/>
                <w:sz w:val="16"/>
                <w:szCs w:val="16"/>
              </w:rPr>
            </w:pPr>
            <w:r w:rsidRPr="00C65DFF">
              <w:rPr>
                <w:rFonts w:ascii="Arial" w:hAnsi="Arial" w:cs="Arial"/>
                <w:b/>
                <w:i/>
                <w:sz w:val="16"/>
                <w:szCs w:val="16"/>
              </w:rPr>
              <w:t>Номер реєстраційного посвідчення</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АЗАЦИТИДИН-ВІСТА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ліофілізат для розчину для ін'єкцій по 100 мг; 1 флакон (20 мл)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Нанг Куанг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Тайвань</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аналітичних методиках за показником «Кількісне визначення» в МКЯ ГЛЗ, а саме: в умовах хроматографування помилково значено «Температура зразка: 10оС», замість «Температура колонки: 10оС». Виправлення технічної помилки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UA/18117/01/01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АКТРАПІД® НМ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100 МО/мл; по 3 мл у картриджі; по 1 картриджу у багатодозовій одноразовій шприц-ручці; по 1 або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Данiя/ Франція/ Бразилія/ Китайська Народна Республіка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w:t>
            </w:r>
            <w:r w:rsidRPr="00C65DFF">
              <w:rPr>
                <w:rFonts w:ascii="Arial" w:hAnsi="Arial" w:cs="Arial"/>
                <w:color w:val="000000"/>
                <w:sz w:val="16"/>
                <w:szCs w:val="16"/>
              </w:rPr>
              <w:br/>
              <w:t>Оновлення МКЯ для лікарського засобу, а саме - викладення тексту державною мовою, згідно сучасних вимог. МКЯ, включаючи розділи «Специфікація» та «Методи контролю» перекладені українською мовою, що узгоджені із специфікацією заявника-виробника, але суть затвердженого тексту не змінюється. Зміни до специфікації заявника-виробника не вносились.</w:t>
            </w:r>
            <w:r w:rsidRPr="00C65DFF">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UA/17171/01/01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АЛЕРГОКОРТ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мазь, 1 мг/г по 15 г у тубі; по 1 тубі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w:t>
            </w:r>
            <w:r w:rsidRPr="00C65DFF">
              <w:rPr>
                <w:rFonts w:ascii="Arial" w:hAnsi="Arial" w:cs="Arial"/>
                <w:color w:val="000000"/>
                <w:sz w:val="16"/>
                <w:szCs w:val="16"/>
              </w:rPr>
              <w:br/>
              <w:t>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(Фторокорт®, мазь, 1 мг/г). </w:t>
            </w:r>
            <w:r w:rsidRPr="00C65DFF">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UA/16036/01/01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АЛЬМІНДА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60 мг, по 14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таблеток, випробування, пакування лікарського засобу, випуск серії: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Швеція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"Спосіб застосування та дози" відповідно до матеріалів реєстраційного досьє, а також внесені редакційні правки тексту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UA/20307/01/01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АЛЬМІНДА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90 мг, по 14 таблеток у блістері; по 1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таблеток, випробування, пакування лікарського засобу, випуск серії: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Швеція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"Спосіб застосування та дози" відповідно до матеріалів реєстраційного досьє, а також внесені редакційні правки тексту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UA/20307/01/02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sz w:val="16"/>
                <w:szCs w:val="16"/>
              </w:rPr>
            </w:pPr>
            <w:r w:rsidRPr="00C65DFF">
              <w:rPr>
                <w:rFonts w:ascii="Arial" w:hAnsi="Arial" w:cs="Arial"/>
                <w:b/>
                <w:sz w:val="16"/>
                <w:szCs w:val="16"/>
              </w:rPr>
              <w:t>АМАНТИН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100 мг; по 10 таблеток у блістері; по 3 або по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w:t>
            </w:r>
            <w:r w:rsidRPr="00C65DFF">
              <w:rPr>
                <w:rFonts w:ascii="Arial" w:hAnsi="Arial" w:cs="Arial"/>
                <w:b/>
                <w:color w:val="000000"/>
                <w:sz w:val="16"/>
                <w:szCs w:val="16"/>
              </w:rPr>
              <w:t>уточнення реєстраційної процедури в наказі МОЗ України № 1828 від 31.10.2024</w:t>
            </w:r>
            <w:r w:rsidRPr="00C65DFF">
              <w:rPr>
                <w:rFonts w:ascii="Arial" w:hAnsi="Arial" w:cs="Arial"/>
                <w:color w:val="000000"/>
                <w:sz w:val="16"/>
                <w:szCs w:val="16"/>
              </w:rPr>
              <w:t xml:space="preserve"> - Зміни І типу - Зміни з якості. Готовий лікарський засіб. Зміни у виробництві (інші зміни) - внесення змін до реєстраційного досьє, а саме зміна періодичності рутинного контролю показників для грануляту каліброваного та маси для таблетування. Затверджено: Рутинний контроль показників для грануляту каліброваного та маси для таблетування: гранулометричний склад, текучість, насипна густина, здатність до усадки, густина після усадки на кожної серії. Запропоновано: Рутинний контроль показників для грануляту каліброваного та маси для таблетування: гранулометричний склад, текучість, насипна густина, здатність до усадки, густина після усадки в режимі моніторингу не рідше, ніж на кожній 10-й серії. Зміни І типу - Зміни з якості. Готовий лікарський засіб. Зміни у виробництві (інші зміни) - внесення змін до реєстраційного досьє, а саме зміна проведення контролю показників в рутині та на валідації для таблеток-ядер. Проведення контролю показників в рутині. Проведення контролю показників на валідації. </w:t>
            </w:r>
            <w:r w:rsidRPr="00C65DFF">
              <w:rPr>
                <w:rFonts w:ascii="Arial" w:hAnsi="Arial" w:cs="Arial"/>
                <w:b/>
                <w:color w:val="000000"/>
                <w:sz w:val="16"/>
                <w:szCs w:val="16"/>
              </w:rPr>
              <w:t>Зміни І типу - Зміни з якості. АФІ. Контроль АФІ (інші зміни) - оновлення DMF на АФІ Амантадину сульфат затвердженого виробника Moehs, Іспанія, а саме змінено з версії O-ADS-2107-s0021 на версію O-ADS-2210-s0027.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UA/6991/01/01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АМОКСИКЛАВ®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оральної суспензії (250 мг/62,5 мг в 5 мл), по 15,8 г порошку у флаконі (для 100 мл суспензії), по 1 флакону разом з мірною ложкою або мірним шприцем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Австрія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UA/7064/02/01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АМОКСИЦИЛІН-КЛАВУЛАНАТ-ВІСТА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розчину для ін'єкцій або інфузій по 1000 мг/200 мг у флаконі; по 10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Стерилізація діючої речовини, виробник проміжного продукту (стерильної суміші) для готового продукту: ЖУХАЙ ЮНАЙТЕД ЛАБОРАТОРІЗ КО, ЛТД, Китай; Імпортер проміжного продукту (стерильна суміш), виробник готової продукції, первинна та вторинна упаковка, контроль якості (хімічний/фізичний, біологічний та мікробіологічний: стерильність), випуск серії:</w:t>
            </w:r>
            <w:r w:rsidRPr="00C65DFF">
              <w:rPr>
                <w:rFonts w:ascii="Arial" w:hAnsi="Arial" w:cs="Arial"/>
                <w:color w:val="000000"/>
                <w:sz w:val="16"/>
                <w:szCs w:val="16"/>
              </w:rPr>
              <w:br/>
              <w:t>ЛАБОРАТОРІО РЕЙГ ЖОФРЕ,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Китай</w:t>
            </w:r>
            <w:r w:rsidRPr="00C65DFF">
              <w:rPr>
                <w:rFonts w:ascii="Arial" w:hAnsi="Arial" w:cs="Arial"/>
                <w:color w:val="000000"/>
                <w:sz w:val="16"/>
                <w:szCs w:val="16"/>
                <w:lang w:val="en-US"/>
              </w:rPr>
              <w:t>/</w:t>
            </w:r>
            <w:r w:rsidRPr="00C65DFF">
              <w:rPr>
                <w:rFonts w:ascii="Arial" w:hAnsi="Arial" w:cs="Arial"/>
                <w:color w:val="000000"/>
                <w:sz w:val="16"/>
                <w:szCs w:val="16"/>
              </w:rPr>
              <w:t xml:space="preserve"> 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2013-125 - Rev 02 від уже затвердженого виробника ZHUHAI UNITED LABORATORIES CO., LTD., China для АФІ амоксициліну натрію стерильного, що використовується у виробництві лікарського засобу Амоксицилін-Клавуланат-Віста, порошок для розчину для ін'єкцій або інфузій по 1000 мг/200 мг Діюча редакція: R1-CEP 2013-125 - Rev 01 - Пропонована редакція: R1-CEP 2013-125 - 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2013-125 - Rev 03 від уже затвердженого виробника ZHUHAI UNITED LABORATORIES CO., LTD., China для АФІ амоксициліну натрію стерильного, що використовується у виробництві лікарського засобу Амоксицилін-Клавуланат-Віста, порошок для розчину для ін'єкцій або інфузій по 1000 мг/200 мг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UA/20228/01/01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АРТИФЛЕКС УЛЬТРА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капсули по 10 капсул у блістері; по 6 або 12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65DFF">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діючих речовин згідно з рекомендацією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1.2.</w:t>
            </w:r>
            <w:r w:rsidRPr="00C65DFF">
              <w:rPr>
                <w:rFonts w:ascii="Arial" w:hAnsi="Arial" w:cs="Arial"/>
                <w:color w:val="000000"/>
                <w:sz w:val="16"/>
                <w:szCs w:val="16"/>
              </w:rPr>
              <w:br/>
              <w:t>Зміни внесено до частин: І «Загальна інформація» V «Заходи з мінімізації ризиків» VI «Резюме плану управління ризиками»</w:t>
            </w:r>
            <w:r w:rsidRPr="00C65DFF">
              <w:rPr>
                <w:rFonts w:ascii="Arial" w:hAnsi="Arial" w:cs="Arial"/>
                <w:color w:val="000000"/>
                <w:sz w:val="16"/>
                <w:szCs w:val="16"/>
              </w:rPr>
              <w:br/>
              <w:t>VII «Додатки» (додаток 2) у зв’язку з оновленням інформації з безпеки діючої речовини ібупрофен відповідно до рекомендацій PRAC, що є рутинним заходом з мінімізації ризиків. Резюме Плану управління ризиками версія 1.2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UA/12774/01/01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оральної суспензії (200 мг/28,5 мг в 5 мл); 1 флакон з порошком для приготування 70 мл суспензії з мірним ковпачком, або дозуючим шприцем, або з мірною ложечкою, в картонній коробці або з кришкою із захистом від відкриття дітьми разом з дозуючим шприцом або мірною ложкою,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СмітКляйн Бічем Фармасьютикалс, Велика Британiя; Глаксо Веллком Продакшн,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Велика Британiя</w:t>
            </w:r>
            <w:r w:rsidRPr="00C65DFF">
              <w:rPr>
                <w:rFonts w:ascii="Arial" w:hAnsi="Arial" w:cs="Arial"/>
                <w:color w:val="000000"/>
                <w:sz w:val="16"/>
                <w:szCs w:val="16"/>
                <w:lang w:val="en-US"/>
              </w:rPr>
              <w:t>/</w:t>
            </w:r>
            <w:r w:rsidRPr="00C65DFF">
              <w:rPr>
                <w:rFonts w:ascii="Arial" w:hAnsi="Arial" w:cs="Arial"/>
                <w:color w:val="000000"/>
                <w:sz w:val="16"/>
                <w:szCs w:val="16"/>
              </w:rPr>
              <w:t xml:space="preserve"> Францiя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C65DFF">
              <w:rPr>
                <w:rFonts w:ascii="Arial" w:hAnsi="Arial" w:cs="Arial"/>
                <w:color w:val="000000"/>
                <w:sz w:val="16"/>
                <w:szCs w:val="16"/>
              </w:rPr>
              <w:br/>
              <w:t xml:space="preserve">Додавання нового виробника Centrient Pharmaceuticals India Private Limited, Індія для діючої речовини амоксициліну тригідрату з наданням сертифіката відповідності Європейській фармакопеї CEP R1-CEP 2007-226 Rev 03. Також, внесення редакційних правок до адреси зареєстрованого виробника Beecham Pharmaceuticals, Singapore щоб адреса була узгоджена з зареєстрованим СЕР </w:t>
            </w:r>
            <w:r w:rsidRPr="00C65DFF">
              <w:rPr>
                <w:rFonts w:ascii="Arial" w:hAnsi="Arial" w:cs="Arial"/>
                <w:color w:val="000000"/>
                <w:sz w:val="16"/>
                <w:szCs w:val="16"/>
              </w:rPr>
              <w:br/>
              <w:t xml:space="preserve">Затверджено Beecham Pharmaceuticals (PTE) Ltd. 38 Quality Road Jurong Industrial Estate SGP- 618 809 Singapore. Запропоновано </w:t>
            </w:r>
            <w:r w:rsidRPr="00C65DFF">
              <w:rPr>
                <w:rFonts w:ascii="Arial" w:hAnsi="Arial" w:cs="Arial"/>
                <w:color w:val="000000"/>
                <w:sz w:val="16"/>
                <w:szCs w:val="16"/>
              </w:rPr>
              <w:br/>
              <w:t xml:space="preserve">Beecham Pharmaceuticals (Pte) Ltd. 38 Quality Road Jurong Industrial Estate Singapore- 618 809 Singapore or Centrient Pharmaceuticals India Private Limited Bhai Mohan Singh Nagar District Nawanshahr India – 144 533 Toansa, Punjab.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АФІ амоксициліну тригідрату новим показником якості (домішка К) з критерієм прийнятності «NGT 1.0%» та відповідним методом випробування, у зв’язку з введенням нового виробника АФІ Centrient Pharmaceuticals India Private Limited, Індія. Також, узгодження назви всіх відповідних домішок із монографією ЕР для амоксициліну тригідрату.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АФІ амоксициліну тригідрату новим показником якості (домішка L) з критерієм прийнятності «NGT 1.0%» та відповідним методом випробування, у зв’язку з введенням нового виробника АФІ Centrient Pharmaceuticals India Private Limited, Індія. Також, узгодження назви всіх відповідних домішок із монографією ЕР для амоксициліну тригідрату.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а саме- у р.3.2.Р.5.2 Визначення супутніх домішок амоксициліну методом ВЕРХ внесено відносний час утримання для домішок К та L. Метод проведення аналізу не змінився. Також, включення метил-(R)-аміно-(4-гідроксифеніл) ацетат (HPGME) і амоксицилін метилпеніцилоат до Таблиці 2 «Часи утримання» у р.3.2.Р.5.2. Внесення незначних оновлень в описі розрахунку супутніх домішок амоксициліну методом ВЕРХ, а саме- поліпшити читабельність представлених формул для розрахунків. Методика залишається без змін.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критеріїв прийнятності параметра специфікації «Характеристика суспензії» на «Суспензія від білого до жовтувато-коричневого кольору» для специфікацій на сухий порошок при випуску та в кінці терміну придатності, а також для специфікації на суспензію, у зв’язку з введенням нового виробника АФІ Centrient Pharmaceuticals India Private Limited, Індія.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UA/0987/05/01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оральної суспензії, 400 мг/57 мг в 5 мл, 1 флакон з порошком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СмітКляйн Бічем Фармасьютикалс, Велика Британiя; Глаксо Веллком Продакшн, Францi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Велика Британiя</w:t>
            </w:r>
            <w:r w:rsidRPr="00C65DFF">
              <w:rPr>
                <w:rFonts w:ascii="Arial" w:hAnsi="Arial" w:cs="Arial"/>
                <w:color w:val="000000"/>
                <w:sz w:val="16"/>
                <w:szCs w:val="16"/>
                <w:lang w:val="en-US"/>
              </w:rPr>
              <w:t>/</w:t>
            </w:r>
            <w:r w:rsidRPr="00C65DFF">
              <w:rPr>
                <w:rFonts w:ascii="Arial" w:hAnsi="Arial" w:cs="Arial"/>
                <w:color w:val="000000"/>
                <w:sz w:val="16"/>
                <w:szCs w:val="16"/>
              </w:rPr>
              <w:t xml:space="preserve"> Францi</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C65DFF">
              <w:rPr>
                <w:rFonts w:ascii="Arial" w:hAnsi="Arial" w:cs="Arial"/>
                <w:color w:val="000000"/>
                <w:sz w:val="16"/>
                <w:szCs w:val="16"/>
              </w:rPr>
              <w:br/>
              <w:t xml:space="preserve">Додавання нового виробника Centrient Pharmaceuticals India Private Limited, Індія для діючої речовини амоксициліну тригідрату з наданням сертифіката відповідності Європейській фармакопеї CEP R1-CEP 2007-226 Rev 03. Також, внесення редакційних правок до адреси зареєстрованого виробника Beecham Pharmaceuticals, Singapore щоб адреса була узгоджена з зареєстрованим СЕР </w:t>
            </w:r>
            <w:r w:rsidRPr="00C65DFF">
              <w:rPr>
                <w:rFonts w:ascii="Arial" w:hAnsi="Arial" w:cs="Arial"/>
                <w:color w:val="000000"/>
                <w:sz w:val="16"/>
                <w:szCs w:val="16"/>
              </w:rPr>
              <w:br/>
              <w:t xml:space="preserve">Затверджено - Beecham Pharmaceuticals (PTE) Ltd. 38 Quality Road Jurong Industrial Estate SGP- 618 809 Singapore </w:t>
            </w:r>
            <w:r w:rsidRPr="00C65DFF">
              <w:rPr>
                <w:rFonts w:ascii="Arial" w:hAnsi="Arial" w:cs="Arial"/>
                <w:color w:val="000000"/>
                <w:sz w:val="16"/>
                <w:szCs w:val="16"/>
              </w:rPr>
              <w:br/>
              <w:t xml:space="preserve">Запропоновано - Beecham Pharmaceuticals (Pte) Ltd. 38 Quality Road Jurong Industrial Estate Singapore- 618 809 Singapore or </w:t>
            </w:r>
            <w:r w:rsidRPr="00C65DFF">
              <w:rPr>
                <w:rFonts w:ascii="Arial" w:hAnsi="Arial" w:cs="Arial"/>
                <w:color w:val="000000"/>
                <w:sz w:val="16"/>
                <w:szCs w:val="16"/>
              </w:rPr>
              <w:br/>
              <w:t xml:space="preserve">Centrient Pharmaceuticals India Private Limited Bhai Mohan Singh Nagar District Nawanshahr </w:t>
            </w:r>
            <w:r w:rsidRPr="00C65DFF">
              <w:rPr>
                <w:rFonts w:ascii="Arial" w:hAnsi="Arial" w:cs="Arial"/>
                <w:color w:val="000000"/>
                <w:sz w:val="16"/>
                <w:szCs w:val="16"/>
              </w:rPr>
              <w:br/>
              <w:t>India – 144 533 Toansa, Punjab Введення змін протягом 6-ти місяців після затвердження.</w:t>
            </w:r>
            <w:r w:rsidRPr="00C65DFF">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АФІ амоксициліну тригідрату новим показником якості (домішка К) з критерієм прийнятності «NGT 1.0%» та відповідним методом випробування, у зв’язку з введенням нового виробника АФІ Centrient Pharmaceuticals India Private Limited, Індія. Також, узгодження назви всіх відповідних домішок із монографією ЕР для амоксициліну тригідрату.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АФІ амоксициліну тригідрату новим показником якості (домішка L) з критерієм прийнятності «NGT 1.0%» та відповідним методом випробування, у зв’язку з введенням нового виробника АФІ Centrient Pharmaceuticals India Private Limited, Індія. Також, узгодження назви всіх відповідних домішок із монографією ЕР для амоксициліну тригідрату.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а саме- у р.3.2.Р.5.2 Визначення супутніх домішок амоксициліну методом ВЕРХ внесено відносний час утримання для домішок К та L. Метод проведення аналізу не змінився. Також, включення метил-(R)-аміно-(4-гідроксифеніл) ацетат (HPGME) і амоксицилін метилпеніцилоат до Таблиці 2 «Часи утримання» у р.3.2.Р.5.2. Внесення незначних оновлень в описі розрахунку супутніх домішок амоксициліну методом ВЕРХ, а саме- поліпшити читабельність представлених формул для розрахунків. Методика залишається без змін.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критеріїв прийнятності параметра специфікації «Характеристика суспензії» на «Суспензія від білого до жовтувато-коричневого кольору» для специфікацій на сухий порошок при випуску та в кінці терміну придатності, а також для специфікації на суспензію, у зв’язку з введенням нового виробника АФІ Centrient Pharmaceuticals India Private Limited, Індія.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UA/0987/05/02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БЕРЕШ® МАГНІЙ ПЛЮС В6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ЗАТ "Береш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Угорщина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Угорщина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Затверджено: 250 кг (200000 таблеток). Запропоновано: 500 кг (400000 таблеток).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полягає у впровадженні нової системи гомогенізації.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C65DFF">
              <w:rPr>
                <w:rFonts w:ascii="Arial" w:hAnsi="Arial" w:cs="Arial"/>
                <w:color w:val="000000"/>
                <w:sz w:val="16"/>
                <w:szCs w:val="16"/>
              </w:rPr>
              <w:br/>
              <w:t xml:space="preserve">незначна зміна у процесі виробництва полягає у впровадженні змін в процесі нанесення плівкової оболонки.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UA/4516/01/01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БРІМОФТАЛ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краплі очні, розчин, 2 мг/мл, по 5 мл розчину у флаконі з поліетилену низької щільності з крапельницею та білою кришечкою з поліетилену високої щільності;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БРУСЧЕТТІНІ -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Італiя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Литва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R0- СЕР 2014-331-Rev 01 (попередня версія СЕР R0- СЕР 2014-331-Rev 00) для АФІ Бримонідину тартрату від вже затвердженого виробника Farmak A.S.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w:t>
            </w:r>
            <w:r w:rsidRPr="00C65DFF">
              <w:rPr>
                <w:rFonts w:ascii="Arial" w:hAnsi="Arial" w:cs="Arial"/>
                <w:color w:val="000000"/>
                <w:sz w:val="16"/>
                <w:szCs w:val="16"/>
              </w:rPr>
              <w:br/>
              <w:t>Вилучення in-house методу випробування PMSGC-54 для визначення залишкових розчинників, оскільки даний метод в основному використовувався для випробування параметру N,N-диметилформаміду, який був вилучений з СЕР, а також зі специфікації виробника АФІ. Цей метод також використовувався для інших залишкових розчинників (метанол, ацетон), але для цих розчинників також затверджені та використовуються інші методи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нового in-house методу випробування для визначення залишкових розчинників метанолу та ацетону (GC), оцтової кислоти (HPLC) та бензолу (HS-GC).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 СЕР 2014-331-Rev 00 (попередня версія СЕР R0- СЕР 2014-331-Rev 01) для АФІ Бримонідину тартрату від вже затвердженого виробника Farmak A.S., у зв’язку зі зміною аналітичної методики випробування кислоти оцтової з газової хроматографії на рідинну хроматографію.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UA/19259/01/01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БРОКСІНАК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краплі очні, 0,09% по 1,7 мл крапель у флаконі, по 1 флакону з крапельницею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Сентісc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«Опис» лікарського засобу, а саме: зазначається посилання на метод, додається методика проведення випробування і примітка.</w:t>
            </w:r>
            <w:r w:rsidRPr="00C65DFF">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«Осмоляльність» лікарського засобу, а саме: зазначається посилання на метод, додається альтернативний прилад для проведення випробування, корегується методика і зазначається примітка.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«Механічні включення» лікарського засобу, а саме: зазначається посилання на метод, корегується методика і зазначаються три примітки (замість однієї затвердженої).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«Кількісне визначення бензалконію хлориду» методом ВЕРХ лікарського засобу, а саме: - приготування стандартного розчину в двох паралелях; концентрація в затвердженому і запропонованому методі однакові, змінена маса наважки і розведення; - приготування випробовуваного розчину із збільшеною масою наважки і відповідним розведенням; концентрація в затвердженому і запропонованому методі однакові; </w:t>
            </w:r>
            <w:r w:rsidRPr="00C65DFF">
              <w:rPr>
                <w:rFonts w:ascii="Arial" w:hAnsi="Arial" w:cs="Arial"/>
                <w:color w:val="000000"/>
                <w:sz w:val="16"/>
                <w:szCs w:val="16"/>
              </w:rPr>
              <w:br/>
              <w:t xml:space="preserve">- додавання послідовності введення розчинів у хроматограф; - додавання до перевірки придатності системи показника кореляції між стандартним розчином-1 та стандартним розчином-2; - корекція основної формули розрахунку: для уточнення отриманих результатів у формулу додається густина розчину 50% бензалконію хлориду (яка має стале значення і становить 0,98 г/мл), оскільки розрахунок бензалконію хлориду ведеться у % мас/об.; - введення розрахунку коефіцієнта відмінності; - редакційні правки у тексті методики.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«Кількісне визначення бромфенаку натрію сесквігідрату» методом ВЕРХ лікарського засобу, а саме: - додавання послідовності введення розчинів у хроматограф; - редакційні правки у тексті методики.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UA/15200/01/01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піна ректальна, 2 мг/дозу; кожний балон містить як мінімум 14 доз по 1,2 г піни ректальної;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Др. Фальк Фарма ГмбХ</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Відповідальний за випуск серій кінцевого продукту: </w:t>
            </w:r>
            <w:r w:rsidRPr="00C65DFF">
              <w:rPr>
                <w:rFonts w:ascii="Arial" w:hAnsi="Arial" w:cs="Arial"/>
                <w:color w:val="000000"/>
                <w:sz w:val="16"/>
                <w:szCs w:val="16"/>
              </w:rPr>
              <w:br/>
              <w:t>Др. Фальк Фарма ГмбХ, Німеччина</w:t>
            </w:r>
            <w:r w:rsidRPr="00C65DFF">
              <w:rPr>
                <w:rFonts w:ascii="Arial" w:hAnsi="Arial" w:cs="Arial"/>
                <w:color w:val="000000"/>
                <w:sz w:val="16"/>
                <w:szCs w:val="16"/>
              </w:rPr>
              <w:br/>
            </w:r>
            <w:r w:rsidRPr="00C65DFF">
              <w:rPr>
                <w:rFonts w:ascii="Arial" w:hAnsi="Arial" w:cs="Arial"/>
                <w:color w:val="000000"/>
                <w:sz w:val="16"/>
                <w:szCs w:val="16"/>
              </w:rPr>
              <w:br/>
              <w:t>Виробник дозованої форми, первинне та вторинне пакування, контроль якості:</w:t>
            </w:r>
            <w:r w:rsidRPr="00C65DFF">
              <w:rPr>
                <w:rFonts w:ascii="Arial" w:hAnsi="Arial" w:cs="Arial"/>
                <w:color w:val="000000"/>
                <w:sz w:val="16"/>
                <w:szCs w:val="16"/>
              </w:rPr>
              <w:br/>
              <w:t>ACM Аерозоль-Сервіс АГ, Швейцарія</w:t>
            </w:r>
            <w:r w:rsidRPr="00C65DFF">
              <w:rPr>
                <w:rFonts w:ascii="Arial" w:hAnsi="Arial" w:cs="Arial"/>
                <w:color w:val="000000"/>
                <w:sz w:val="16"/>
                <w:szCs w:val="16"/>
              </w:rPr>
              <w:br/>
            </w:r>
            <w:r w:rsidRPr="00C65DFF">
              <w:rPr>
                <w:rFonts w:ascii="Arial" w:hAnsi="Arial" w:cs="Arial"/>
                <w:color w:val="000000"/>
                <w:sz w:val="16"/>
                <w:szCs w:val="16"/>
              </w:rPr>
              <w:br/>
              <w:t>Виробник, відповідальний за контроль/випробування серії:</w:t>
            </w:r>
            <w:r w:rsidRPr="00C65DFF">
              <w:rPr>
                <w:rFonts w:ascii="Arial" w:hAnsi="Arial" w:cs="Arial"/>
                <w:color w:val="000000"/>
                <w:sz w:val="16"/>
                <w:szCs w:val="16"/>
              </w:rPr>
              <w:br/>
              <w:t>СГС Аналітик Німеччина ГмбХ, Німеччина</w:t>
            </w:r>
            <w:r w:rsidRPr="00C65DFF">
              <w:rPr>
                <w:rFonts w:ascii="Arial" w:hAnsi="Arial" w:cs="Arial"/>
                <w:color w:val="000000"/>
                <w:sz w:val="16"/>
                <w:szCs w:val="16"/>
              </w:rPr>
              <w:br/>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ГБА Фарма ГмбХ, Німеччина</w:t>
            </w:r>
            <w:r w:rsidRPr="00C65DFF">
              <w:rPr>
                <w:rFonts w:ascii="Arial" w:hAnsi="Arial" w:cs="Arial"/>
                <w:color w:val="000000"/>
                <w:sz w:val="16"/>
                <w:szCs w:val="16"/>
              </w:rPr>
              <w:br/>
            </w:r>
            <w:r w:rsidRPr="00C65DFF">
              <w:rPr>
                <w:rFonts w:ascii="Arial" w:hAnsi="Arial" w:cs="Arial"/>
                <w:color w:val="000000"/>
                <w:sz w:val="16"/>
                <w:szCs w:val="16"/>
              </w:rPr>
              <w:br/>
              <w:t>ГБА Фарма ГмбХ, Німеччина</w:t>
            </w:r>
            <w:r w:rsidRPr="00C65DFF">
              <w:rPr>
                <w:rFonts w:ascii="Arial" w:hAnsi="Arial" w:cs="Arial"/>
                <w:color w:val="000000"/>
                <w:sz w:val="16"/>
                <w:szCs w:val="16"/>
              </w:rPr>
              <w:br/>
              <w:t>Інтерлабор Белп АГ, Швейцарія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 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2000-152-Rev 04 (затверджений: R1-CEP 2000-152-Rev 03) для АФІ будесоніду від затвердженого виробника Industriale Chimica S.R.L.,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 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1997-067-Rev 07 (затверджено: R1-CEP 1997-067-Rev 06) для АФІ будесоніду від затвердженого виробника SICOR S.R.L., Italy внаслідок зміни власника СЕР з Sicor S.R.L., Italy на TEVA PHARMACEUTICAL INDUSTRIES LTD., Israel.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 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1997-067-Rev 08 для АФІ будесоніду від затвердженого виробника SICOR S.R.L.,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1997-067-Rev 09 для АФІ будесоніду від затвердженого виробника SICOR S.R.L., Italy.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дільниці відповідальної за контроль/випробування серії готового продукту, без зміни місця виробництва. Затверджено: Контрактна лабораторія для аналітичних випробувань (Контроль якості та випробування серії аналітичних зразків) ЛПУ Лабораторія фармацевтичного та екологічного аналізу, Німеччина LPU Laboratory for pharmaceutical und environmental analysis, Germany Запропоновано: Виробник відповідальної за контроль/випробування серії ГБА Фарма ГмбХ, Німеччина GBA Pharma GmbH,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Інтерлабор Белп АГ, Емменматтштрассе 16,3123 Белп, Швейцарія/ Interlabor Belp AG, Aemmenmattstrasse 16, 3123 Belp, Switzerland в якості виробника, відповідального за контроль/випробування серії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ГБА Фарма ГмбХ, Ернст-Аббе-Штрассе 40, 89079 Ульм, Німеччина/GBA Pharma GmbH, Ernst-Abbe-Strasse 40, 89079 Ulm, Germany в якості виробника, відповідального за контроль/випробування серії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дільниці GBA Pharma GmbH, Fraunhoferstrasse 11a, 82152 Martinsried, Germany на якій здійснюється контроль якості готового лікарського засобу на ГБА Фарма ГмбХ, Анна-Сигмунд Штрассе 7, 82061 Нойрід, Німеччина/GBA Pharma GmbH, Anna-Sigmund- Strasse 7,82061 Neuried,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UA/6964/02/01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ВАБІСМО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lang w:val="ru-RU"/>
              </w:rPr>
            </w:pPr>
            <w:r w:rsidRPr="00C65DFF">
              <w:rPr>
                <w:rFonts w:ascii="Arial" w:hAnsi="Arial" w:cs="Arial"/>
                <w:color w:val="000000"/>
                <w:sz w:val="16"/>
                <w:szCs w:val="16"/>
                <w:lang w:val="ru-RU"/>
              </w:rPr>
              <w:t>розчин для ін’єкцій, 120 мг/мл; по 0,24 мл (28,8 мг) у флаконі; разова доза 0,05 мл (6 мг), по 1 флакону у комплекті з голкою з фільтром, упакованою в блістер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лікарського засобу (включаючи наповнення/первинне пакування), випробування контролю в процесі виробництва, випробування контролю якості при випуску та стабільності, крім мікроскопічного методу визначення часток, зберігання лікарського засобу, вторинне пакування, випуск готового лікарського засобу: Ф.Хоффманн-Ля Рош Лтд, Швейцарія; Випробування контролю якості при випуску та стабільності тільки для мікроскопічного методу визначення часток: Солвіас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w:t>
            </w:r>
            <w:r w:rsidRPr="00C65DFF">
              <w:rPr>
                <w:rFonts w:ascii="Arial" w:hAnsi="Arial" w:cs="Arial"/>
                <w:b/>
                <w:color w:val="000000"/>
                <w:sz w:val="16"/>
                <w:szCs w:val="16"/>
              </w:rPr>
              <w:t>уточнення написання упаковки в наказі МОЗ України № 1877 від 08.11.2024 в процесі внесення змін</w:t>
            </w:r>
            <w:r w:rsidRPr="00C65DFF">
              <w:rPr>
                <w:rFonts w:ascii="Arial" w:hAnsi="Arial" w:cs="Arial"/>
                <w:color w:val="000000"/>
                <w:sz w:val="16"/>
                <w:szCs w:val="16"/>
              </w:rPr>
              <w:t xml:space="preserve"> (зміни І типу - Зміни з якості. АФІ. Контроль АФІ (інші зміни). Внесення змін до р. 3.2.S.2.3. Контроль матеріалів, зокрема: зміна критеріїв прийнятності за показником ендотоксини з ≤0.05 ЕU/mg до ≤0.4 ЕU/mg затверджених у внутрішній специфікації для розчину метотрексату, що використовується у процесі виробництва АФІ фарицимабу. Введення змін протягом 6-ти місяців після затвердження). Редакція в наказі - по 0,24 мл (28,8 мг) у флаконі; по 1 флакону у комплекті з голкою з фільтром, упакованою в блістер у картонній коробці. </w:t>
            </w:r>
            <w:r w:rsidRPr="00C65DFF">
              <w:rPr>
                <w:rFonts w:ascii="Arial" w:hAnsi="Arial" w:cs="Arial"/>
                <w:b/>
                <w:color w:val="000000"/>
                <w:sz w:val="16"/>
                <w:szCs w:val="16"/>
              </w:rPr>
              <w:t>Вірна редакція - по 0,24 мл (28,8 мг) у флаконі; разова доза 0,05 мл (6 мг), по 1 флакону у комплекті з голкою з фільтром, упакованою в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UA/20151/01/01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 з маркуванням іноземною мовою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повний цикл виробництва, заповнення, первинне та вторинне пакування, контроль якості, випуск серії: Санофі Пастер, Францiя;</w:t>
            </w:r>
            <w:r w:rsidRPr="00C65DFF">
              <w:rPr>
                <w:rFonts w:ascii="Arial" w:hAnsi="Arial" w:cs="Arial"/>
                <w:color w:val="000000"/>
                <w:sz w:val="16"/>
                <w:szCs w:val="16"/>
              </w:rPr>
              <w:br/>
              <w:t xml:space="preserve">вторинне пакування, контроль якості, випуск серії: Санофі Пастер, Францiя; заповнення, первинне та вторинне пакування, контроль якості: САНОФІ ВІНТРОП ІНДАСТРІА, Францiя; вторинне пакування, випуск серії: Санофі-Авентіс Зрт.,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Францiя/ Угорщина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для двох виробників вільних від специфічних патогенів (SPF) яєць, що використовуються в процесі виробництва вакцини проти грипу. Діюча редакція: Charles River Couvoir de Cerveloup - Пропонована редакція: AVS Bio VALO BioMedia France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коефіцієнта варіації (CV) для тесту ферментативної активності нейрамінідази (метод MUNANA) на етапі діючої речовини вакцини проти грипу. Внесення редакційних правок щодо уточнення опису зразка та умов валідності тесту ферментативної активності нейрамінідази, описаних у розділі 3.2.S.4.2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UA/16141/01/01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160 мг/25 мг; по 10 таблеток у блістері, по 3 або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Мальта</w:t>
            </w:r>
            <w:r w:rsidRPr="00C65DFF">
              <w:rPr>
                <w:rFonts w:ascii="Arial" w:hAnsi="Arial" w:cs="Arial"/>
                <w:color w:val="000000"/>
                <w:sz w:val="16"/>
                <w:szCs w:val="16"/>
                <w:lang w:val="en-US"/>
              </w:rPr>
              <w:t>/</w:t>
            </w:r>
            <w:r w:rsidRPr="00C65DFF">
              <w:rPr>
                <w:rFonts w:ascii="Arial" w:hAnsi="Arial" w:cs="Arial"/>
                <w:color w:val="000000"/>
                <w:sz w:val="16"/>
                <w:szCs w:val="16"/>
              </w:rPr>
              <w:t xml:space="preserve"> Болгарія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2004-307-Rev 07 від затвердженого виробника CAMBREX PROFARMACO MILANO S.R.L., Italy діючої речовини гідрохлоротіазид (затверджено: R1- CEP 2004-307-Rev 06; запропоновано: CEP 2004-307-Rev 07).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UA/5743/01/02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80 мг/12,5 мг; по 10 таблеток у блістері, по 3 або 9 блістерів у картонній коробці з маркуванням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Мальта</w:t>
            </w:r>
            <w:r w:rsidRPr="00C65DFF">
              <w:rPr>
                <w:rFonts w:ascii="Arial" w:hAnsi="Arial" w:cs="Arial"/>
                <w:color w:val="000000"/>
                <w:sz w:val="16"/>
                <w:szCs w:val="16"/>
                <w:lang w:val="en-US"/>
              </w:rPr>
              <w:t>/</w:t>
            </w:r>
            <w:r w:rsidRPr="00C65DFF">
              <w:rPr>
                <w:rFonts w:ascii="Arial" w:hAnsi="Arial" w:cs="Arial"/>
                <w:color w:val="000000"/>
                <w:sz w:val="16"/>
                <w:szCs w:val="16"/>
              </w:rPr>
              <w:t xml:space="preserve"> Болгарія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2004-307-Rev 07 від затвердженого виробника CAMBREX PROFARMACO MILANO S.R.L., Italy діючої речовини гідрохлоротіазид (затверджено: R1- CEP 2004-307-Rev 06; запропоновано: CEP 2004-307-Rev 07).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UA/5743/01/01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ВАНДЕР®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30 мг, по 1 або по 4 таблетки у блістері; по 1 блістеру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w:t>
            </w:r>
            <w:r w:rsidRPr="00C65DFF">
              <w:rPr>
                <w:rFonts w:ascii="Arial" w:hAnsi="Arial" w:cs="Arial"/>
                <w:color w:val="000000"/>
                <w:sz w:val="16"/>
                <w:szCs w:val="16"/>
              </w:rPr>
              <w:br/>
              <w:t>ІІ «Специфікація з безпеки» ІІІ «План з фармаконагляду» V «Заходи з мінімізації ризиків» VI «Резюме плану управління ризиками»</w:t>
            </w:r>
            <w:r w:rsidRPr="00C65DFF">
              <w:rPr>
                <w:rFonts w:ascii="Arial" w:hAnsi="Arial" w:cs="Arial"/>
                <w:color w:val="000000"/>
                <w:sz w:val="16"/>
                <w:szCs w:val="16"/>
              </w:rPr>
              <w:br/>
              <w:t>VII «Додатки» (додатки 1-8) у зв’язку з оновленням інформації з безпеки діючої речовини дапотексину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UA/15230/01/01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ВАНДЕР®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60 мг по 1 або по 4 таблетки у блістері; по 1 блістеру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w:t>
            </w:r>
            <w:r w:rsidRPr="00C65DFF">
              <w:rPr>
                <w:rFonts w:ascii="Arial" w:hAnsi="Arial" w:cs="Arial"/>
                <w:color w:val="000000"/>
                <w:sz w:val="16"/>
                <w:szCs w:val="16"/>
              </w:rPr>
              <w:br/>
              <w:t>ІІ «Специфікація з безпеки» ІІІ «План з фармаконагляду» V «Заходи з мінімізації ризиків» VI «Резюме плану управління ризиками»</w:t>
            </w:r>
            <w:r w:rsidRPr="00C65DFF">
              <w:rPr>
                <w:rFonts w:ascii="Arial" w:hAnsi="Arial" w:cs="Arial"/>
                <w:color w:val="000000"/>
                <w:sz w:val="16"/>
                <w:szCs w:val="16"/>
              </w:rPr>
              <w:br/>
              <w:t>VII «Додатки» (додатки 1-8) у зв’язку з оновленням інформації з безпеки діючої речовини дапотексину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UA/15230/01/02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 xml:space="preserve">ГАЗІВА®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концентрат для розчину для інфузій, 1000 мг/40 мл; по 40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Виробництво нерозфасованої продукції, первинне пакування, випробування контролю якості: Рош Діагностикс ГмбХ, Німеччина;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Німеччина</w:t>
            </w:r>
            <w:r w:rsidRPr="00C65DFF">
              <w:rPr>
                <w:rFonts w:ascii="Arial" w:hAnsi="Arial" w:cs="Arial"/>
                <w:color w:val="000000"/>
                <w:sz w:val="16"/>
                <w:szCs w:val="16"/>
                <w:lang/>
              </w:rPr>
              <w:t>/</w:t>
            </w:r>
            <w:r w:rsidRPr="00C65DFF">
              <w:rPr>
                <w:rFonts w:ascii="Arial" w:hAnsi="Arial" w:cs="Arial"/>
                <w:color w:val="000000"/>
                <w:sz w:val="16"/>
                <w:szCs w:val="16"/>
              </w:rPr>
              <w:t xml:space="preserve"> 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65DFF">
              <w:rPr>
                <w:rFonts w:ascii="Arial" w:hAnsi="Arial" w:cs="Arial"/>
                <w:color w:val="000000"/>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UA/14232/01/01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(E 421), вода для ін’єкцій)) кожна,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Пфайзер Менюфекчуринг Бельгія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Бельгія</w:t>
            </w:r>
            <w:r w:rsidRPr="00C65DFF">
              <w:rPr>
                <w:rFonts w:ascii="Arial" w:hAnsi="Arial" w:cs="Arial"/>
                <w:color w:val="000000"/>
                <w:sz w:val="16"/>
                <w:szCs w:val="16"/>
                <w:lang w:val="en-US"/>
              </w:rPr>
              <w:t>/</w:t>
            </w:r>
            <w:r w:rsidRPr="00C65DFF">
              <w:rPr>
                <w:rFonts w:ascii="Arial" w:hAnsi="Arial" w:cs="Arial"/>
                <w:color w:val="000000"/>
                <w:sz w:val="16"/>
                <w:szCs w:val="16"/>
              </w:rPr>
              <w:t xml:space="preserve">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UA/11798/01/02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ліофілізований та розчинник для розчину для ін'єкцій по 16 МО (5,3 мг); 1 попередньо наповнена ручка, що містить 1 двокамерний картридж (передня камера з порошком та задня камера з розчинником по 1,14 мл (м-крезол, маніт (E 421), вода для ін’єкцій)),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Ветер Фарма-Фертигунг ГмбХ і Ко. КГ, Німеччина (виробник in bulk, контроль якості, первинне пакування); Пфайзер Менюфекчуринг Бельгія НВ, Бельгiя (повний цикл виробництва,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Німеччина</w:t>
            </w:r>
            <w:r w:rsidRPr="00C65DFF">
              <w:rPr>
                <w:rFonts w:ascii="Arial" w:hAnsi="Arial" w:cs="Arial"/>
                <w:color w:val="000000"/>
                <w:sz w:val="16"/>
                <w:szCs w:val="16"/>
                <w:lang/>
              </w:rPr>
              <w:t>/</w:t>
            </w:r>
            <w:r w:rsidRPr="00C65DFF">
              <w:rPr>
                <w:rFonts w:ascii="Arial" w:hAnsi="Arial" w:cs="Arial"/>
                <w:color w:val="000000"/>
                <w:sz w:val="16"/>
                <w:szCs w:val="16"/>
              </w:rPr>
              <w:t xml:space="preserve"> Бельгія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UA/11798/01/01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ГЕПАРИНОВА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мазь по 25 г або по 40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на вихідну сировину гепарину натрію у відповідність до монографії EP "HEPARIN SODIUM".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до Специфікації та Методів контролю, а саме включення показника якості «Залишкові кількості органічних розчинників. Етанол» з критерієм прийнятності «не більше 5000 ppm», відповідно до ДМФ виробника. Виробничий процес залишився без змін.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UA/6719/01/01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ГЛІПТАР®-М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50/1000 мг, по 10 таблеток у блістері, по 6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МАРІФАРМ д.о.о.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і пакування готової лікарської форми, контроль серії і випуск серії: САГ МАНУФАКТУРІНГ, С.Л.У., Іспанія; контроль серії (фізико-хімічний) і випуск серії: Галенікум Хелс,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17) упаковки лікарського засобу, а саме вилучено логотип компанії представника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UA/19966/01/02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ГЛІПТАР®-М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50/850 мг, по 10 таблеток у блістері, по 6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МАРІФАРМ д.о.о.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і пакування готової лікарської форми, контроль серії і випуск серії: САГ МАНУФАКТУРІНГ, С.Л.У., Іспанія; контроль серії (фізико-хімічний) і випуск серії: Галенікум Хелс,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17) упаковки лікарського засобу, а саме вилучено логотип компанії представника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lang/>
              </w:rPr>
            </w:pPr>
            <w:r w:rsidRPr="00C65DFF">
              <w:rPr>
                <w:rFonts w:ascii="Arial" w:hAnsi="Arial" w:cs="Arial"/>
                <w:sz w:val="16"/>
                <w:szCs w:val="16"/>
              </w:rPr>
              <w:t>UA/19966/01/01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ГЛОД-ВІШФА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настойка, по 50 мл або по 100 мл у флаконах скляних; по 100 мл у флаконах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"ДКП "Фармацевтична фабрика"</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додаткової упаковки, а саме по 100 мл у флаконах полімерних, які виготовлені з поліетилентерефталату з гвинтовою горловиною для лікарських засобів (флакон ФП-100-20 ПЕТ та флакон ФП-100 (плаский) ПЕТ) виробництва ТОВ «Статус» закупорені кришкою, що нагвинчується з поліетилену виробництва ТОВ «Статус», з відповідними змінами до р. «Упаковка». Затверджено: По 50 мл або по 100 мл у флакон з пробкою та кришкою. Флакони разом із відповідною кількістю інструкцій для медичного застосування поміщають у групову упаковку. Запропоновано: По 50 мл або по 100 мл у флакон скляний з пробкою та кришкою. По 100 мл у флакон полімерний з кришкою, що нагвинчується. Флакони разом із відповідною кількістю інструкцій для медичного застосування поміщають у групову упаковку. Зміни внесено в розділ "Упаковка" в інструкцію для медичного застосування у зв'язку з введенням додаткової упаковки (флакон полімерний) та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та вторинної упаковки лікарського засобу (п. 17 ІНШЕ) щодо конкретизації логотипу.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UA/16720/01/01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ГЛОДУ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настойка; по 25 мл або по 50 мл або по 100 мл у флаконах скляних, по 100 мл у флаконах полімерних; по 25 мл або по 50 мл або по 100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"ДКП "Фармацевтична фабрика"</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додаткової упаковки, а саме по 100 мл у флаконах полімерних, які виготовлені з поліетилентерефталату з гвинтовою горловиною для лікарських засобів (флакон ФП-100-20 ПЕТ та флакон ФП-100 (плаский) ПЕТ) виробництва ТОВ «Статус» закупорені кришкою, що нагвинчується з поліетилену виробництва ТОВ «Статус», з відповідними змінами до р. «Упаковка». Затверджено: По 25 мл, 50 мл, 100 мл у флакон з пробкою та кришкою, що нагвинчується. Флакони разом із відповідною кількістю інструкцій для медичного застосування поміщаються у групову упаковку або кожен флакон разом з інструкцією для медичного застосування вкладається в пачку. По 800 кг у кубові ємкості із суцільною обрешіткою. Запропоновано: По 25 мл, 50 мл, 100 мл у флакон скляний з пробкою та кришкою, що нагвинчується. Флакони разом із відповідною кількістю інструкцій для медичного застосування поміщаються у групову упаковку або кожен флакон разом з інструкцією для медичного застосування вкладається в пачку. По 100 мл у флакон полімерний з кришкою, що нагвинчується. Флакони разом із відповідною кількістю інструкцій для медичного застосування поміщають у групову упаковку. По 800 кг у кубові ємкості із суцільною обрешіткою. Зміни внесено в розділ "Упаковка" в інструкцію для медичного застосування у зв'язку з введенням додаткової упаковки (флакон полімерний) та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та вторинної упаковки лікарського засобу (п. 17 ІНШЕ) щодо конкретизації логотипу.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UA/8513/01/01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sz w:val="16"/>
                <w:szCs w:val="16"/>
              </w:rPr>
            </w:pPr>
            <w:r w:rsidRPr="00C65DFF">
              <w:rPr>
                <w:rFonts w:ascii="Arial" w:hAnsi="Arial" w:cs="Arial"/>
                <w:sz w:val="16"/>
                <w:szCs w:val="16"/>
                <w:lang w:val="ru-RU"/>
              </w:rPr>
              <w:t>ГЛЮКОЗА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інфузій, 50 мг/мл, по  200 мл або по 250 мл або по 400 мл або по 500 мл в пляшках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w:t>
            </w:r>
            <w:r w:rsidRPr="00C65DFF">
              <w:t xml:space="preserve"> </w:t>
            </w:r>
            <w:r w:rsidRPr="00C65DFF">
              <w:rPr>
                <w:rFonts w:ascii="Arial" w:hAnsi="Arial" w:cs="Arial"/>
                <w:color w:val="000000"/>
                <w:sz w:val="16"/>
                <w:szCs w:val="16"/>
              </w:rPr>
              <w:t>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специфікації та аналітичних методиках МКЯ ГЛЗ за показником «Ідентифікація - метод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UA/20563/01/01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ДЕКСАМЕТАЗОН-4-ДАРНИЦЯ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4 мг/мл по 1 мл в ампулі; по 5 ампул у контурній чарунковій упаковці; по 1, по 2 або по 5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"Фармакологічні властивості", яка була допущена при процедурі змін, що затверджені наказом МОЗ № 1543 від 05.09.2024, а саме повернуто пропущену графічну інформацію в таблиці 1 у підрозділі "Фармакодинаміка".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UA/20423/01/01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ДЕНТАГЕЛЬ®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гель для ясен; по 20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відповідальний за виробництво, первинне, вторинне пакування, контроль якості та випуск серії: ПРАТ "ФІТОФАРМ", Україна</w:t>
            </w:r>
            <w:r w:rsidRPr="00C65DFF">
              <w:rPr>
                <w:rFonts w:ascii="Arial" w:hAnsi="Arial" w:cs="Arial"/>
                <w:color w:val="000000"/>
                <w:sz w:val="16"/>
                <w:szCs w:val="16"/>
              </w:rPr>
              <w:br/>
              <w:t>відповідальний за виробництво, первинне, вторинне пакування, контроль якості: АТ "Лубнифарм",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Приведення р.3.2.Р.4 Контроль допоміжних речовин у відповідність до монографій ЕР, ДФУ та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UA/6966/01/01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ДЕРМАДРІН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мазь, 20 мг/г по 20 г або по 50 г, або по 100 г у тубі; по 1 тубі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Фармацеутіше фабрік Монтавіт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Австрія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Австрія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п.17. ІНШЕ тексту маркування первинної упаковки лікарського засобу: додано інформацію про логотип виробника; у п.17. ІНШЕ тексту маркування вторинної упаковки лікарського засобу: додано інформацію про логотип виробника та про наявність штрих-коду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UA/8996/01/01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ДИКЛОФЕНАК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2,5 %; по 3 мл в ампулі; по 5 ампул у блістері; по 1, 2 або 20 блістерів у пачці з картону; по 3 мл в ампулі; по 5 або по 10 ампул у пачці з картону з картонними перегородками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Вилучення застарілого показника «Аномальна токсичність» у зв’язку з втратою чинності та вилученням з EP 2.6 «Біологічні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UA/5713/01/01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ДИМІСТА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спрей назальний, суспензія, 137 мкг/50 мкг на дозу по 6,4 г суспензії у флаконі об'ємом 10 мл; по 1 флакону в картонній пачці; по 23 г суспензії у флаконі об'ємом 25 мл;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Віатріс Хелскеа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виробник, відповідальний за випуск серії: МЕДА Фарма ГмбХ енд Ко. КГ, Німеччина; виробник, відповідальний за випуск серії: Mайлан Угорщина Кфт./Mайлан Угорщина Лтд., Угорщина; виробник, відповідальний за виробництво нерозфасованої продукції, первинне та вторинне пакування: Ципла Лімітед, Індія; виробник, відповідальний за вторинне пакування: ФармЛог Фарма Логістік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Німеччина</w:t>
            </w:r>
            <w:r w:rsidRPr="00C65DFF">
              <w:rPr>
                <w:rFonts w:ascii="Arial" w:hAnsi="Arial" w:cs="Arial"/>
                <w:color w:val="000000"/>
                <w:sz w:val="16"/>
                <w:szCs w:val="16"/>
                <w:lang w:val="en-US"/>
              </w:rPr>
              <w:t>/</w:t>
            </w:r>
            <w:r w:rsidRPr="00C65DFF">
              <w:rPr>
                <w:rFonts w:ascii="Arial" w:hAnsi="Arial" w:cs="Arial"/>
                <w:color w:val="000000"/>
                <w:sz w:val="16"/>
                <w:szCs w:val="16"/>
              </w:rPr>
              <w:t xml:space="preserve"> Угорщина</w:t>
            </w:r>
            <w:r w:rsidRPr="00C65DFF">
              <w:rPr>
                <w:rFonts w:ascii="Arial" w:hAnsi="Arial" w:cs="Arial"/>
                <w:color w:val="000000"/>
                <w:sz w:val="16"/>
                <w:szCs w:val="16"/>
                <w:lang w:val="en-US"/>
              </w:rPr>
              <w:t>/</w:t>
            </w:r>
            <w:r w:rsidRPr="00C65DFF">
              <w:rPr>
                <w:rFonts w:ascii="Arial" w:hAnsi="Arial" w:cs="Arial"/>
                <w:color w:val="000000"/>
                <w:sz w:val="16"/>
                <w:szCs w:val="16"/>
              </w:rPr>
              <w:t xml:space="preserve"> 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стосовно інформації з безпеки допоміжної речовини.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інформації стосовно повідомлення про підозрювані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UA/14920/01/01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ДОКСОРУБІЦИН-ВІСТА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концентрат для розчину для інфузій, 2 мг/мл; по 5 мл, 10 мл, 25 мл, 50 мл, 75 мл, 100 мл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Актавіс Італія С.п.А., Італія; Сіндан Фарма С.Р.Л.,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Італія</w:t>
            </w:r>
            <w:r w:rsidRPr="00C65DFF">
              <w:rPr>
                <w:rFonts w:ascii="Arial" w:hAnsi="Arial" w:cs="Arial"/>
                <w:color w:val="000000"/>
                <w:sz w:val="16"/>
                <w:szCs w:val="16"/>
                <w:lang w:val="en-US"/>
              </w:rPr>
              <w:t>/</w:t>
            </w:r>
            <w:r w:rsidRPr="00C65DFF">
              <w:rPr>
                <w:rFonts w:ascii="Arial" w:hAnsi="Arial" w:cs="Arial"/>
                <w:color w:val="000000"/>
                <w:sz w:val="16"/>
                <w:szCs w:val="16"/>
              </w:rPr>
              <w:t xml:space="preserve"> Румунiя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згідно з інформацією щодо медичного застосування референтного лікарського засобу (Adriamycin Solution for injection 2 mg/ml)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UA/14710/01/01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ДОКТОР МОМ® ЗІ СМАКОМ АПЕЛЬСИНА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льодяники; по 4 льодяники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Юнік Фармасьютикал Лабораторіз (відділення фірми "Дж. Б. Кемікалз енд Фармасьютикалз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65DFF">
              <w:rPr>
                <w:rFonts w:ascii="Arial" w:hAnsi="Arial" w:cs="Arial"/>
                <w:color w:val="000000"/>
                <w:sz w:val="16"/>
                <w:szCs w:val="16"/>
              </w:rPr>
              <w:br/>
              <w:t xml:space="preserve">Діюча редакція: Нагорна Катерина Іванівна / Nahorna Kateryna Ivanivna. Пропонована редакція: Чагарна Наталія Сергіївна / Chagarna Natalia Serhiivna. Зміна контактних даних уповноваженої особи заявника, відповідальної за фармаконагляд. </w:t>
            </w:r>
            <w:r w:rsidRPr="00C65DFF">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UA/2409/01/01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ДОЛГІТ®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крем, 50 мг/г, по 20 г або 50 г, або 100, або 150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Долоргіт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нерозфасованої продукції, первинне та вторинне пакування, контроль серії, випуск серії: Долоргіт ГмбХ і Ко. КГ, Німеччина;</w:t>
            </w:r>
            <w:r w:rsidRPr="00C65DFF">
              <w:rPr>
                <w:rFonts w:ascii="Arial" w:hAnsi="Arial" w:cs="Arial"/>
                <w:color w:val="000000"/>
                <w:sz w:val="16"/>
                <w:szCs w:val="16"/>
              </w:rPr>
              <w:br/>
              <w:t xml:space="preserve">виробництво нерозфасованої продукції, первинне та вторинне пакування: Др. Тайсс Натурварен ГмбХ, Німеччина; первинне та вторинне пакування, контроль серії: Др. Тайсс Натурварен ГмбХ, Німеччина; контроль серії (фізичний/хімічний): ГБА Фарма ГмбХ, </w:t>
            </w:r>
            <w:r w:rsidRPr="00C65DFF">
              <w:rPr>
                <w:rFonts w:ascii="Arial" w:hAnsi="Arial" w:cs="Arial"/>
                <w:color w:val="000000"/>
                <w:sz w:val="16"/>
                <w:szCs w:val="16"/>
              </w:rPr>
              <w:br/>
              <w:t>Німеччина; контроль серії (мікробіологічні випробування): БАВ ІНСТИТУТ гігієни та забезпечення якості ГмбХ, Німеччина; контроль серії (мікробіологічні випробування): МікроБіологі Кремер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АФІ. (інші зміни); Внесення редакційних змін до р.3.2.S, а саме-перегляд структури та вмісту модуля 3.2.S АФІ: створення спільної S-частини, завдяки чому краще представлено досьє, відповідно до «Том 2, Повідомлення заявникам, Том 2 В, презентація та вміст досьє – Загальний технічний документ (СТD), видання 2003 року». Також, зміна порядку існуючої інформації та граматичні/орфографічні виправлення.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 СЕР 1996-058-Rev 06 (попередня версія R1 СЕР 1996-058-Rev 05) для АФІ ібупрофену від вже затвердженого виробника SI GROUP, INC. The Woodlands US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UA/4117/01/01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ЕДОКСАКОРД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30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UA/19020/01/02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ЕДОКСАКОРД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60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UA/19020/01/03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ЕДОКСАКОРД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15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"КИЇВСЬКИЙ ВІТАМІННИЙ ЗАВОД", Україн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UA/19020/01/01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ЕЛЕЛІСО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ліофілізований для розчину для інфузій по 200 ОД;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(формула, асептичне наповнення, ліофілізація), первинне та вторинне пакування, маркування, випуск серії: Фармація і Апджон Компані ЛЛС, США; контроль якості при випуску та дослідження стабільності: Пфайзер Ірландія Фармасьютікалc, Ірландiя;</w:t>
            </w:r>
            <w:r w:rsidRPr="00C65DFF">
              <w:rPr>
                <w:rFonts w:ascii="Arial" w:hAnsi="Arial" w:cs="Arial"/>
                <w:color w:val="000000"/>
                <w:sz w:val="16"/>
                <w:szCs w:val="16"/>
              </w:rPr>
              <w:br/>
              <w:t>контроль якості при випуску та дослідження стабільності: Проталікс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США</w:t>
            </w:r>
            <w:r w:rsidRPr="00C65DFF">
              <w:rPr>
                <w:rFonts w:ascii="Arial" w:hAnsi="Arial" w:cs="Arial"/>
                <w:color w:val="000000"/>
                <w:sz w:val="16"/>
                <w:szCs w:val="16"/>
                <w:lang w:val="en-US"/>
              </w:rPr>
              <w:t>/</w:t>
            </w:r>
            <w:r w:rsidRPr="00C65DFF">
              <w:rPr>
                <w:rFonts w:ascii="Arial" w:hAnsi="Arial" w:cs="Arial"/>
                <w:color w:val="000000"/>
                <w:sz w:val="16"/>
                <w:szCs w:val="16"/>
              </w:rPr>
              <w:t xml:space="preserve"> Ірландiя</w:t>
            </w:r>
            <w:r w:rsidRPr="00C65DFF">
              <w:rPr>
                <w:rFonts w:ascii="Arial" w:hAnsi="Arial" w:cs="Arial"/>
                <w:color w:val="000000"/>
                <w:sz w:val="16"/>
                <w:szCs w:val="16"/>
                <w:lang w:val="en-US"/>
              </w:rPr>
              <w:t>/</w:t>
            </w:r>
            <w:r w:rsidRPr="00C65DFF">
              <w:rPr>
                <w:rFonts w:ascii="Arial" w:hAnsi="Arial" w:cs="Arial"/>
                <w:color w:val="000000"/>
                <w:sz w:val="16"/>
                <w:szCs w:val="16"/>
              </w:rPr>
              <w:t xml:space="preserve"> Ізраїль</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65DFF">
              <w:rPr>
                <w:rFonts w:ascii="Arial" w:hAnsi="Arial" w:cs="Arial"/>
                <w:color w:val="000000"/>
                <w:sz w:val="16"/>
                <w:szCs w:val="16"/>
              </w:rPr>
              <w:br/>
              <w:t xml:space="preserve">Зміни внесено до інструкції для медичного застосування лікарського засобу до розділів "Особливості застосування" та "Спосіб застосування та дози" відповідно до оновленої інформації з безпеки застосування лікарського засобу. </w:t>
            </w:r>
            <w:r w:rsidRPr="00C65DFF">
              <w:rPr>
                <w:rFonts w:ascii="Arial" w:hAnsi="Arial" w:cs="Arial"/>
                <w:color w:val="000000"/>
                <w:sz w:val="16"/>
                <w:szCs w:val="16"/>
              </w:rPr>
              <w:br/>
              <w:t>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UA/14379/01/01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ЕЛІДЕЛ®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крем для зовнішнього застосування 1 %; по 15 г, 30 г, 60 г або 100 г у тубі; по 1 тубі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МЕДА Фарма ГмбХ енд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МЕДА  Меньюфекчеринг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Францiя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15.2. Зміни внесено до частин: V «Заходи з мінімізації ризиків», VI «Резюме плану управління ризиками», VII «Додатки» у зв’язку з видаленням додаткових заходів з мінімізації ризиків для ризику "Використання за незареєстрованими показаннями, окрім атопічного дерматиту". </w:t>
            </w:r>
            <w:r w:rsidRPr="00C65DFF">
              <w:rPr>
                <w:rFonts w:ascii="Arial" w:hAnsi="Arial" w:cs="Arial"/>
                <w:color w:val="000000"/>
                <w:sz w:val="16"/>
                <w:szCs w:val="16"/>
              </w:rPr>
              <w:br/>
              <w:t xml:space="preserve">Резюме плану управління ризиками версія 15.2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UA/7137/01/01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ЕЛІЗІУМ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оральний 0,5 мг/мл; по 60 мл або 120 мл у контейнері із поліетилентерефталату, закритому кришкою з контролем першого відкриття з дозуючою ложкою та дозуючим шприцом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Спільне українсько-іспанське підприємство "Сперко Україна"</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Спільне українсько-іспанське підприємство "Сперко Україна"</w:t>
            </w:r>
            <w:r w:rsidRPr="00C65DFF">
              <w:rPr>
                <w:rFonts w:ascii="Arial" w:hAnsi="Arial" w:cs="Arial"/>
                <w:color w:val="000000"/>
                <w:sz w:val="16"/>
                <w:szCs w:val="16"/>
              </w:rPr>
              <w:br/>
              <w:t>(повний цикл виробництва, випуск серії;</w:t>
            </w:r>
            <w:r w:rsidRPr="00C65DFF">
              <w:rPr>
                <w:rFonts w:ascii="Arial" w:hAnsi="Arial" w:cs="Arial"/>
                <w:color w:val="000000"/>
                <w:sz w:val="16"/>
                <w:szCs w:val="16"/>
              </w:rPr>
              <w:br/>
              <w:t>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120 мл у контейнері зі скла, закритому кришкою з контролем першого відкриття з дозуючою ложкою та дозуючим шприцом у пачці. Зміни внесено в інструкцію для медичного застосування лікарського засобу у розділ "Упаковка", а саме вилучення упаковки певного розміру та як наслідок вилучення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UA/18400/01/01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ЕМАВЕЙЛ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розчин для ін'єкцій, 2000 МО/мл; по 1 мл у попередньо наповненому шприці; по 1 шприцу в контурній чарунковій упаковці; по 1 контурній чарунковій упаковці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Китай</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 Введення додаткового розміру серії готового лікарського засобу для дозування 3000 МО/мл, 4000 МО/мл; 10000 МО/мл - 80000±8000 мл.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Вилучення розміру серії ГЛЗ 36000 мл±3600 мл, 14000 мл±1400 мл - Затверджено: для дозування 2000 МО/мл, 3000 МО/мл, 4000 МО/мл, 10000 МО/мл – 14000 мл±1400 мл, 28000 мл ±2800 мл, 36000 мл±3600 мл, 50000 мл ±5000 мл; - Запропоновано: для дозування 2000 МО/мл: 28000 мл ±2800 мл, 50000 мл ±5000 мл - Для дозування 3000 МО/мл, 4000 МО/мл, 10000 МО/мл –28000 мл ±2800 мл, 50000 мл ±5000 мл, 80000±8000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UA/15967/01/01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ЕМАВЕЙЛ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3000 МО/мл; по 1 мл у попередньо наповненому шприці; по 1 шприцу в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Китай</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 Введення додаткового розміру серії готового лікарського засобу для дозування 3000 МО/мл, 4000 МО/мл; 10000 МО/мл - 80000±8000 мл.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Вилучення розміру серії ГЛЗ 36000 мл±3600 мл, 14000 мл±1400 мл - Затверджено: для дозування 2000 МО/мл, 3000 МО/мл, 4000 МО/мл, 10000 МО/мл – 14000 мл±1400 мл, 28000 мл ±2800 мл, 36000 мл±3600 мл, 50000 мл ±5000 мл; - Запропоновано: для дозування 2000 МО/мл: 28000 мл ±2800 мл, 50000 мл ±5000 мл - Для дозування 3000 МО/мл, 4000 МО/мл, 10000 МО/мл –28000 мл ±2800 мл, 50000 мл ±5000 мл, 80000±8000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UA/15967/01/02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ЕМАВЕЙЛ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розчин для ін'єкцій, 4000 МО/мл; по 1 мл у попередньо наповненому шприці; по 1 шприцу в контурній чарунковій упаковці; по 1 контурній чарунковій упаковці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Китай</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 Введення додаткового розміру серії готового лікарського засобу для дозування 3000 МО/мл, 4000 МО/мл; 10000 МО/мл - 80000±8000 мл.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Вилучення розміру серії ГЛЗ 36000 мл±3600 мл, 14000 мл±1400 мл - Затверджено: для дозування 2000 МО/мл, 3000 МО/мл, 4000 МО/мл, 10000 МО/мл – 14000 мл±1400 мл, 28000 мл ±2800 мл, 36000 мл±3600 мл, 50000 мл ±5000 мл; - Запропоновано: для дозування 2000 МО/мл: 28000 мл ±2800 мл, 50000 мл ±5000 мл - Для дозування 3000 МО/мл, 4000 МО/мл, 10000 МО/мл –28000 мл ±2800 мл, 50000 мл ±5000 мл, 80000±8000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UA/15967/01/03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ЕМАВЕЙЛ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розчин для ін'єкцій, 10000 МО/мл; по 1 мл у попередньо наповненому шприці; по 1 шприцу в контурній чарунковій упаковці; по 1 контурній чарунковій упаковці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Китай</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 Введення додаткового розміру серії готового лікарського засобу для дозування 3000 МО/мл, 4000 МО/мл; 10000 МО/мл - 80000±8000 мл.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Вилучення розміру серії ГЛЗ 36000 мл±3600 мл, 14000 мл±1400 мл - Затверджено: для дозування 2000 МО/мл, 3000 МО/мл, 4000 МО/мл, 10000 МО/мл – 14000 мл±1400 мл, 28000 мл ±2800 мл, 36000 мл±3600 мл, 50000 мл ±5000 мл; - Запропоновано: для дозування 2000 МО/мл: 28000 мл ±2800 мл, 50000 мл ±5000 мл - Для дозування 3000 МО/мл, 4000 МО/мл, 10000 МО/мл –28000 мл ±2800 мл, 50000 мл ±5000 мл, 80000±8000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UA/15967/01/04</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ЕНДЖЕРИКС™-В / ENGERIX™-B ВАКЦИНА ДЛЯ ПРОФІЛАКТИКИ ВІРУСНОГО ГЕПАТИТУ В, РЕКОМБІНАНТНА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Бельгія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Зміна у виробничому процесі АФІ шляхом впровадження закритої системи розповсюдження стерильного очищеного антигену гепатиту В у одноразові пакети об’ємом 10 л.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 Зміна в первинній упаковці стерильної очищеної маси антигену гепатиту В (HBsAg) з 10 л скляних контейнерів на опромінені 10 л поліетиленові пакети одноразового використання, що зберігається при температурі від 2 до 8</w:t>
            </w:r>
            <w:r w:rsidRPr="00C65DFF">
              <w:rPr>
                <w:rFonts w:ascii="Arial" w:hAnsi="Arial" w:cs="Arial"/>
                <w:color w:val="000000"/>
                <w:sz w:val="16"/>
                <w:szCs w:val="16"/>
                <w:vertAlign w:val="superscript"/>
              </w:rPr>
              <w:t>0</w:t>
            </w:r>
            <w:r w:rsidRPr="00C65DFF">
              <w:rPr>
                <w:rFonts w:ascii="Arial" w:hAnsi="Arial" w:cs="Arial"/>
                <w:color w:val="000000"/>
                <w:sz w:val="16"/>
                <w:szCs w:val="16"/>
              </w:rPr>
              <w:t>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UA/15740/01/01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ЕПАЙДРА®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100 Од./мл № 5: по 1 картриджу по 3 мл, вмонтованому в одноразовий пристрій - шприц-ручку СолоСтар® (без голок для ін'єкцій), по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(звуження допустимих меж, зазначених у специфікаціях) - оновлення р. 3.2.S.6. Система контейнер/закупорювальний засіб, а саме звуження допустимих меж специфікації безпосередньої упаковки АФІ.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внесення змін до р. 3.2.S.6. Система контейнер/закупорювальний засіб, а саме додавання нового показника в специфікацію безпосередньої упаковки АФІ та відповідного методу випробувань.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 оновлення р. 3.2.S.6. Система контейнер/закупорювальний засіб, а саме вилучення інформації щодо безпосередньої упаковки АФІ ємністю 70 л, яка не використовується для зберігання АФІ. Вносяться коректорські виправлення до р. 3.2.S.6. з метою виправлення граматичних помилок та уточнення у формулюванні інформації для більш коректного її викладення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UA/10240/01/01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 xml:space="preserve">ЕСТЕЗИФІН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розчин нашкірний 1 %, по 15 мл або 20 мл або по 25 мл у флаконі; по 1 флакону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II типу - Зміни з якості. АФІ. (інші зміни) подання оновленого мастер-файлу 20220802-DMF-version 2.0-2022.08 (затверджено: 2021022-DMF-version 1.0-2021.01) на АФІ Нафтифіну гідрохлорид, фірми Chongqing Huapont Shengchem Pharmaceutical Co., Ltd., Китай Зміни II типу - Зміни з якості. АФІ. (інші зміни) подання оновленого мастер-файлу 20230818-DMF-version 3.0-2023.08 на АФІ Нафтифіну гідрохлорид, фірми Chongqing Huapont Shengchem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UA/14783/01/01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 xml:space="preserve">ЕСТЕЗИФІН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крем, 1 % по 15 г у тубі, по 1 тубі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II типу - Зміни з якості. АФІ. (інші зміни) подання оновленого мастер-файлу 20220802-DMF-version 2.0-2022.08 (затверджено: 2021022-DMF-version 1.0-2021.01) на АФІ Нафтифіну гідрохлорид, фірми Chongqing Huapont Shengchem Pharmaceutical Co., Ltd., Китай; Зміни II типу - Зміни з якості. АФІ подання оновленого мастер-файлу 20230818-DMF-version 3.0-2023.08 на АФІ Нафтифіну гідрохлорид, фірми Chongqing Huapont Shengchem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UA/15944/01/01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ЕСТЕЗИФІН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спрей нашкірний, 1 %, по 15 мл або 20 мл у флаконі; по 1 флакону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II типу - Зміни з якості. АФІ. (інші зміни) подання оновленого мастер-файлу 20220802-DMF-version 2.0-2022.08 (затверджено: 2021022-DMF-version 1.0-2021.01) на АФІ Нафтифіну гідрохлорид, фірми Chongqing Huapont Shengchem Pharmaceutical Co., Ltd., Китай. Зміни II типу - Зміни з якості. АФІ. (інші зміни) подання оновленого мастер-файлу 20230818-DMF-version 3.0-2023.08 на АФІ Нафтифіну гідрохлорид, фірми Chongqing Huapont Shengchem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UA/15499/01/01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ЄВРОФАСТ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капсули м'які, 600 мг, по 10 або 12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Євро Лайфкер Прайвіт Лімітед</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Олів Хелскер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UA/20580/01/01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ЗВІРОБОЮ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трава, по 60 г у пачках з внутрішнім пакетом; по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60 г або 75 г у пачках з внутрішнім пакетом (плівка пакувальна (первинна) полімерна). Первинний пакувальний матеріал залишається незмінним.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UA/5675/01/01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ІМЕТ®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400 мг по 10 таблеток у блістері; по 1 або по 2, або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Виробник, що виконує виробництво препарату "in bulk" та контроль серії: БЕРЛІН-ХЕМІ АГ, Німеччина; Виробник, що виконує виробництво препарату "in bulk", пакування та контроль серії: Адванс Фарма ГмбХ, Німеччина; Менаріні-Фон Хейден ГмбХ, Німеччина; Виробник, що виконує пакування, контроль та випуск серії: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UA/4029/01/01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ІМЕТ® ДЛЯ ДІТЕЙ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суспензія оральна, 100 мг/5 мл, по 100 мл або по 150 мл, або по 200 мл у флаконі; по 1 флакону в комплекті з дозуючим пристроєм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Випуск серій: БЕРЛІН-ХЕМІ АГ, Німеччина; Виробництво "in bulk", пакування, контроль та випуск серій: Лабораторіос Алкала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Німеччина</w:t>
            </w:r>
            <w:r w:rsidRPr="00C65DFF">
              <w:rPr>
                <w:rFonts w:ascii="Arial" w:hAnsi="Arial" w:cs="Arial"/>
                <w:color w:val="000000"/>
                <w:sz w:val="16"/>
                <w:szCs w:val="16"/>
                <w:lang w:val="en-US"/>
              </w:rPr>
              <w:t>/</w:t>
            </w:r>
            <w:r w:rsidRPr="00C65DFF">
              <w:rPr>
                <w:rFonts w:ascii="Arial" w:hAnsi="Arial" w:cs="Arial"/>
                <w:color w:val="000000"/>
                <w:sz w:val="16"/>
                <w:szCs w:val="16"/>
              </w:rPr>
              <w:t xml:space="preserve"> 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UA/14969/01/01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ІМЕТ® ДЛЯ ДІТЕЙ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суспензія оральна, 200 мг/5 мл; по 100 мл або 200 мл у флаконі; по 1 флакону з дозуючим пристроєм для перорального введення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"in bulk", пакування, контроль та випуск серій: Лабораторіос Алкала Фарма, С.Л., Іспанія;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Іспанія</w:t>
            </w:r>
            <w:r w:rsidRPr="00C65DFF">
              <w:rPr>
                <w:rFonts w:ascii="Arial" w:hAnsi="Arial" w:cs="Arial"/>
                <w:color w:val="000000"/>
                <w:sz w:val="16"/>
                <w:szCs w:val="16"/>
                <w:lang w:val="en-US"/>
              </w:rPr>
              <w:t>/</w:t>
            </w:r>
            <w:r w:rsidRPr="00C65DFF">
              <w:rPr>
                <w:rFonts w:ascii="Arial" w:hAnsi="Arial" w:cs="Arial"/>
                <w:color w:val="000000"/>
                <w:sz w:val="16"/>
                <w:szCs w:val="16"/>
              </w:rPr>
              <w:t xml:space="preserve">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UA/16881/01/01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ІМОДІУМ®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що диспергуються в ротовій порожнині, по 2 мг, по 6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первинне пакування та контроль якості готового продукту: Каталент ЮК Свіндон Зидіс Лімітед, Велика Британія; вторинна упаковка, контроль якості готового продукту, дозвіл на випуск серії: ДЖНТЛ Консьюмер Хелс (Франс)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Британія/ Франція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 оновлення розділів 3.2.Р.1. Опис і склад лікарського засобу; 3.2.Р.4.1. Специфікації; 3.2.Р.4.2. Аналітичні методики, щоб включити більше інформації про м’ятний ароматизатор, з відповідними змінами в розділ «Склад» МКЯ ЛЗ. Введення змін протягом 6-ти місяців після затвердження. Зміни II типу - Зміни з якості. Готовий лікарський засіб. Зміни у виробництві (інші зміни) - узгодження розділів 3.2.Р.3.3. Опис виробничого процесу та контролю процесу та 3.2.Р.3.4. Контроль критичних стадій і проміжної продукції з виробничим процесом і звітом про валідацію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UA/9831/02/01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ІНОЗИН ПРАНОБЕКС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1000 мг; по 6 таблеток у блістері; по 5 блістерів у пачці або по 10 таблеток у блістері, по 3 або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ТОВ "ДКП "Фармацевтична фабрика"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148-150 кг таблетмаси або 144-150 кг таблеток. </w:t>
            </w:r>
            <w:r w:rsidRPr="00C65DFF">
              <w:rPr>
                <w:rFonts w:ascii="Arial" w:hAnsi="Arial" w:cs="Arial"/>
                <w:color w:val="000000"/>
                <w:sz w:val="16"/>
                <w:szCs w:val="16"/>
              </w:rPr>
              <w:br/>
              <w:t>Діюча редакція</w:t>
            </w:r>
            <w:r w:rsidRPr="00C65DFF">
              <w:rPr>
                <w:rFonts w:ascii="Arial" w:hAnsi="Arial" w:cs="Arial"/>
                <w:color w:val="000000"/>
                <w:sz w:val="16"/>
                <w:szCs w:val="16"/>
              </w:rPr>
              <w:br/>
              <w:t>По 6 таблеток у блістері, по 5 блістерів у пачці:</w:t>
            </w:r>
            <w:r w:rsidRPr="00C65DFF">
              <w:rPr>
                <w:rFonts w:ascii="Arial" w:hAnsi="Arial" w:cs="Arial"/>
                <w:color w:val="000000"/>
                <w:sz w:val="16"/>
                <w:szCs w:val="16"/>
              </w:rPr>
              <w:br/>
              <w:t xml:space="preserve">Об’єм серії: 55.0 кг або 40 293-44 532 таблеток, 6715-7422 блістерів; 1 343-1 484 уп. №30 (6х5); </w:t>
            </w:r>
            <w:r w:rsidRPr="00C65DFF">
              <w:rPr>
                <w:rFonts w:ascii="Arial" w:hAnsi="Arial" w:cs="Arial"/>
                <w:color w:val="000000"/>
                <w:sz w:val="16"/>
                <w:szCs w:val="16"/>
              </w:rPr>
              <w:br/>
              <w:t>По 10 таблеток у блістері, по 3 або по 4 блістерів в пачці:</w:t>
            </w:r>
            <w:r w:rsidRPr="00C65DFF">
              <w:rPr>
                <w:rFonts w:ascii="Arial" w:hAnsi="Arial" w:cs="Arial"/>
                <w:color w:val="000000"/>
                <w:sz w:val="16"/>
                <w:szCs w:val="16"/>
              </w:rPr>
              <w:br/>
              <w:t xml:space="preserve">Об’єм серії: 55.0 кг або 40 293-44 532 таблеток, 4029-4453 блістера; 1 343-1 484 уп. №30 (10х3), або 1007-1113 уп №40 (10х4). </w:t>
            </w:r>
            <w:r w:rsidRPr="00C65DFF">
              <w:rPr>
                <w:rFonts w:ascii="Arial" w:hAnsi="Arial" w:cs="Arial"/>
                <w:color w:val="000000"/>
                <w:sz w:val="16"/>
                <w:szCs w:val="16"/>
              </w:rPr>
              <w:br/>
              <w:t>Пропонована редакція</w:t>
            </w:r>
            <w:r w:rsidRPr="00C65DFF">
              <w:rPr>
                <w:rFonts w:ascii="Arial" w:hAnsi="Arial" w:cs="Arial"/>
                <w:color w:val="000000"/>
                <w:sz w:val="16"/>
                <w:szCs w:val="16"/>
              </w:rPr>
              <w:br/>
              <w:t>По 6 таблеток у блістері, по 5 блістерів у пачці:</w:t>
            </w:r>
            <w:r w:rsidRPr="00C65DFF">
              <w:rPr>
                <w:rFonts w:ascii="Arial" w:hAnsi="Arial" w:cs="Arial"/>
                <w:color w:val="000000"/>
                <w:sz w:val="16"/>
                <w:szCs w:val="16"/>
              </w:rPr>
              <w:br/>
              <w:t>Об’єм серії: 55.0 кг або 40 293-44 532 таблеток, 6715-7422 блістерів; 1 343-1 484 уп. №30 (6х5);</w:t>
            </w:r>
            <w:r w:rsidRPr="00C65DFF">
              <w:rPr>
                <w:rFonts w:ascii="Arial" w:hAnsi="Arial" w:cs="Arial"/>
                <w:color w:val="000000"/>
                <w:sz w:val="16"/>
                <w:szCs w:val="16"/>
              </w:rPr>
              <w:br/>
              <w:t xml:space="preserve">Об’єм серії: 148-150 кг таблетмаси або 144-150 кг таблеток або 110 769-121 457 шт. таблеток, 17 307-20 242 шт. блістерів; 3 461- 4 048 уп. №30 (6х5); </w:t>
            </w:r>
            <w:r w:rsidRPr="00C65DFF">
              <w:rPr>
                <w:rFonts w:ascii="Arial" w:hAnsi="Arial" w:cs="Arial"/>
                <w:color w:val="000000"/>
                <w:sz w:val="16"/>
                <w:szCs w:val="16"/>
              </w:rPr>
              <w:br/>
              <w:t>По 10 таблеток у блістері, по 3 або по 4 блістерів в пачці:</w:t>
            </w:r>
            <w:r w:rsidRPr="00C65DFF">
              <w:rPr>
                <w:rFonts w:ascii="Arial" w:hAnsi="Arial" w:cs="Arial"/>
                <w:color w:val="000000"/>
                <w:sz w:val="16"/>
                <w:szCs w:val="16"/>
              </w:rPr>
              <w:br/>
              <w:t>Об’єм серії: 55.0 кг або 40 293-44 532 таблеток, 4029-4453 блістера; 1 343-1 484 уп. №30 (10х3), або 1007-1113 уп №40 (10х4).</w:t>
            </w:r>
            <w:r w:rsidRPr="00C65DFF">
              <w:rPr>
                <w:rFonts w:ascii="Arial" w:hAnsi="Arial" w:cs="Arial"/>
                <w:color w:val="000000"/>
                <w:sz w:val="16"/>
                <w:szCs w:val="16"/>
              </w:rPr>
              <w:br/>
              <w:t xml:space="preserve">Об’єм серії: 148-150 кг таблетмаси або 144-150 кг таблеток або 110 769-121 457 шт. таблеток, 10 384-12 145 шт. блістерів; </w:t>
            </w:r>
            <w:r w:rsidRPr="00C65DFF">
              <w:rPr>
                <w:rFonts w:ascii="Arial" w:hAnsi="Arial" w:cs="Arial"/>
                <w:color w:val="000000"/>
                <w:sz w:val="16"/>
                <w:szCs w:val="16"/>
              </w:rPr>
              <w:br/>
              <w:t>3 461-4 048 уп. №30 (10х3) або 2 596-3036 уп №40 (10х4).</w:t>
            </w:r>
            <w:r w:rsidRPr="00C65DFF">
              <w:rPr>
                <w:rFonts w:ascii="Arial" w:hAnsi="Arial" w:cs="Arial"/>
                <w:color w:val="000000"/>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незначні зміни в виробничому процесі, а саме: час перемішування, опудрювання; спосіб введення розчину зволожувача; температуру та час сушки маси.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UA/19823/01/01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Бельгія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Усунення розбіжностей між операційною та зареєстрованою документацією при проведенні контролю якості (QC) для випуску посівного матеріалу та банків клітин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UA/13939/01/01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Бельгія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Усунення розбіжностей між операційною документацією та зареєстрованою документацією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UA/15832/01/01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ЙОД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зовнішнього застосування, спиртовий 5%, по 10 мл або по 20 мл у флаконах скляних або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"МЕДЛЕВ"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65DFF">
              <w:rPr>
                <w:rFonts w:ascii="Arial" w:hAnsi="Arial" w:cs="Arial"/>
                <w:color w:val="000000"/>
                <w:sz w:val="16"/>
                <w:szCs w:val="16"/>
              </w:rPr>
              <w:br/>
              <w:t>Діюча редакція: Зуєва Світлана Василівна. Пропонована редакція: Зінова Клавдія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UA/18027/01/01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КАПОТІАЗИД®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10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специфікації та методик контролю на АФІ Каптоприл за показниками «Ідентифікація», «Питоме оптичне обертання», «Втрата в масі під час висушування», «Домішка F» та вилучення показника «Важкі метали», у зв'язку з приведенням у відповідність до вимог монографії ЕР 1079 «CAPTOPRIL» Зміни І типу - Зміни з якості. АФІ. Система контейнер/закупорювальний засіб (інші зміни) Внесення змін до р.3.2.S.6 Система контейнер/закупорювальний засіб для виробника «Changzhou Pharmaceutical Factory», Китай, а саме – зміна опису первинної та вторинної упаковки без зміни параметрів специфікації, на підставі оновлених матеріалів від виробника АФІ Каптоприлу «Changzhou Pharmaceutical Factory», Китай. Затверджено Субстанцію упаковують у двошарові поліетилен пластикові пакети, низької щільності. Пакети поміщають у темно-коричневі картонні ємності. На картонні ємності наклеюють етикетку. Запропоновано Субстанцію упаковують у двошарові пакети з поліетилену низької щільності. Пакети поміщають у фібровий барабан.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Зміна терміну придатності АФІ Каптоприл з 3 років на термін до проведення повторних випробувань - 36 місяців. Зміни обумовлені отриманням оновленого розділу "Стабільність" від виробника АФІ Каптоприлу фірми-виробника «Changzhou Pharmaceutical Factory», Китай.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Зміна умов зберігання АФІ Каптоприл виробника Changzhou Pharmaceutical Factory, Китай, на підставі отриманих результатів дослідження стабільності виробника АФІ Каптоприл «Changzhou Pharmaceutical Factory», Китай. Затверджено Умови зберігання Зберігати в оригінальній упаковці при температурі не вище 25</w:t>
            </w:r>
            <w:r w:rsidRPr="00C65DFF">
              <w:rPr>
                <w:rFonts w:ascii="Arial" w:hAnsi="Arial" w:cs="Arial"/>
                <w:color w:val="000000"/>
                <w:sz w:val="16"/>
                <w:szCs w:val="16"/>
                <w:vertAlign w:val="superscript"/>
              </w:rPr>
              <w:t>0</w:t>
            </w:r>
            <w:r w:rsidRPr="00C65DFF">
              <w:rPr>
                <w:rFonts w:ascii="Arial" w:hAnsi="Arial" w:cs="Arial"/>
                <w:color w:val="000000"/>
                <w:sz w:val="16"/>
                <w:szCs w:val="16"/>
              </w:rPr>
              <w:t xml:space="preserve"> С. Запропоновано Умови зберігання Зберігати у щільно закритих контейнерах, в захищеному від світла місці, при температурі не вище 25</w:t>
            </w:r>
            <w:r w:rsidRPr="00C65DFF">
              <w:rPr>
                <w:rFonts w:ascii="Arial" w:hAnsi="Arial" w:cs="Arial"/>
                <w:color w:val="000000"/>
                <w:sz w:val="16"/>
                <w:szCs w:val="16"/>
                <w:vertAlign w:val="superscript"/>
              </w:rPr>
              <w:t>0</w:t>
            </w:r>
            <w:r w:rsidRPr="00C65DFF">
              <w:rPr>
                <w:rFonts w:ascii="Arial" w:hAnsi="Arial" w:cs="Arial"/>
                <w:color w:val="000000"/>
                <w:sz w:val="16"/>
                <w:szCs w:val="16"/>
              </w:rPr>
              <w:t xml:space="preserve"> 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UA/5474/01/01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КВЕНТАКЕЛЬ D5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краплі для перорального та місцевого застосування по 10 мл у флаконі з крапельницею;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CАНУМ-Кельбек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CАНУМ-Кельбек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та вторинної (п. 2, 3, 8, 12, 13, 14,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UA/11595/01/01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оральний, 100 мг/мл; по 300 мл у флаконі; по 1 флакону з мірним пластиковим шприцом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Бельгiя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НекстФарма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Франція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в адресі місця провадження діяльності без зміни фактичного розташування компанії Hikal Limited, India - виробника проміжного продукту етірацетам, а саме додавання складського приміщення за адресою №72. Місцезнаходження виробника, виробнича дільниця та усі виробничі операції залишаються незмінними. Діюча редакція: Hikal Limited 82/A, KIADB Industrial Area, Jigani, Anekal Taluk, Bangalore-560105, India. Пропонована редакція: Hikal Limited 72 &amp; 82/A, KIADB Industrial Area Jigani, Anekal Taluk, Bengaluru, 560105,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UA/9155/02/01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оболонкою, по 250 мг; по 10 таблеток у блістері; по 3 або 6 блістерів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Бельгiя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ЮСБ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Бельгiя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Адміністративна зміна в адресі місця провадження діяльності без зміни фактичного розташування компанії Hikal Limited, India - виробника проміжного продукту етірацетам, а саме додавання складського приміщення за адресою №72. Місцезнаходження виробника, виробнича дільниця та усі виробничі операції залишаються незмінними. Діюча редакція: Hikal Limited 82/A, KIADB Industrial Area, Jigani, Anekal Taluk, Bangalore-560105, India </w:t>
            </w:r>
            <w:r w:rsidRPr="00C65DFF">
              <w:rPr>
                <w:rFonts w:ascii="Arial" w:hAnsi="Arial" w:cs="Arial"/>
                <w:color w:val="000000"/>
                <w:sz w:val="16"/>
                <w:szCs w:val="16"/>
              </w:rPr>
              <w:br/>
              <w:t>Пропонована редакція: Hikal Limited 72 &amp; 82/A, KIADB Industrial Area Jigani, Anekal Taluk, Bengaluru, 560105,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UA/9155/01/01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оболонкою, по 500 мг; по 10 таблеток у блістері; по 3 або 6 блістерів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Бельгiя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ЮСБ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Бельгiя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Адміністративна зміна в адресі місця провадження діяльності без зміни фактичного розташування компанії Hikal Limited, India - виробника проміжного продукту етірацетам, а саме додавання складського приміщення за адресою №72. Місцезнаходження виробника, виробнича дільниця та усі виробничі операції залишаються незмінними. Діюча редакція: Hikal Limited 82/A, KIADB Industrial Area, Jigani, Anekal Taluk, Bangalore-560105, India </w:t>
            </w:r>
            <w:r w:rsidRPr="00C65DFF">
              <w:rPr>
                <w:rFonts w:ascii="Arial" w:hAnsi="Arial" w:cs="Arial"/>
                <w:color w:val="000000"/>
                <w:sz w:val="16"/>
                <w:szCs w:val="16"/>
              </w:rPr>
              <w:br/>
              <w:t>Пропонована редакція: Hikal Limited 72 &amp; 82/A, KIADB Industrial Area Jigani, Anekal Taluk, Bengaluru, 560105,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UA/9155/01/02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оболонкою, по 1000 мг; по 10 таблеток у блістері; по 3 або 6 блістерів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Бельгiя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ЮСБ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Бельгiя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Адміністративна зміна в адресі місця провадження діяльності без зміни фактичного розташування компанії Hikal Limited, India - виробника проміжного продукту етірацетам, а саме додавання складського приміщення за адресою №72. Місцезнаходження виробника, виробнича дільниця та усі виробничі операції залишаються незмінними. Діюча редакція: Hikal Limited 82/A, KIADB Industrial Area, Jigani, Anekal Taluk, Bangalore-560105, India </w:t>
            </w:r>
            <w:r w:rsidRPr="00C65DFF">
              <w:rPr>
                <w:rFonts w:ascii="Arial" w:hAnsi="Arial" w:cs="Arial"/>
                <w:color w:val="000000"/>
                <w:sz w:val="16"/>
                <w:szCs w:val="16"/>
              </w:rPr>
              <w:br/>
              <w:t>Пропонована редакція: Hikal Limited 72 &amp; 82/A, KIADB Industrial Area Jigani, Anekal Taluk, Bengaluru, 560105,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UA/9155/01/03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КЕТОНАЛ®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капсули з модифікованим вивільненням тверді по 150 мг по 10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виробництво in bulk, первинне та вторинне пакування, контроль серії (окрім мікробіологічного): Новартіс Фармасьютікал Мануфактуринг ЛЛС, Словенія; контроль серії (мікробіологічний контроль), випуск серії: Лек Фармацевтична компанія д.д., Словенія; </w:t>
            </w:r>
            <w:r w:rsidRPr="00C65DFF">
              <w:rPr>
                <w:rFonts w:ascii="Arial" w:hAnsi="Arial" w:cs="Arial"/>
                <w:color w:val="000000"/>
                <w:sz w:val="16"/>
                <w:szCs w:val="16"/>
              </w:rPr>
              <w:br/>
              <w:t>первинне і вторинне пакування: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2008-048 - Rev 00 для желатину від нового виробника PIONEER JELLICE INDIA PRIVATE LIMITED.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UA/8325/03/02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КЕТОСТЕРИЛ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20 таблеток у блістері; по 5 блістерів у запаяному пакеті з алюмінієвої фольги; по 1 пакету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Фрезеніус Кабі Дойчланд ГмбХ</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Лабесфаль Лабораторіос Алміро, С.А.</w:t>
            </w:r>
            <w:r w:rsidRPr="00C65DFF">
              <w:rPr>
                <w:rFonts w:ascii="Arial" w:hAnsi="Arial" w:cs="Arial"/>
                <w:color w:val="000000"/>
                <w:sz w:val="16"/>
                <w:szCs w:val="16"/>
              </w:rPr>
              <w:br/>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Португалія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Зміна стосується уточнення формолювання комплектності вторинної упаковки, що не впливає на доставку, застосування,безпеку або стабільність лікарського засобу. </w:t>
            </w:r>
          </w:p>
          <w:p w:rsidR="004E3439" w:rsidRPr="00C65DFF" w:rsidRDefault="004E3439" w:rsidP="00E45030">
            <w:pPr>
              <w:pStyle w:val="110"/>
              <w:tabs>
                <w:tab w:val="left" w:pos="12600"/>
              </w:tabs>
              <w:jc w:val="center"/>
              <w:rPr>
                <w:rFonts w:ascii="Arial" w:hAnsi="Arial" w:cs="Arial"/>
                <w:color w:val="000000"/>
                <w:sz w:val="16"/>
                <w:szCs w:val="16"/>
              </w:rPr>
            </w:pP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UA/2403/01/01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КЕТОТИФЕН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краплі очні, 0,25 мг/мл по 5 мл у флаконі; по 1 флакону в коробці у комплекті з кришкою-крапельницею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"Передозування", "Побічні реакції", а саме, внесено інформацію з безпеки діючої речовини кетотифен.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UA/1942/01/01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КОНТРАЦИД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розчину для ін'єкцій по 40 мг у флаконі; 1 або 5, або 10 флаконів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Приватне акціонерне товариство "Лекхім-Харків", Україна (виробництво з продукції in bulk фірми-виробника 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незначні зміни контролю ГЛЗ, а саме використання результатів вхідного контролю форми «in bulk» для контролю ГЛЗ. Зміна обґрунтована наявністю у виробництві сертифікату відповідності вимогам GMP, відсутністю рекламацій щодо якості ГЛЗ, оцінкою аналізу ризиків та даними вивчення стабільності.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UA/20319/01/01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КОРДЕРІЯ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4 мг/10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АТ "Фармак" </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UA/20544/01/02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КОРДЕРІЯ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8 мг/5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АТ "Фармак" </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UA/20544/01/03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КОРДЕРІЯ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8 мг/10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АТ "Фармак" </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АТ "Фармак" </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UA/20544/01/04</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КОРДЕРІЯ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4 мг/5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АТ "Фармак" </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АТ "Фармак" </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UA/20544/01/01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КОРДЕРІЯ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2 мг/0,625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АТ "Фармак" </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UA/20545/01/01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КОРДЕРІЯ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4 мг/1,25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АТ "Фармак" </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UA/20545/01/02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КОРДЕРІЯ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8 мг/2,5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АТ "Фармак" </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UA/20545/01/03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КРЕОН®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2011-150 - Rev 00 для допоміжної речовини Gelatin від нового виробника RAMA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CEP R0-2019-101 - Rev 00 для допоміжної речовини Gelatin від нового виробника BHOPAL GLUES &amp; CHEMICALS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R0-CEP 2022-048 - Rev 00 для допоміжної речовини Gelatin від нового виробника HALAVET GIDA SANAYI VE TICARET 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2003-261 - Rev 01 для допоміжної речовини Gelatin від нового виробника India Gelatine and Chemicals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2014-280 - Rev 01 для допоміжної речовини Gelatin від нового виробника PB GELATINS HEILONGJIANG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2002-098 - Rev 04 для допоміжної речовини Gelatin від нового виробника ROUSSELOT </w:t>
            </w:r>
            <w:r w:rsidRPr="00C65DFF">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2003-172 - Rev 03 (затверджено: R1-CEP 2003-172 - Rev 02) для допоміжної речовини Gelatin від затвердженого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w:t>
            </w:r>
            <w:r w:rsidRPr="00C65DFF">
              <w:rPr>
                <w:rFonts w:ascii="Arial" w:hAnsi="Arial" w:cs="Arial"/>
                <w:color w:val="000000"/>
                <w:sz w:val="16"/>
                <w:szCs w:val="16"/>
              </w:rPr>
              <w:br/>
              <w:t xml:space="preserve">подання оновленого ГЕ-сертифіката відповідності Європейській фармакопеї № R1-CEP 2000-029 - Rev 06 (затверджено: R1-CEP 2000-029 - Rev 05) для допоміжної речовини Gelatin від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CEP R0-2019-101 - Rev 01 для допоміжної речовини Gelatin виробника BHOPAL GLUES &amp; CHEMICALS PRIVATE LIMITED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UA/9842/01/01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КРЕОН® 25000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капсули тверді з гастрорезистентними гранулами по 300 мг; по 20 або 50, або 100 капсул у флаконі; по 1 флакону в картонній коробці; по 10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2011-150 - Rev 00 для допоміжної речовини Gelatin від нового виробника RAMA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CEP R0-2019-101 - Rev 00 для допоміжної речовини Gelatin від нового виробника BHOPAL GLUES &amp; CHEMICALS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R0-CEP 2022-048 - Rev 00 для допоміжної речовини Gelatin від нового виробника HALAVET GIDA SANAYI VE TICARET 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2003-261 - Rev 01 для допоміжної речовини Gelatin від нового виробника India Gelatine and Chemicals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2014-280 - Rev 01 для допоміжної речовини Gelatin від нового виробника PB GELATINS HEILONGJIANG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2002-098 - Rev 04 для допоміжної речовини Gelatin від нового виробника ROUSSELOT </w:t>
            </w:r>
            <w:r w:rsidRPr="00C65DFF">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2003-172 - Rev 03 (затверджено: R1-CEP 2003-172 - Rev 02) для допоміжної речовини Gelatin від затвердженого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w:t>
            </w:r>
            <w:r w:rsidRPr="00C65DFF">
              <w:rPr>
                <w:rFonts w:ascii="Arial" w:hAnsi="Arial" w:cs="Arial"/>
                <w:color w:val="000000"/>
                <w:sz w:val="16"/>
                <w:szCs w:val="16"/>
              </w:rPr>
              <w:br/>
              <w:t xml:space="preserve">подання оновленого ГЕ-сертифіката відповідності Європейській фармакопеї № R1-CEP 2000-029 - Rev 06 (затверджено: R1-CEP 2000-029 - Rev 05) для допоміжної речовини Gelatin від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CEP R0-2019-101 - Rev 01 для допоміжної речовини Gelatin виробника BHOPAL GLUES &amp; CHEMICALS PRIVATE LIMITED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UA/9842/01/02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КРЕОН® 40000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капсули тверді з гастрорезистентними гранулами по 400 мг по 20 або 50, або 100 капсул у флаконі; по 1 флакону в картонній коробці; по 10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2011-150 - Rev 00 для допоміжної речовини Gelatin від нового виробника RAMA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CEP R0-2019-101 - Rev 00 для допоміжної речовини Gelatin від нового виробника BHOPAL GLUES &amp; CHEMICALS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R0-CEP 2022-048 - Rev 00 для допоміжної речовини Gelatin від нового виробника HALAVET GIDA SANAYI VE TICARET 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2003-261 - Rev 01 для допоміжної речовини Gelatin від нового виробника India Gelatine and Chemicals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2014-280 - Rev 01 для допоміжної речовини Gelatin від нового виробника PB GELATINS HEILONGJIANG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2002-098 - Rev 04 для допоміжної речовини Gelatin від нового виробника ROUSSELOT </w:t>
            </w:r>
            <w:r w:rsidRPr="00C65DFF">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2003-172 - Rev 03 (затверджено: R1-CEP 2003-172 - Rev 02) для допоміжної речовини Gelatin від затвердженого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w:t>
            </w:r>
            <w:r w:rsidRPr="00C65DFF">
              <w:rPr>
                <w:rFonts w:ascii="Arial" w:hAnsi="Arial" w:cs="Arial"/>
                <w:color w:val="000000"/>
                <w:sz w:val="16"/>
                <w:szCs w:val="16"/>
              </w:rPr>
              <w:br/>
              <w:t xml:space="preserve">подання оновленого ГЕ-сертифіката відповідності Європейській фармакопеї № R1-CEP 2000-029 - Rev 06 (затверджено: R1-CEP 2000-029 - Rev 05) для допоміжної речовини Gelatin від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CEP R0-2019-101 - Rev 01 для допоміжної речовини Gelatin виробника BHOPAL GLUES &amp; CHEMICALS PRIVATE LIMITED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UA/9842/01/03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КСАВРОН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1,5 мг/мл, по 20 мл в ампулах скляних; по 2 ампули у контурній чарунковій упаковці, по 1 чарунковій упаковці у пачці з картону; по 5 ампул у контурній чарунковій упаковці, по 2 чарункові упаковки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"Юрія-Фарм"</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"Фармакологічні властивості", "Спосіб застосування та дози", "Діти" (уточнення) відповідно до матеріалів реєстраційного досьє., а також у відповідні розділи короткої характеристики лікарського засобу ("Фармакологічні властивості", "Дози та спосіб застосування", "Діти").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внесені до Інструкції для медичного застосування лікарського засобу до розділу "Показання" щодо додавання нового показання "У складі комплексного лікування стану, який виник внаслідок системної запальної відповіді при коронавірусній хворобі (COVID-19)", а також у відповідний розділ короткої характеристики лікарського засобу ("Терапевтичні показання"). В межах зміни надано оновлений план управління ризиками, версія 1.3. Резюме плану управління ризиками додається.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UA/16780/01/01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25 мг; по 15 таблеток у блістері з полівінілхлорид/алюмінієвої фольги із системою захисту від дітей;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65DFF">
              <w:rPr>
                <w:rFonts w:ascii="Arial" w:hAnsi="Arial" w:cs="Arial"/>
                <w:color w:val="000000"/>
                <w:sz w:val="16"/>
                <w:szCs w:val="16"/>
              </w:rPr>
              <w:br/>
              <w:t>незначна зміна у методі випробування проміжного продукту для виробництва АФІ за показником «Loss on Drying», що полягає у зміні умов висушування (з «висушування під тиском не вище 0.7 кПа» на «висушування в умовах вакууму» з міркувань безпеки. Додатково, редакційні зміни в п.3.2.S.2.4.Контроль критичних стадій та проміжної продукції для показників «Related substances by HPLC» та «Assay by HPLC».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методі випробування АФІ за показником «Loss on Drying», що полягає у зміні умов для висушування (з «висушування під тиском не вище 0.7 кПа» на «висушування в умовах вакууму» з міркувань безпеки. Додатково, редакційні зміни в п.3.2.S.4.2.Аналітичні методики, для показників «Propan-1-ol by Gas chromatography» та «Residue on ignition».</w:t>
            </w:r>
            <w:r w:rsidRPr="00C65DFF">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65DFF">
              <w:rPr>
                <w:rFonts w:ascii="Arial" w:hAnsi="Arial" w:cs="Arial"/>
                <w:color w:val="000000"/>
                <w:sz w:val="16"/>
                <w:szCs w:val="16"/>
              </w:rPr>
              <w:br/>
              <w:t>незначні зміни у методі випробування проміжного продукту для виробництва АФІ за показником «Assay and Related Substances by HPLC» - виправлення в описі приготування розчину для перевірки придатності системи, виправлення орфографічних помилок, неточностей опису та уточнення одиниць вимірювання.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UA/0452/02/01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50 мг; по 15 таблеток у блістері з полівінілхлорид/алюмінієвої фольги/паперу із системою захисту від дітей;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65DFF">
              <w:rPr>
                <w:rFonts w:ascii="Arial" w:hAnsi="Arial" w:cs="Arial"/>
                <w:color w:val="000000"/>
                <w:sz w:val="16"/>
                <w:szCs w:val="16"/>
              </w:rPr>
              <w:br/>
              <w:t>незначна зміна у методі випробування проміжного продукту для виробництва АФІ за показником «Loss on Drying», що полягає у зміні умов висушування (з «висушування під тиском не вище 0.7 кПа» на «висушування в умовах вакууму» з міркувань безпеки. Додатково, редакційні зміни в п.3.2.S.2.4.Контроль критичних стадій та проміжної продукції для показників «Related substances by HPLC» та «Assay by HPLC».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методі випробування АФІ за показником «Loss on Drying», що полягає у зміні умов для висушування (з «висушування під тиском не вище 0.7 кПа» на «висушування в умовах вакууму» з міркувань безпеки. Додатково, редакційні зміни в п.3.2.S.4.2.Аналітичні методики, для показників «Propan-1-ol by Gas chromatography» та «Residue on ignition».</w:t>
            </w:r>
            <w:r w:rsidRPr="00C65DFF">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65DFF">
              <w:rPr>
                <w:rFonts w:ascii="Arial" w:hAnsi="Arial" w:cs="Arial"/>
                <w:color w:val="000000"/>
                <w:sz w:val="16"/>
                <w:szCs w:val="16"/>
              </w:rPr>
              <w:br/>
              <w:t>незначні зміни у методі випробування проміжного продукту для виробництва АФІ за показником «Assay and Related Substances by HPLC» - виправлення в описі приготування розчину для перевірки придатності системи, виправлення орфографічних помилок, неточностей опису та уточнення одиниць вимірювання.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UA/0452/02/02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100 мг; по 15 таблеток у блістері з полівінілхлорид/алюмінієвої фольги/паперу із системою захисту від дітей;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65DFF">
              <w:rPr>
                <w:rFonts w:ascii="Arial" w:hAnsi="Arial" w:cs="Arial"/>
                <w:color w:val="000000"/>
                <w:sz w:val="16"/>
                <w:szCs w:val="16"/>
              </w:rPr>
              <w:br/>
              <w:t>незначна зміна у методі випробування проміжного продукту для виробництва АФІ за показником «Loss on Drying», що полягає у зміні умов висушування (з «висушування під тиском не вище 0.7 кПа» на «висушування в умовах вакууму» з міркувань безпеки. Додатково, редакційні зміни в п.3.2.S.2.4.Контроль критичних стадій та проміжної продукції для показників «Related substances by HPLC» та «Assay by HPLC».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методі випробування АФІ за показником «Loss on Drying», що полягає у зміні умов для висушування (з «висушування під тиском не вище 0.7 кПа» на «висушування в умовах вакууму» з міркувань безпеки. Додатково, редакційні зміни в п.3.2.S.4.2.Аналітичні методики, для показників «Propan-1-ol by Gas chromatography» та «Residue on ignition».</w:t>
            </w:r>
            <w:r w:rsidRPr="00C65DFF">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65DFF">
              <w:rPr>
                <w:rFonts w:ascii="Arial" w:hAnsi="Arial" w:cs="Arial"/>
                <w:color w:val="000000"/>
                <w:sz w:val="16"/>
                <w:szCs w:val="16"/>
              </w:rPr>
              <w:br/>
              <w:t>незначні зміни у методі випробування проміжного продукту для виробництва АФІ за показником «Assay and Related Substances by HPLC» - виправлення в описі приготування розчину для перевірки придатності системи, виправлення орфографічних помилок, неточностей опису та уточнення одиниць вимірювання.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UA/0452/02/03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ЛЕГКОЛАКС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орального розчину по 10,0 г; по 10 г в пакеті-саше; по 4 або 10 або 20 пакетів-саше у пачці; по 300 г у банці; по 1 банці з мірною ложкою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внесення змін до геометричних розмірів контейнера (у специфікацію на банки пластикові з прокладкою і різьбовою кришкою) для можливості використання альтернативного виробника первинного пакування. Опис та матеріали первинного пакування, що контактують з лікарським засобом, а відповідно, і паропроникність контейнерів, а також вільний простір над лікарським засобом не змінюються, тому пропонована зміна не вплине на якість та безпечність лікарського засобу. -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оновлення методика контролю за показником «Мікробіологічна чистота» для банок пластикових з прокладкою і різьбовою кришкою.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вилучення посилання на неактуальні ГОСТ з тексту методик на банки (п. «Розміри») та на ложки мірні (п. «Міткість», «Розміри»). Зміни внесено у зв'язку з неактуальністю зазначених посилань на ГОСТ.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UA/15646/01/02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ЛЕГКОЛАКС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орального розчину по 4,0 г; по 4 г в пакеті-саше; по 4 або 10 або 20 пакетів-саше у пачці; по 150 г у банці; по 1 банці з мірною ложкою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внесення змін до геометричних розмірів контейнера (у специфікацію на банки пластикові з прокладкою і різьбовою кришкою) для можливості використання альтернативного виробника первинного пакування. Опис та матеріали первинного пакування, що контактують з лікарським засобом, а відповідно, і паропроникність контейнерів, а також вільний простір над лікарським засобом не змінюються, тому пропонована зміна не вплине на якість та безпечність лікарського засобу. -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оновлення методика контролю за показником «Мікробіологічна чистота» для банок пластикових з прокладкою і різьбовою кришкою.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вилучення посилання на неактуальні ГОСТ з тексту методик на банки (п. «Розміри») та на ложки мірні (п. «Міткість», «Розміри»). Зміни внесено у зв'язку з неактуальністю зазначених посилань на ГОСТ.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UA/15646/01/01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ЛЕФЛЮТАБ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оболонкою, по 10 мг; по 30 таблеток у контейнері; по 1 контейнеру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Виробник, що відповідає за маркування, вторинне пакування, контроль/випробування серії та випуск серії:</w:t>
            </w:r>
            <w:r w:rsidRPr="00C65DFF">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готової лікарськї форми, первинне пакування, маркування, вторинне пакування, контроль/випробування серії та за випуск серії:</w:t>
            </w:r>
            <w:r w:rsidRPr="00C65DFF">
              <w:rPr>
                <w:rFonts w:ascii="Arial" w:hAnsi="Arial" w:cs="Arial"/>
                <w:color w:val="000000"/>
                <w:sz w:val="16"/>
                <w:szCs w:val="16"/>
              </w:rPr>
              <w:br/>
              <w:t>Хаупт Фарма Мюнстер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виправлення технічної помилки на титульній сторінці тексту МКЯ ЛЗ у назві виробника, допущеної під час змін в методах контролю якості ЛЗ, які були затверджені Наказом МОЗ Украіни № 1808 від 18.10.2023 року, а саме: Затверджено: Хаупт Фарма Волфратшаусен ГмбХ, Німеччина (виробник, що відповідає за виробництво готової лікарської форми, первинне пакування, маркування, вторинне пакування, контроль/випробування серії та за випуск серії). Запропоновано: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контроль/випробування серії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UA/12013/01/01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ЛЕФЛЮТАБ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оболонкою, по 20 мг по 15 або по 30 таблеток у контейнері; по 1 контейнеру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Виробник, що відповідає за маркування, вторинне пакування, контроль/випробування серії та випуск серії:</w:t>
            </w:r>
            <w:r w:rsidRPr="00C65DFF">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готової лікарськї форми, первинне пакування, маркування, вторинне пакування, контроль/випробування серії та за випуск серії:</w:t>
            </w:r>
            <w:r w:rsidRPr="00C65DFF">
              <w:rPr>
                <w:rFonts w:ascii="Arial" w:hAnsi="Arial" w:cs="Arial"/>
                <w:color w:val="000000"/>
                <w:sz w:val="16"/>
                <w:szCs w:val="16"/>
              </w:rPr>
              <w:br/>
              <w:t>Хаупт Фарма Мюнстер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виправлення технічної помилки на титульній сторінці тексту МКЯ ЛЗ у назві виробника, допущеної під час змін в методах контролю якості ЛЗ, які були затверджені Наказом МОЗ Украіни № 1808 від 18.10.2023 року, а саме: Затверджено: Хаупт Фарма Волфратшаусен ГмбХ, Німеччина (виробник, що відповідає за виробництво готової лікарської форми, первинне пакування, маркування, вторинне пакування, контроль/випробування серії та за випуск серії). Запропоновано: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контроль/випробування серії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UA/12013/01/02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ЛІДОКАЇН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20 мг/мл; по 2 мл в ампулі; по 5 ампул у блістері з плівки; по 1 або 2 блістери у пачці з картону;</w:t>
            </w:r>
            <w:r w:rsidRPr="00C65DFF">
              <w:rPr>
                <w:rFonts w:ascii="Arial" w:hAnsi="Arial" w:cs="Arial"/>
                <w:color w:val="000000"/>
                <w:sz w:val="16"/>
                <w:szCs w:val="16"/>
              </w:rPr>
              <w:br/>
              <w:t>по 2 мл в ампулі; по 10 ампул у пачці з картону з картонними перегородками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Вилучення застарілого показника «Аномальна токсичність» у зв’язку з втратою чинності та вилученням з EP 2.6 «Біологічні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UA/14029/01/01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ЛІДОКАЇНУ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20 мг/мл, по 2 мл в ампулі; по 10 ампул у контурній чарунковій упаковці; по 1 контурній чарунковій упаковці в пачці; по 2 мл в ампулі; по 10 ампул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Вода для ін’єкцій до вимог монографії ЕР, а саме: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UA/4364/01/01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20 мг: по 10 таблеток у блістері; по 3 блістери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in bulk, 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Німеччина</w:t>
            </w:r>
            <w:r w:rsidRPr="00C65DFF">
              <w:rPr>
                <w:rFonts w:ascii="Arial" w:hAnsi="Arial" w:cs="Arial"/>
                <w:color w:val="000000"/>
                <w:sz w:val="16"/>
                <w:szCs w:val="16"/>
                <w:lang w:val="en-US"/>
              </w:rPr>
              <w:t>/</w:t>
            </w:r>
            <w:r w:rsidRPr="00C65DFF">
              <w:rPr>
                <w:rFonts w:ascii="Arial" w:hAnsi="Arial" w:cs="Arial"/>
                <w:color w:val="000000"/>
                <w:sz w:val="16"/>
                <w:szCs w:val="16"/>
              </w:rPr>
              <w:t xml:space="preserve"> США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рідкісних повідомлень про безпеку лікарського засобу , а саме нову появу або загострення міастенії гравіс.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UA/2377/01/01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in bulk, 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Німеччина</w:t>
            </w:r>
            <w:r w:rsidRPr="00C65DFF">
              <w:rPr>
                <w:rFonts w:ascii="Arial" w:hAnsi="Arial" w:cs="Arial"/>
                <w:color w:val="000000"/>
                <w:sz w:val="16"/>
                <w:szCs w:val="16"/>
                <w:lang w:val="en-US"/>
              </w:rPr>
              <w:t>/</w:t>
            </w:r>
            <w:r w:rsidRPr="00C65DFF">
              <w:rPr>
                <w:rFonts w:ascii="Arial" w:hAnsi="Arial" w:cs="Arial"/>
                <w:color w:val="000000"/>
                <w:sz w:val="16"/>
                <w:szCs w:val="16"/>
              </w:rPr>
              <w:t xml:space="preserve"> США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рідкісних повідомлень про безпеку лікарського засобу , а саме нову появу або загострення міастенії гравіс.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UA/2377/01/02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80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Німеччина</w:t>
            </w:r>
            <w:r w:rsidRPr="00C65DFF">
              <w:rPr>
                <w:rFonts w:ascii="Arial" w:hAnsi="Arial" w:cs="Arial"/>
                <w:color w:val="000000"/>
                <w:sz w:val="16"/>
                <w:szCs w:val="16"/>
                <w:lang w:val="en-US"/>
              </w:rPr>
              <w:t>/</w:t>
            </w:r>
            <w:r w:rsidRPr="00C65DFF">
              <w:rPr>
                <w:rFonts w:ascii="Arial" w:hAnsi="Arial" w:cs="Arial"/>
                <w:color w:val="000000"/>
                <w:sz w:val="16"/>
                <w:szCs w:val="16"/>
              </w:rPr>
              <w:t xml:space="preserve"> США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рідкісних повідомлень про безпеку лікарського засобу , а саме нову появу або загострення міастенії гравіс.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UA/2377/01/03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10 мг, по 10 таблеток у блістері; по 3 блістери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in bulk, первинна та вторинна упаковка, контроль якості та випуск серії: Пфайзер Менюфекчуринг Дойчленд ГмбХ ,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Німеччина</w:t>
            </w:r>
            <w:r w:rsidRPr="00C65DFF">
              <w:rPr>
                <w:rFonts w:ascii="Arial" w:hAnsi="Arial" w:cs="Arial"/>
                <w:color w:val="000000"/>
                <w:sz w:val="16"/>
                <w:szCs w:val="16"/>
                <w:lang w:val="en-US"/>
              </w:rPr>
              <w:t>/</w:t>
            </w:r>
            <w:r w:rsidRPr="00C65DFF">
              <w:rPr>
                <w:rFonts w:ascii="Arial" w:hAnsi="Arial" w:cs="Arial"/>
                <w:color w:val="000000"/>
                <w:sz w:val="16"/>
                <w:szCs w:val="16"/>
              </w:rPr>
              <w:t xml:space="preserve"> США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рідкісних повідомлень про безпеку лікарського засобу , а саме нову появу або загострення міастенії гравіс.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UA/2377/01/04</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ЛОФЛАТІЛ®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оболонкою;</w:t>
            </w:r>
            <w:r w:rsidRPr="00C65DFF">
              <w:rPr>
                <w:rFonts w:ascii="Arial" w:hAnsi="Arial" w:cs="Arial"/>
                <w:color w:val="000000"/>
                <w:sz w:val="16"/>
                <w:szCs w:val="16"/>
              </w:rPr>
              <w:br/>
              <w:t>по 10 таблеток у блістері, по 1 блістеру у картонній упаковці;</w:t>
            </w:r>
            <w:r w:rsidRPr="00C65DFF">
              <w:rPr>
                <w:rFonts w:ascii="Arial" w:hAnsi="Arial" w:cs="Arial"/>
                <w:color w:val="000000"/>
                <w:sz w:val="16"/>
                <w:szCs w:val="16"/>
              </w:rPr>
              <w:br/>
              <w:t>по 10 таблеток у стрипі, по 1 стрипу у картонній упаковці;</w:t>
            </w:r>
            <w:r w:rsidRPr="00C65DFF">
              <w:rPr>
                <w:rFonts w:ascii="Arial" w:hAnsi="Arial" w:cs="Arial"/>
                <w:color w:val="000000"/>
                <w:sz w:val="16"/>
                <w:szCs w:val="16"/>
              </w:rPr>
              <w:br/>
              <w:t>по 10 таблеток у блістері, по 1 блістеру у картонній упаковці, по 10 упаковок у картонній коробці;</w:t>
            </w:r>
            <w:r w:rsidRPr="00C65DFF">
              <w:rPr>
                <w:rFonts w:ascii="Arial" w:hAnsi="Arial" w:cs="Arial"/>
                <w:color w:val="000000"/>
                <w:sz w:val="16"/>
                <w:szCs w:val="16"/>
              </w:rPr>
              <w:br/>
              <w:t>по 10 таблеток у стрипі, по 1 стрипу у картонній упаковці, по 10 упаковок у картонній коробці;</w:t>
            </w:r>
            <w:r w:rsidRPr="00C65DFF">
              <w:rPr>
                <w:rFonts w:ascii="Arial" w:hAnsi="Arial" w:cs="Arial"/>
                <w:color w:val="000000"/>
                <w:sz w:val="16"/>
                <w:szCs w:val="16"/>
              </w:rPr>
              <w:br/>
              <w:t>по 10 таблеток у блістері,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UA/7643/01/01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ЛУЦЕНТІС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lang w:val="ru-RU"/>
              </w:rPr>
            </w:pPr>
            <w:r w:rsidRPr="00C65DFF">
              <w:rPr>
                <w:rFonts w:ascii="Arial" w:hAnsi="Arial" w:cs="Arial"/>
                <w:color w:val="000000"/>
                <w:sz w:val="16"/>
                <w:szCs w:val="16"/>
                <w:lang w:val="ru-RU"/>
              </w:rPr>
              <w:t>розчин для ін'єкцій, 10 мг/мл; по 0,23 мл у флаконі; по 1 флакону у комплекті з голкою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та "Побічні реакції" відповідно до матеріалів реєстраційного досьє. Введення змін протягом 6-ти місяців після затвердження. В межах зміни надано оновлений план управління ризиками. Зміни внесено до Частини ІІ: СІІ, С ІV, CV, CVII; Частини IV, V, VI на підставі кінцевих результатів дослідження RAINBOW EXTENSION. Резюме плану управління ризиками версія 22.0.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UA/9924/01/01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МАЙДЕКЛА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lang w:val="en-US"/>
              </w:rPr>
            </w:pPr>
            <w:r w:rsidRPr="00C65DFF">
              <w:rPr>
                <w:rFonts w:ascii="Arial" w:hAnsi="Arial" w:cs="Arial"/>
                <w:sz w:val="16"/>
                <w:szCs w:val="16"/>
              </w:rPr>
              <w:t>UA/17912/01/01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МЕДАКСОН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розчину для ін'єкцій, по 2 г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Медокемі ЛТД</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autoSpaceDE w:val="0"/>
              <w:autoSpaceDN w:val="0"/>
              <w:adjustRightInd w:val="0"/>
              <w:jc w:val="center"/>
              <w:rPr>
                <w:rFonts w:ascii="Arial" w:hAnsi="Arial" w:cs="Arial"/>
                <w:bCs/>
                <w:sz w:val="16"/>
                <w:szCs w:val="16"/>
                <w:lang w:eastAsia="en-US"/>
              </w:rPr>
            </w:pPr>
            <w:r w:rsidRPr="00C65DFF">
              <w:rPr>
                <w:rFonts w:ascii="Arial" w:hAnsi="Arial" w:cs="Arial"/>
                <w:bCs/>
                <w:color w:val="000000"/>
                <w:sz w:val="16"/>
                <w:szCs w:val="16"/>
                <w:lang w:eastAsia="en-US"/>
              </w:rPr>
              <w:t>виробництво за повним циклом:</w:t>
            </w:r>
          </w:p>
          <w:p w:rsidR="004E3439" w:rsidRPr="00C65DFF" w:rsidRDefault="004E3439" w:rsidP="00E45030">
            <w:pPr>
              <w:autoSpaceDE w:val="0"/>
              <w:autoSpaceDN w:val="0"/>
              <w:adjustRightInd w:val="0"/>
              <w:jc w:val="center"/>
              <w:rPr>
                <w:rFonts w:ascii="Arial" w:hAnsi="Arial" w:cs="Arial"/>
                <w:bCs/>
                <w:sz w:val="16"/>
                <w:szCs w:val="16"/>
                <w:lang w:eastAsia="en-US"/>
              </w:rPr>
            </w:pPr>
            <w:r w:rsidRPr="00C65DFF">
              <w:rPr>
                <w:rFonts w:ascii="Arial" w:hAnsi="Arial" w:cs="Arial"/>
                <w:bCs/>
                <w:color w:val="000000"/>
                <w:sz w:val="16"/>
                <w:szCs w:val="16"/>
                <w:lang w:eastAsia="en-US"/>
              </w:rPr>
              <w:t>Медокемі Лімітед, Кіпр</w:t>
            </w:r>
          </w:p>
          <w:p w:rsidR="004E3439" w:rsidRPr="00C65DFF" w:rsidRDefault="004E3439" w:rsidP="00E45030">
            <w:pPr>
              <w:autoSpaceDE w:val="0"/>
              <w:autoSpaceDN w:val="0"/>
              <w:adjustRightInd w:val="0"/>
              <w:jc w:val="center"/>
              <w:rPr>
                <w:rFonts w:ascii="Arial" w:hAnsi="Arial" w:cs="Arial"/>
                <w:bCs/>
                <w:sz w:val="16"/>
                <w:szCs w:val="16"/>
                <w:lang w:eastAsia="en-US"/>
              </w:rPr>
            </w:pPr>
            <w:r w:rsidRPr="00C65DFF">
              <w:rPr>
                <w:rFonts w:ascii="Arial" w:hAnsi="Arial" w:cs="Arial"/>
                <w:bCs/>
                <w:color w:val="000000"/>
                <w:sz w:val="16"/>
                <w:szCs w:val="16"/>
                <w:lang w:eastAsia="en-US"/>
              </w:rPr>
              <w:t>виробництво готового лікарського засобу, первинне та вторинне пакування:</w:t>
            </w:r>
          </w:p>
          <w:p w:rsidR="004E3439" w:rsidRPr="00C65DFF" w:rsidRDefault="004E3439" w:rsidP="00E45030">
            <w:pPr>
              <w:autoSpaceDE w:val="0"/>
              <w:autoSpaceDN w:val="0"/>
              <w:adjustRightInd w:val="0"/>
              <w:jc w:val="center"/>
              <w:rPr>
                <w:rFonts w:ascii="Arial" w:hAnsi="Arial" w:cs="Arial"/>
                <w:bCs/>
                <w:sz w:val="16"/>
                <w:szCs w:val="16"/>
                <w:lang w:eastAsia="en-US"/>
              </w:rPr>
            </w:pPr>
            <w:r w:rsidRPr="00C65DFF">
              <w:rPr>
                <w:rFonts w:ascii="Arial" w:hAnsi="Arial" w:cs="Arial"/>
                <w:bCs/>
                <w:color w:val="000000"/>
                <w:sz w:val="16"/>
                <w:szCs w:val="16"/>
                <w:lang w:eastAsia="en-US"/>
              </w:rPr>
              <w:t>Медокемі (Фа Іст) Кампані Лімітед, В’єтнам</w:t>
            </w:r>
          </w:p>
          <w:p w:rsidR="004E3439" w:rsidRPr="00C65DFF" w:rsidRDefault="004E3439" w:rsidP="00E45030">
            <w:pPr>
              <w:autoSpaceDE w:val="0"/>
              <w:autoSpaceDN w:val="0"/>
              <w:adjustRightInd w:val="0"/>
              <w:jc w:val="center"/>
              <w:rPr>
                <w:rFonts w:ascii="Arial" w:hAnsi="Arial" w:cs="Arial"/>
                <w:color w:val="FF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bCs/>
                <w:color w:val="000000"/>
                <w:sz w:val="16"/>
                <w:szCs w:val="16"/>
                <w:lang w:val="ru-RU" w:eastAsia="en-US"/>
              </w:rPr>
              <w:t>Кіпр/ В’єтнам</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C65DFF">
              <w:rPr>
                <w:rFonts w:ascii="Arial" w:hAnsi="Arial" w:cs="Arial"/>
                <w:color w:val="000000"/>
                <w:sz w:val="16"/>
                <w:szCs w:val="16"/>
              </w:rPr>
              <w:br/>
              <w:t xml:space="preserve">Оновлення тексту маркування упаковки лікарського засобу, а саме: уточнено інформацію щодо дати виробництва, терміну придатності, номеру реєстраційного посвідчення, номеру серії, уточнено наявність технічних кодів.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відповідального за: виробництво за повним циклом. Зміна відбулась у звязку з приведенням до GMP без фактичної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відповідального за: виробництво готового лікарського засобу, первинне та вторинне пакування. Зміна відбулась у звязку з приведенням до GMP без фактичної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UA/7582/01/02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МЕДАКСОН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розчину для ін'єкцій, по 1 г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Медокемі ЛТД</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autoSpaceDE w:val="0"/>
              <w:autoSpaceDN w:val="0"/>
              <w:adjustRightInd w:val="0"/>
              <w:jc w:val="center"/>
              <w:rPr>
                <w:rFonts w:ascii="Arial" w:hAnsi="Arial" w:cs="Arial"/>
                <w:bCs/>
                <w:sz w:val="16"/>
                <w:szCs w:val="16"/>
                <w:lang w:eastAsia="en-US"/>
              </w:rPr>
            </w:pPr>
            <w:r w:rsidRPr="00C65DFF">
              <w:rPr>
                <w:rFonts w:ascii="Arial" w:hAnsi="Arial" w:cs="Arial"/>
                <w:bCs/>
                <w:color w:val="000000"/>
                <w:sz w:val="16"/>
                <w:szCs w:val="16"/>
                <w:lang w:eastAsia="en-US"/>
              </w:rPr>
              <w:t>виробництво за повним циклом:</w:t>
            </w:r>
          </w:p>
          <w:p w:rsidR="004E3439" w:rsidRPr="00C65DFF" w:rsidRDefault="004E3439" w:rsidP="00E45030">
            <w:pPr>
              <w:autoSpaceDE w:val="0"/>
              <w:autoSpaceDN w:val="0"/>
              <w:adjustRightInd w:val="0"/>
              <w:jc w:val="center"/>
              <w:rPr>
                <w:rFonts w:ascii="Arial" w:hAnsi="Arial" w:cs="Arial"/>
                <w:bCs/>
                <w:sz w:val="16"/>
                <w:szCs w:val="16"/>
                <w:lang w:eastAsia="en-US"/>
              </w:rPr>
            </w:pPr>
            <w:r w:rsidRPr="00C65DFF">
              <w:rPr>
                <w:rFonts w:ascii="Arial" w:hAnsi="Arial" w:cs="Arial"/>
                <w:bCs/>
                <w:color w:val="000000"/>
                <w:sz w:val="16"/>
                <w:szCs w:val="16"/>
                <w:lang w:eastAsia="en-US"/>
              </w:rPr>
              <w:t>Медокемі Лімітед, Кіпр;</w:t>
            </w:r>
          </w:p>
          <w:p w:rsidR="004E3439" w:rsidRPr="00C65DFF" w:rsidRDefault="004E3439" w:rsidP="00E45030">
            <w:pPr>
              <w:autoSpaceDE w:val="0"/>
              <w:autoSpaceDN w:val="0"/>
              <w:adjustRightInd w:val="0"/>
              <w:jc w:val="center"/>
              <w:rPr>
                <w:rFonts w:ascii="Arial" w:hAnsi="Arial" w:cs="Arial"/>
                <w:bCs/>
                <w:sz w:val="16"/>
                <w:szCs w:val="16"/>
                <w:lang w:eastAsia="en-US"/>
              </w:rPr>
            </w:pPr>
            <w:r w:rsidRPr="00C65DFF">
              <w:rPr>
                <w:rFonts w:ascii="Arial" w:hAnsi="Arial" w:cs="Arial"/>
                <w:bCs/>
                <w:color w:val="000000"/>
                <w:sz w:val="16"/>
                <w:szCs w:val="16"/>
                <w:lang w:eastAsia="en-US"/>
              </w:rPr>
              <w:t>виробництво готового лікарського засобу, первинне та вторинне пакування:</w:t>
            </w:r>
          </w:p>
          <w:p w:rsidR="004E3439" w:rsidRPr="00C65DFF" w:rsidRDefault="004E3439" w:rsidP="00E45030">
            <w:pPr>
              <w:autoSpaceDE w:val="0"/>
              <w:autoSpaceDN w:val="0"/>
              <w:adjustRightInd w:val="0"/>
              <w:jc w:val="center"/>
              <w:rPr>
                <w:rFonts w:ascii="Arial" w:hAnsi="Arial" w:cs="Arial"/>
                <w:bCs/>
                <w:sz w:val="16"/>
                <w:szCs w:val="16"/>
                <w:lang w:eastAsia="en-US"/>
              </w:rPr>
            </w:pPr>
            <w:r w:rsidRPr="00C65DFF">
              <w:rPr>
                <w:rFonts w:ascii="Arial" w:hAnsi="Arial" w:cs="Arial"/>
                <w:bCs/>
                <w:color w:val="000000"/>
                <w:sz w:val="16"/>
                <w:szCs w:val="16"/>
                <w:lang w:eastAsia="en-US"/>
              </w:rPr>
              <w:t>Медокемі (Фа Іст) Кампані Лімітед, В’єтнам</w:t>
            </w:r>
          </w:p>
          <w:p w:rsidR="004E3439" w:rsidRPr="00C65DFF" w:rsidRDefault="004E3439" w:rsidP="00E45030">
            <w:pPr>
              <w:autoSpaceDE w:val="0"/>
              <w:autoSpaceDN w:val="0"/>
              <w:adjustRightInd w:val="0"/>
              <w:jc w:val="center"/>
              <w:rPr>
                <w:rFonts w:ascii="Arial" w:hAnsi="Arial" w:cs="Arial"/>
                <w:color w:val="FF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bCs/>
                <w:color w:val="000000"/>
                <w:sz w:val="16"/>
                <w:szCs w:val="16"/>
                <w:lang w:val="ru-RU" w:eastAsia="en-US"/>
              </w:rPr>
              <w:t>Кіпр/ В’єтнам</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C65DFF">
              <w:rPr>
                <w:rFonts w:ascii="Arial" w:hAnsi="Arial" w:cs="Arial"/>
                <w:color w:val="000000"/>
                <w:sz w:val="16"/>
                <w:szCs w:val="16"/>
              </w:rPr>
              <w:br/>
              <w:t xml:space="preserve">Оновлення тексту маркування упаковки лікарського засобу, а саме: уточнено інформацію щодо дати виробництва, терміну придатності, номеру реєстраційного посвідчення, номеру серії, уточнено наявність технічних кодів.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відповідального за: виробництво за повним циклом. Зміна відбулась у звязку з приведенням до GMP без фактичної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відповідального за: виробництво готового лікарського засобу, первинне та вторинне пакування. Зміна відбулась у звязку з приведенням до GMP без фактичної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UA/7582/01/01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875 мг/125 мг: по 7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Кіпр</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2005-179 - Rev 03 (затверджено: R1-CEP 2005-179 - Rev 02) для діючої речовини Potassium clavulanate від вже затвердженого виробника CKD BIO CORPORATION.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2013-163 - Rev 00 для діючої речовини Potassium clavulanate від вже затвердженого виробника ZHUHAI UNITED LABORATORIES CO., LTD. (заміна DMF Version No: E357-12-01-O).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діючої речовини Potassium clavulanate для виробника ZHUHAI UNITED LABORATORIES CO., LTD. показником «Залишкові розчинники» (1-Butanol-not more than 5000 ppm, Acetone- not more than 5000 ppm).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UA/4428/01/02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500 мг/125 мг; по 8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Кіпр</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2005-179 - Rev 03 (затверджено: R1-CEP 2005-179 - Rev 02) для діючої речовини Potassium clavulanate від вже затвердженого виробника CKD BIO CORPORATION.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2013-163 - Rev 00 для діючої речовини Potassium clavulanate від вже затвердженого виробника ZHUHAI UNITED LABORATORIES CO., LTD. (заміна DMF Version No: E357-12-01-O).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діючої речовини Potassium clavulanate для виробника ZHUHAI UNITED LABORATORIES CO., LTD. показником «Залишкові розчинники» (1-Butanol-not more than 5000 ppm, Acetone- not more than 5000 ppm).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UA/4428/01/01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МЕЛОССО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15 мг; по 10 таблеток у блістері; по 2 блістери у пачці з картону; по 20 таблеток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НВФ "МІКРОХІМ"</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НВФ «МІКРОХІМ», Україна (юридична адреса виробника; відповідальний за виробництво та контроль/випробування серії, не включаючи випуск серії;</w:t>
            </w:r>
            <w:r w:rsidRPr="00C65DFF">
              <w:rPr>
                <w:rFonts w:ascii="Arial" w:hAnsi="Arial" w:cs="Arial"/>
                <w:color w:val="000000"/>
                <w:sz w:val="16"/>
                <w:szCs w:val="16"/>
              </w:rPr>
              <w:br/>
              <w:t>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"відповідальний за випуск серії" для виробника ТОВ НВФ "МІКРОХІМ" за адресою: Україна, 93400, Луганська обл., м.Сєвєродонецьк, вул.Промислова, буд. 24-в. Залишається альтернативний виробник ТОВ НВФ "МІКРОХІМ" за адресою Україна, 01013, м.Київ, вул. Будіндустрії, буд. 5.  У зв'язку з вилученням однієї з виробничих дільниць, відповідальної за випуск серії, вилучено інструкцію для медичного застосування та текст маркування упаковки лікарського засобу для цієї виробничої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UA/18276/01/02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МЕЛОССО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7,5 мг; по 10 таблеток у блістері; по 2 блістери у пачці з картону; по 20 таблеток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НВФ "МІКРОХІМ"</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НВФ «МІКРОХІМ», Україна (юридична адреса виробника; відповідальний за виробництво та контроль/випробування серії, не включаючи випуск серії;</w:t>
            </w:r>
            <w:r w:rsidRPr="00C65DFF">
              <w:rPr>
                <w:rFonts w:ascii="Arial" w:hAnsi="Arial" w:cs="Arial"/>
                <w:color w:val="000000"/>
                <w:sz w:val="16"/>
                <w:szCs w:val="16"/>
              </w:rPr>
              <w:br/>
              <w:t>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"відповідальний за випуск серії" для виробника ТОВ НВФ "МІКРОХІМ" за адресою: Україна, 93400, Луганська обл., м.Сєвєродонецьк, вул.Промислова, буд. 24-в. Залишається альтернативний виробник ТОВ НВФ "МІКРОХІМ" за адресою Україна, 01013, м.Київ, вул. Будіндустрії, буд. 5.  У зв'язку з вилученням однієї з виробничих дільниць, відповідальної за випуск серії, вилучено інструкцію для медичного застосування та текст маркування упаковки лікарського засобу для цієї виробничої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UA/18276/01/01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МЕРІОФЕРТ 150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та розчинник для приготування розчину для ін'єкцій по 150 МО; по 1 скляному флакону з менотропіном, по 1 ампулі (1 мл) з розчинником у картонній коробці, по 10 коробок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ІБСА Інститут Біохімік СА </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вторинне пакування, контроль якості та випуск серії: </w:t>
            </w:r>
            <w:r w:rsidRPr="00C65DFF">
              <w:rPr>
                <w:rFonts w:ascii="Arial" w:hAnsi="Arial" w:cs="Arial"/>
                <w:color w:val="000000"/>
                <w:sz w:val="16"/>
                <w:szCs w:val="16"/>
              </w:rPr>
              <w:br/>
              <w:t>ІБСА Інститут Біохімік СА, Швейцарія;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виробництво, первинне та вторинне пакування:</w:t>
            </w:r>
            <w:r w:rsidRPr="00C65DFF">
              <w:rPr>
                <w:rFonts w:ascii="Arial" w:hAnsi="Arial" w:cs="Arial"/>
                <w:color w:val="000000"/>
                <w:sz w:val="16"/>
                <w:szCs w:val="16"/>
              </w:rPr>
              <w:br/>
              <w:t>ІБСА Інститут Біохімік СА, Швейцарія;</w:t>
            </w:r>
            <w:r w:rsidRPr="00C65DFF">
              <w:rPr>
                <w:rFonts w:ascii="Arial" w:hAnsi="Arial" w:cs="Arial"/>
                <w:color w:val="000000"/>
                <w:sz w:val="16"/>
                <w:szCs w:val="16"/>
              </w:rPr>
              <w:br/>
            </w:r>
            <w:r w:rsidRPr="00C65DFF">
              <w:rPr>
                <w:rFonts w:ascii="Arial" w:hAnsi="Arial" w:cs="Arial"/>
                <w:color w:val="000000"/>
                <w:sz w:val="16"/>
                <w:szCs w:val="16"/>
              </w:rPr>
              <w:br/>
              <w:t>виробництво готового лікарського засобу, включаючи первинну упаковку; виробництво розчинника:</w:t>
            </w:r>
            <w:r w:rsidRPr="00C65DFF">
              <w:rPr>
                <w:rFonts w:ascii="Arial" w:hAnsi="Arial" w:cs="Arial"/>
                <w:color w:val="000000"/>
                <w:sz w:val="16"/>
                <w:szCs w:val="16"/>
              </w:rPr>
              <w:br/>
              <w:t xml:space="preserve">Замбон С.П.А., Італія; </w:t>
            </w:r>
            <w:r w:rsidRPr="00C65DFF">
              <w:rPr>
                <w:rFonts w:ascii="Arial" w:hAnsi="Arial" w:cs="Arial"/>
                <w:color w:val="000000"/>
                <w:sz w:val="16"/>
                <w:szCs w:val="16"/>
              </w:rPr>
              <w:br/>
            </w:r>
            <w:r w:rsidRPr="00C65DFF">
              <w:rPr>
                <w:rFonts w:ascii="Arial" w:hAnsi="Arial" w:cs="Arial"/>
                <w:color w:val="000000"/>
                <w:sz w:val="16"/>
                <w:szCs w:val="16"/>
              </w:rPr>
              <w:br/>
              <w:t>виробництво розчинника:</w:t>
            </w:r>
            <w:r w:rsidRPr="00C65DFF">
              <w:rPr>
                <w:rFonts w:ascii="Arial" w:hAnsi="Arial" w:cs="Arial"/>
                <w:color w:val="000000"/>
                <w:sz w:val="16"/>
                <w:szCs w:val="16"/>
              </w:rPr>
              <w:br/>
              <w:t>ІБСА Фармацеутиці Італія срл, Італія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Італія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виробничої дільниці IBSA Institut Biochimique SA (Cadempino), відповідальної за виробництво діючої речовини Менотропіну. Виробнича дільниця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виробничої дільниці IBSA Institut Biochimique SA (Lamone), відповідальної за виробництво діючої речовини Менотропіну. Виробнича дільниця та усі виробничі операції залишаються незмінними.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заміна дільниці відповідальної за контроль якості діючої речовини (Менотропін) з ІБСА Інститут Біохімік СА (Віа аль Понте 13, 6900 Массаньйо, Швейцарія) / IBSA Institut Biochimique SA (Via al Ponte 13, 6900 Massagno, Switzerland) на нову дільницю ІБСА Інститут Біохімік СА (Віа Піан Скаіроло 49, 6912 Паццало, Швейцарія) / IBSA Institut Biochimique SA (Via Pian Scairolo 49, 6912 Pazzallo, Switzerland).</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заміна дільниці відповідальної за контроль якості ГЛЗ: ІБСА Інститут Біохімік СА (Віа аль Понте 13, 6900 Массаньйо, Швейцарія) / IBSA Institut Biochimique SA (Via al Ponte 13, 6900 Massagno, Switzerland), а саме перенесення даної функції вже затвердженому виробнику: ІБСА Інститут Біохімік СА (Віа Піан Скаіроло 49, 6912 Паццало, Швейцарія) / IBSA Institut Biochimique SA (Via Pian Scairolo 49, 6912 Pazzallo, Switzerland), котрий відповідає за вторинне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UA/20004/01/02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МЕРІОФЕРТ 75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та розчинник для приготування розчину для ін'єкцій по 75 МО; по 1 скляному флакону з менотропіном, по 1 ампулі (1 мл) з розчинником у картонній коробці, по 10 коробок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ІБСА Інститут Біохімік СА </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вторинне пакування, контроль якості та випуск серії: </w:t>
            </w:r>
            <w:r w:rsidRPr="00C65DFF">
              <w:rPr>
                <w:rFonts w:ascii="Arial" w:hAnsi="Arial" w:cs="Arial"/>
                <w:color w:val="000000"/>
                <w:sz w:val="16"/>
                <w:szCs w:val="16"/>
              </w:rPr>
              <w:br/>
              <w:t>ІБСА Інститут Біохімік СА, Швейцарія;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виробництво, первинне та вторинне пакування:</w:t>
            </w:r>
            <w:r w:rsidRPr="00C65DFF">
              <w:rPr>
                <w:rFonts w:ascii="Arial" w:hAnsi="Arial" w:cs="Arial"/>
                <w:color w:val="000000"/>
                <w:sz w:val="16"/>
                <w:szCs w:val="16"/>
              </w:rPr>
              <w:br/>
              <w:t>ІБСА Інститут Біохімік СА, Швейцарія;</w:t>
            </w:r>
            <w:r w:rsidRPr="00C65DFF">
              <w:rPr>
                <w:rFonts w:ascii="Arial" w:hAnsi="Arial" w:cs="Arial"/>
                <w:color w:val="000000"/>
                <w:sz w:val="16"/>
                <w:szCs w:val="16"/>
              </w:rPr>
              <w:br/>
            </w:r>
            <w:r w:rsidRPr="00C65DFF">
              <w:rPr>
                <w:rFonts w:ascii="Arial" w:hAnsi="Arial" w:cs="Arial"/>
                <w:color w:val="000000"/>
                <w:sz w:val="16"/>
                <w:szCs w:val="16"/>
              </w:rPr>
              <w:br/>
              <w:t>виробництво готового лікарського засобу, включаючи первинну упаковку; виробництво розчинника:</w:t>
            </w:r>
            <w:r w:rsidRPr="00C65DFF">
              <w:rPr>
                <w:rFonts w:ascii="Arial" w:hAnsi="Arial" w:cs="Arial"/>
                <w:color w:val="000000"/>
                <w:sz w:val="16"/>
                <w:szCs w:val="16"/>
              </w:rPr>
              <w:br/>
              <w:t xml:space="preserve">Замбон С.П.А., Італія; </w:t>
            </w:r>
            <w:r w:rsidRPr="00C65DFF">
              <w:rPr>
                <w:rFonts w:ascii="Arial" w:hAnsi="Arial" w:cs="Arial"/>
                <w:color w:val="000000"/>
                <w:sz w:val="16"/>
                <w:szCs w:val="16"/>
              </w:rPr>
              <w:br/>
            </w:r>
            <w:r w:rsidRPr="00C65DFF">
              <w:rPr>
                <w:rFonts w:ascii="Arial" w:hAnsi="Arial" w:cs="Arial"/>
                <w:color w:val="000000"/>
                <w:sz w:val="16"/>
                <w:szCs w:val="16"/>
              </w:rPr>
              <w:br/>
              <w:t>виробництво розчинника:</w:t>
            </w:r>
            <w:r w:rsidRPr="00C65DFF">
              <w:rPr>
                <w:rFonts w:ascii="Arial" w:hAnsi="Arial" w:cs="Arial"/>
                <w:color w:val="000000"/>
                <w:sz w:val="16"/>
                <w:szCs w:val="16"/>
              </w:rPr>
              <w:br/>
              <w:t>ІБСА Фармацеутиці Італія срл, Італія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Італія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виробничої дільниці IBSA Institut Biochimique SA (Cadempino), відповідальної за виробництво діючої речовини Менотропіну. Виробнича дільниця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виробничої дільниці IBSA Institut Biochimique SA (Lamone), відповідальної за виробництво діючої речовини Менотропіну. Виробнича дільниця та усі виробничі операції залишаються незмінними.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заміна дільниці відповідальної за контроль якості діючої речовини (Менотропін) з ІБСА Інститут Біохімік СА (Віа аль Понте 13, 6900 Массаньйо, Швейцарія) / IBSA Institut Biochimique SA (Via al Ponte 13, 6900 Massagno, Switzerland) на нову дільницю ІБСА Інститут Біохімік СА (Віа Піан Скаіроло 49, 6912 Паццало, Швейцарія) / IBSA Institut Biochimique SA (Via Pian Scairolo 49, 6912 Pazzallo, Switzerland).</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заміна дільниці відповідальної за контроль якості ГЛЗ: ІБСА Інститут Біохімік СА (Віа аль Понте 13, 6900 Массаньйо, Швейцарія) / IBSA Institut Biochimique SA (Via al Ponte 13, 6900 Massagno, Switzerland), а саме перенесення даної функції вже затвердженому виробнику: ІБСА Інститут Біохімік СА (Віа Піан Скаіроло 49, 6912 Паццало, Швейцарія) / IBSA Institut Biochimique SA (Via Pian Scairolo 49, 6912 Pazzallo, Switzerland), котрий відповідає за вторинне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UA/20004/01/01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МЕТАСПРЕЙ®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спрей назальний, дозований, 50 мкг/дозу по 10 г (60 доз) або 18 г (140 доз) у поліетиленовому флаконі з насосом-дозатором та насадкою-розпилювачем із захисним ковпачком,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незначна зміна вимог специфікації ГЛЗ за показником «Мікробіологічна чистота» з метою приведення до критерію прийнятності, зазначеного в тексті МКЯ.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«Ідентифікація» (ДФУ, 2.2.27), а саме редакційні зміни щодо пластинки ТШХ, уточнення СЗ.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«рН» (ДФУ, 2.9.3.) та «Кількість доз» для ГЛЗ та проміжного продукту, а саме уточнення типу електроду та приведення температурного режиму до загальноприйнятих меж температурного режиму в аналітичних лабораторіях (20±5)°С.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«Розподіл крапель за розмірами» (ДФУ, 2.9.18, 2.2.29), а саме приведення температурного режиму до загально- прийнятих меж температурного режиму в аналітичних лабораторіях (20±5)°С; «фторопластовий мембранний фільтр розміром 25 мм з діаметром пор 0,45 мкм» замінено на «мембранний нейлоновий фільтр з діаметром пор 0,45 мкм»; внесено уточнення до умов фільтрації розчинів, додано фільтрацію розчину порівняння. </w:t>
            </w:r>
            <w:r w:rsidRPr="00C65DFF">
              <w:rPr>
                <w:rFonts w:ascii="Arial" w:hAnsi="Arial" w:cs="Arial"/>
                <w:color w:val="000000"/>
                <w:sz w:val="16"/>
                <w:szCs w:val="16"/>
              </w:rPr>
              <w:br/>
              <w:t xml:space="preserve">-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«Однорідність дози, що доставляється, і середня маса дози», а саме приведення температурного режиму до загально прийнятих меж температурного режиму в аналітичних лабораторіях (20±5)°С; виправлено різночитання щодо приготування рухомої фази, додано опис приготування буферного розчину; внесено уточнення до умов фільтрації розчинів, додано фільтрацію розчину порівняння, внесено уточнення до зазначених СЗ, додано умови придатності хроматографічної системи.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«Супровідні домішки» (ДФУ, 2.2.29), а саме внесено уточнення до умов фільтрації розчинів, додано фільтрацію розчину порівняння, внесено уточнення до зазначених стандартних зразків,» фторопластовий мембранний фільтр розміром 25 мм з діаметром пор 0,45 мкм» замінено на «мембранний нейлоновий фільтр з діаметром пор 0,45 мкм».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«Кількісне визначення» (ДФУ, 2.2.29), для ГЛЗ та проміжного продукту, а саме внесено уточнення до умов фільтрації розчинів, додано фільтрацію розчину порівняння, внесено уточнення до зазначених стандартних зразків, виправлено помилку у зазначенні довжини хвилі детектування (214 нм замість 254 нм); виправлено різночитання щодо приготування рухомої фази, додано опис приготування буферного розчину.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деталізація інформації на стадії маркування та пакування, включено пакування в групову упаковку (була винесена як окрема стадія в попередньому викладенні технологічного процесу). Додано інформацію щодо дій після завершення технологічного процесу: сертифікація серії, дозвіл на реалізацію.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зміни до п.3.2.P.3.2.Склад на серію, а саме оптимізовано викладення розділу, видалено склад на 100 г продукту, як неінформативний, актуалізовано формули перерахунку. В п.3.2.P.3.3.Опис виробничого процесу та контролю процесу: введено стадію «Підготовка сировини»; деталізована стадія приготування суспензії – змінено послідовність приготування розчинів та змішування компонентів, в цю ж стадію включено коригування рН суспензії. Розділ 3.2.P.3.4.Контроль критичних стадій і проміжної продукції – актуалізований відповідно до оновленої нумерації стадій.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UA/19139/01/01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МІОРИКС®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капсули пролонгованої дії тверді по 15 мг; по 14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первинна та вторинна упаковка, дозвіл на випуск серії: Оріфарм Мануфекчерінг Польща Сп. з о.о., Польща; </w:t>
            </w:r>
            <w:r w:rsidRPr="00C65DFF">
              <w:rPr>
                <w:rFonts w:ascii="Arial" w:hAnsi="Arial" w:cs="Arial"/>
                <w:color w:val="000000"/>
                <w:sz w:val="16"/>
                <w:szCs w:val="16"/>
              </w:rPr>
              <w:br/>
              <w:t>виробництво нерозфасованої продукції: Адаре Фармасьютікалз,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Польща/ США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зберігання для капсул in bulk. Затверджено: Термін зберігання для капсул in bulk 2 роки. Запропоновано: Термін зберігання для капсул in bulk 36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сертифікату відповідності Європейській фармакопеї № R1-CEP 2000-029-Rev 06 (затверджено: R1-CEP 2000-029-Rev 05) для допоміжної речовини Gelatin від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CEP 2000-045-Rev 06 (затверджено: R1-CEP 2000-045-Rev 04) для допоміжної речовини Gelatin від вже затвердженого виробника Tessenderlo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ГЕ-сертифікатів відповідності Європейській фармакопеї для допоміжної речовини Gelatin від виробників: Rousselot SAS: R1-CEP 2000-027-Rev 02, PB Gelatins: R1-CEP-2002-110-Rev-00 Rousselot SAS: R1-CEP 2001-332-Rev 02 </w:t>
            </w:r>
            <w:r w:rsidRPr="00C65DFF">
              <w:rPr>
                <w:rFonts w:ascii="Arial" w:hAnsi="Arial" w:cs="Arial"/>
                <w:color w:val="000000"/>
                <w:sz w:val="16"/>
                <w:szCs w:val="16"/>
              </w:rPr>
              <w:br/>
              <w:t>GELITA Group: R1-CEP 2003-172-Rev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2008-048-Rev 00 для допоміжної речовини Gelatin виробника Pioneer Jellice India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UA/14641/01/01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МІОРИКС®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капсули пролонгованої дії тверді по 30 мг; по 14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первинна та вторинна упаковка, дозвіл на випуск серії: Оріфарм Мануфекчерінг Польща Сп. з о.о., Польща; </w:t>
            </w:r>
            <w:r w:rsidRPr="00C65DFF">
              <w:rPr>
                <w:rFonts w:ascii="Arial" w:hAnsi="Arial" w:cs="Arial"/>
                <w:color w:val="000000"/>
                <w:sz w:val="16"/>
                <w:szCs w:val="16"/>
              </w:rPr>
              <w:br/>
              <w:t>виробництво нерозфасованої продукції: Адаре Фармасьютікалз,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Польща/ США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зберігання для капсул in bulk. Затверджено: Термін зберігання для капсул in bulk 2 роки. Запропоновано: Термін зберігання для капсул in bulk 36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сертифікату відповідності Європейській фармакопеї № R1-CEP 2000-029-Rev 06 (затверджено: R1-CEP 2000-029-Rev 05) для допоміжної речовини Gelatin від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CEP 2000-045-Rev 06 (затверджено: R1-CEP 2000-045-Rev 04) для допоміжної речовини Gelatin від вже затвердженого виробника Tessenderlo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ГЕ-сертифікатів відповідності Європейській фармакопеї для допоміжної речовини Gelatin від виробників: Rousselot SAS: R1-CEP 2000-027-Rev 02, PB Gelatins: R1-CEP-2002-110-Rev-00 Rousselot SAS: R1-CEP 2001-332-Rev 02 </w:t>
            </w:r>
            <w:r w:rsidRPr="00C65DFF">
              <w:rPr>
                <w:rFonts w:ascii="Arial" w:hAnsi="Arial" w:cs="Arial"/>
                <w:color w:val="000000"/>
                <w:sz w:val="16"/>
                <w:szCs w:val="16"/>
              </w:rPr>
              <w:br/>
              <w:t>GELITA Group: R1-CEP 2003-172-Rev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2008-048-Rev 00 для допоміжної речовини Gelatin виробника Pioneer Jellice India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UA/14641/01/02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НАФТИФІНУ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Чунцин Хуапонт Шенхем Фармас`ютікал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Китай</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II типу - Зміни з якості. АФІ. (інші зміни) подання оновленого мастер-файлу 20220802-DMF-version 2.0-2022.08 (затверджено: 2021022-DMF-version 1.0-2021.01) на АФІ Нафтифіну гідрохлорид, фірми Chongqing Huapont Shengchem Pharmaceutical Co., Ltd., Китай. Зміни II типу - Зміни з якості. АФІ. (інші зміни) подання оновленого мастер-файлу 20230818-DMF-version 3.0-2023.08 на АФІ Нафтифіну гідрохлорид, фірми Chongqing Huapont Shengchem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UA/14998/01/01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НЕБУЛОМАКС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суспензія для розпилення, 0,25 мг/мл, по 2 мл в однодозовому контейнері, по 5 контейнерів у пакеті, по 4 пакети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2019-266 - Rev 00 для діючої речовини Budesonide від вже затвердженого виробника, який змінив назву з Sicor de Mexico S.A. de C.V., Мексика на SICOR DE MEXICO SA DE CV, Мексика (СЕР holder: TEVA PHARMACEUTICAL INDUSTRIES LTD.) (заміна DMF No 40188-ELDMF.09.2019)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UA/19356/01/02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НЕБУЛОМАКС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суспензія для розпилення, 0,125 мг/мл, по 2 мл в однодозовому контейнері, по 5 контейнерів у пакеті, по 4 пакети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2019-266 - Rev 00 для діючої речовини Budesonide від вже затвердженого виробника, який змінив назву з Sicor de Mexico S.A. de C.V., Мексика на SICOR DE MEXICO SA DE CV, Мексика (СЕР holder: TEVA PHARMACEUTICAL INDUSTRIES LTD.) (заміна DMF No 40188-ELDMF.09.2019)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UA/19356/01/01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НЕБУЛОМАКС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суспензія для розпилення, 0,5 мг/мл, по 2 мл в однодозовому контейнері, по 5 контейнерів у пакеті, по 4 пакети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2019-266 - Rev 00 для діючої речовини Budesonide від вже затвердженого виробника, який змінив назву з Sicor de Mexico S.A. de C.V., Мексика на SICOR DE MEXICO SA DE CV, Мексика (СЕР holder: TEVA PHARMACEUTICAL INDUSTRIES LTD.) (заміна DMF No 40188-ELDMF.09.2019)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UA/19356/01/03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НЕКСАВАР®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200 мг; по 28 таблеток у блістері, по 4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повний цикл виробництва:</w:t>
            </w:r>
            <w:r w:rsidRPr="00C65DFF">
              <w:rPr>
                <w:rFonts w:ascii="Arial" w:hAnsi="Arial" w:cs="Arial"/>
                <w:color w:val="000000"/>
                <w:sz w:val="16"/>
                <w:szCs w:val="16"/>
              </w:rPr>
              <w:br/>
              <w:t>Байєр АГ, Німеччина;</w:t>
            </w:r>
            <w:r w:rsidRPr="00C65DFF">
              <w:rPr>
                <w:rFonts w:ascii="Arial" w:hAnsi="Arial" w:cs="Arial"/>
                <w:color w:val="000000"/>
                <w:sz w:val="16"/>
                <w:szCs w:val="16"/>
              </w:rPr>
              <w:br/>
              <w:t>виробництво in-bulk, контроль якості:</w:t>
            </w:r>
            <w:r w:rsidRPr="00C65DFF">
              <w:rPr>
                <w:rFonts w:ascii="Arial" w:hAnsi="Arial" w:cs="Arial"/>
                <w:color w:val="000000"/>
                <w:sz w:val="16"/>
                <w:szCs w:val="16"/>
              </w:rPr>
              <w:br/>
              <w:t>Патеон Франція, Франція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 Франція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 Зміна форми таблетки, вкриті плівковою оболонкою, по 200 мг - з таблетки без фаски на таблетку з фаскою для запропонованої дільниці Патеон Франція, </w:t>
            </w:r>
            <w:r w:rsidRPr="00C65DFF">
              <w:rPr>
                <w:rFonts w:ascii="Arial" w:hAnsi="Arial" w:cs="Arial"/>
                <w:color w:val="000000"/>
                <w:sz w:val="16"/>
                <w:szCs w:val="16"/>
              </w:rPr>
              <w:br/>
              <w:t>затверджено: виробник Байєр АГ, Леверкузен, Німеччина круглі таблетки червоного кольору, з однієї сторони маркування у вигляді «Байєрівського хреста» з іншої сторони цифра 200. запропоновано: виробник (повний цикл виробництва) Байєр АГ, Німеччина Круглі таблетки червоного кольору, маркування з верхньої сторони 200, маркування з нижньої сторони Байєрівський хрест; виробник in bulk Патеон Франція, Франція Таблетки, вкриті плівковою оболонкою круглі, двоопуклі з фаскою червоного кольору, маркування з верхньої сторони 200, маркування з нижньої сторони Байєрівський хрест. Зміни внесені в інструкцію для медичного застосування лікарського засобу у розділ «Основні фізико-хімічні властивості».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альтернативної виробничої дільниці для виробництва in bulk готового лікарського засобу Патеон Франція, Франція, що розташована за адресою 40 бульвар Шампаре, Бургуен –Жальє, 38300, Франція (дільниця з власними виробничими та тестовими потужностями. З метою збільшення виробничих потужностей введення альтернативного виробника, який буде постачати мікронізовану діючу речовину сорафенібу тозилат (продукція in bulk).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виробничої дільниці, що відповідає за контроль якості готового лікарського засобу Патеон Франція, Франція, що розташована за адресою 40 бульвар Шампаре, Бургуен - Жальє, 38300, Франція (дільниця з власними виробничими та тестовими потужностями). Редакційні правки до методів випробування.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готового лікарського засобу для внесення змін до етапу гранулювання ( to change the rasping size from 6 to 10 mm).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затверджено: 118 кг (33 8000 таблеток), запропоновано: 349,85 кг (1000 000 таблеток). Введення змін протягом 6-ти місяців після затвердження.</w:t>
            </w:r>
            <w:r w:rsidRPr="00C65DFF">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 Специфікація та методи контролю лікарського засобу надаються українською мовою. Внесені редакторські корекції до форми викладення та написання специфікації та методів контролю якості з метою приведення у відповідність до оригінальних документів виробника, без змін суті та змісту специфікації та методів контролю якості. Введено розділ «Опис» до методів контролю якості згідно оригінального модулю 3.2.Р.5.2 ; Розділи «Ідентифікація», «Вода», «Однорідність дозованих одиниць» викладено у формі відповідно до оригінальної документації виробника. Розділи «Продукти розпаду» та «Кількісне визначення» об'єднано з метою гармонізації до документації виробника. Розділ «Мікробіологічна чистота» в методах контролю якості та специфікації уточнюється щодо проведення тестування згідно гармонізованого методу ЕР/USP/Ph.Jap.: (гармонізований метод). Розділ» Розчинення» зміни у формулюванні методу з метою гармонізації до документації виробника. Перераховані уточнення вносяться без змін в методах контролю якості оригінальної документації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UA/7141/01/01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НОРМАТЕНС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оболонкою, по 20 таблеток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МЕДА Фарма ГмбХ енд Кo.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Ай-Сі-Ен Польфа Жешув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UA/2922/01/01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ОЛФЕН® ФОРТЕ ГІДРОГЕЛЬ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гель, 2 % по 30 г, або 50 г, або 100 г гелю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ru-RU"/>
              </w:rPr>
            </w:pPr>
            <w:r w:rsidRPr="00C65DFF">
              <w:rPr>
                <w:rFonts w:ascii="Arial" w:hAnsi="Arial" w:cs="Arial"/>
                <w:color w:val="000000"/>
                <w:sz w:val="16"/>
                <w:szCs w:val="16"/>
              </w:rPr>
              <w:t>виробництво за повним циклом: Меркле ГмбХ, Німеччина; вторинна упаковка: Трансфарм Логістік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"Застосування у період вагітності або годування груддю", "Побічні реакції" відповідно до оновленої інформації з безпеки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UA/19922/01/01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ОМНІК ОКАС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пролонгованої дії з пероральною системою контрольованої абсорбції по 0,4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Нiдерланди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Нiдерланди</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Внесення уточнень в Специфікацію та методи контролю МКЯ ЛЗ щодо допустимих меж для показника «Мікробіологічна чистота» відповідно до ЄФ, 5.1.4, діюче видання.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UA/4368/02/01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ОМНІК®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капсули з модифікованим вивільненням, тверді по 0,4 мг, по 10 капсул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Нiдерланди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Нідерланди</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Внесення уточнень в Специфікацію (при випуску та на термін придатності) та методи контролю МКЯ ЛЗ щодо допустимих меж для показника «Мікробіологічна чистота» відповідно до ЄФ, 5.1.4, діюче видання.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UA/10192/01/01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спрей назальний, дозований 0,1 %; по 10 мл у полімерному флаконі з розпилювачем;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C65DFF">
              <w:rPr>
                <w:rFonts w:ascii="Arial" w:hAnsi="Arial" w:cs="Arial"/>
                <w:color w:val="000000"/>
                <w:sz w:val="16"/>
                <w:szCs w:val="16"/>
              </w:rPr>
              <w:br/>
              <w:t>Додавання функції контроль якості "Розподілення крапель за розміром" для вже затвердженого виробника Халеон КХ С.а.р.л., Швейцарія, відповідального за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UA/5206/02/01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ПАНКРЕАЗИМ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гастрорезистентні по 10 таблеток у блістері, по 1 або по 2 або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вноситься для зменшення ризиків передозування по ліполітичній активності для ферментного лікарського засобу та для забепечення точних розрахуків кількості ліпази відповідно до способу застосування.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вимог специфікації ГЛЗ за показником «Кількісне визначення. Ліполітична активність»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UA/16722/01/01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20 % по 5 мл або по 10 мл, або по 20 мл в ампулі; по 10 ампул у пачці з картону; по 5 мл або по 10 мл, або по 20 мл в ампулі; по 5 ампул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АТ "Фармак"</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до розділів "Фармакологічні властивості", "Показання",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(НООТРОПІЛ, розчин для ін’єкцій, 200 мг/мл).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UA/1878/02/01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ПІРАЦЕТАМ-ЗДОРОВ'Я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200 мг/мл по 5 мл в ампулі; по 10 ампул у картонній коробці; по 5 мл в ампулі; по 5 ампул у блістері; по 2 блістери в картонній коробці; по 10 мл в ампулі; по 5 або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ТОВАРИСТВО З ОБМЕЖЕНОЮ ВІДПОВІДАЛЬНІСТЮ «КОРПОРАЦІЯ «ЗДОРОВ’Я»</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Товариство з обмеженою відповідальністю "Фармацевтична компанія "Здоров'я", Україна; </w:t>
            </w:r>
            <w:r w:rsidRPr="00C65DFF">
              <w:rPr>
                <w:rFonts w:ascii="Arial" w:hAnsi="Arial" w:cs="Arial"/>
                <w:color w:val="000000"/>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та "Побічні реакції" відповідно до інформації референтного лікарського засобу НООТРОПІЛ®, розчин для ін’єкцій, 200 мг/мл. Введення змін протягом 6-ти місяців після затвердження. </w:t>
            </w:r>
            <w:r w:rsidRPr="00C65DFF">
              <w:rPr>
                <w:rFonts w:ascii="Arial" w:hAnsi="Arial" w:cs="Arial"/>
                <w:color w:val="000000"/>
                <w:sz w:val="16"/>
                <w:szCs w:val="16"/>
              </w:rPr>
              <w:br/>
              <w:t xml:space="preserve">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w:t>
            </w:r>
            <w:r w:rsidRPr="00C65DFF">
              <w:rPr>
                <w:rFonts w:ascii="Arial" w:hAnsi="Arial" w:cs="Arial"/>
                <w:color w:val="000000"/>
                <w:sz w:val="16"/>
                <w:szCs w:val="16"/>
              </w:rPr>
              <w:br/>
              <w:t xml:space="preserve">Зміни внесено до частин: </w:t>
            </w:r>
            <w:r w:rsidRPr="00C65DFF">
              <w:rPr>
                <w:rFonts w:ascii="Arial" w:hAnsi="Arial" w:cs="Arial"/>
                <w:color w:val="000000"/>
                <w:sz w:val="16"/>
                <w:szCs w:val="16"/>
              </w:rPr>
              <w:br/>
              <w:t xml:space="preserve">І «Загальна інформація» </w:t>
            </w:r>
            <w:r w:rsidRPr="00C65DFF">
              <w:rPr>
                <w:rFonts w:ascii="Arial" w:hAnsi="Arial" w:cs="Arial"/>
                <w:color w:val="000000"/>
                <w:sz w:val="16"/>
                <w:szCs w:val="16"/>
              </w:rPr>
              <w:br/>
              <w:t xml:space="preserve">V «Заходи з мінімізації ризиків» </w:t>
            </w:r>
            <w:r w:rsidRPr="00C65DFF">
              <w:rPr>
                <w:rFonts w:ascii="Arial" w:hAnsi="Arial" w:cs="Arial"/>
                <w:color w:val="000000"/>
                <w:sz w:val="16"/>
                <w:szCs w:val="16"/>
              </w:rPr>
              <w:br/>
              <w:t xml:space="preserve">VI «Резюме плану управління ризиками» </w:t>
            </w:r>
            <w:r w:rsidRPr="00C65DFF">
              <w:rPr>
                <w:rFonts w:ascii="Arial" w:hAnsi="Arial" w:cs="Arial"/>
                <w:color w:val="000000"/>
                <w:sz w:val="16"/>
                <w:szCs w:val="16"/>
              </w:rPr>
              <w:br/>
              <w:t xml:space="preserve">VII «Додатки» (додаток 2) </w:t>
            </w:r>
            <w:r w:rsidRPr="00C65DFF">
              <w:rPr>
                <w:rFonts w:ascii="Arial" w:hAnsi="Arial" w:cs="Arial"/>
                <w:color w:val="000000"/>
                <w:sz w:val="16"/>
                <w:szCs w:val="16"/>
              </w:rPr>
              <w:br/>
              <w:t xml:space="preserve">у зв’язку з оновленням інформації з безпеки діючої речовини пірацетам відповідно до актуальної референтної інформації. </w:t>
            </w:r>
            <w:r w:rsidRPr="00C65DFF">
              <w:rPr>
                <w:rFonts w:ascii="Arial" w:hAnsi="Arial" w:cs="Arial"/>
                <w:color w:val="000000"/>
                <w:sz w:val="16"/>
                <w:szCs w:val="16"/>
              </w:rPr>
              <w:br/>
              <w:t xml:space="preserve">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UA/7498/01/01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ПЛАКВЕНІЛ®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200 мг; №60 (15х4): по 15 таблеток у блістері; по 4 блістери у картонній коробці; №60 (10х6):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САНОФІ-АВЕНТІС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 6. «ІНШЕ») та вторинної (п.17. «ІНШЕ»)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UA/8261/01/01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ПРОПАНОРМ®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300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 Словацька Республіка; контроль якості: 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Чеська Республіка; Словацька Республіка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в методі випробування вхідного контролю «Ідентифікація, метод ІЧ» для нефармакопейної допоміжної речовини – суміші для покриття Opadry WHITE 02F28310. Сам метод не змінився. Також були внесені незначні редакційні правки, що не впливають на суть. Приведення у відповідність до матеріалів виробника.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-Незначні зміни в методі випробування вхідного контролю «Ідентифікація, метод ІЧ» для допоміжної речовини – емульсія симетикону. Сам метод не змінився. Також були внесені незначні редакційні правки, що не впливають на суть. Приведення у відповідність до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UA/5421/01/02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ПРОПАНОРМ®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150 мг;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Санека Фармасьютикалз а.с., Словацька Республіка; контроль якості: АЛС Чеська Республіка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Чеська Республіка/ Словацька Республіка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в методі випробування вхідного контролю «Ідентифікація, метод ІЧ» для нефармакопейної допоміжної речовини – суміші для покриття Opadry WHITE 02F28310. Сам метод не змінився. Також були внесені незначні редакційні правки, що не впливають на суть. Приведення у відповідність до матеріалів виробника.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-Незначні зміни в методі випробування вхідного контролю «Ідентифікація, метод ІЧ» для допоміжної речовини – емульсія симетикону. Сам метод не змінився. Також були внесені незначні редакційні правки, що не впливають на суть. Приведення у відповідність до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UA/5421/01/01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РИБОКСИН-ДАРНИЦЯ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20 мг/мл, по 5 мл в ампулі; по 5 ампул у контурній чарунковій упаковці; по 2 контурні чарункові упаковки у пачці; по 10 мл в ампулі; по 5 ампул у контурній чарунковій упаковці; по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C65DFF">
              <w:rPr>
                <w:rFonts w:ascii="Arial" w:hAnsi="Arial" w:cs="Arial"/>
                <w:color w:val="000000"/>
                <w:sz w:val="16"/>
                <w:szCs w:val="16"/>
              </w:rPr>
              <w:b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за показником "Бактеріальні ендотоксини" в методи контролю ГЛЗ, а саме внесено уточнення щодо методу визначення (метод А), без змін методики випробування. Також нормування показника приведено до результатів валідації, та, як наслідок, відповідні з зміни внесено до Специфікації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UA/6209/01/01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РІНГЕРА ЛАКТАТ РОЗЧИН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інфузій, по 200 мл або по 400 мл у пляшках скляних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за показником "Кількісне визначення. Натрій, Калій і Кальцій" методом оптично-емісійної спектроскопії з індукційно зв'язаною плазмою. Зміна концентрації стандартного зразка Кальцію. Пропонується концентрація СЗ Кальцію - 1000 ppm, замість затвердженої концентрації СЗ Кальцію - 100 ppm, яка була помилково зазначена при формуванні проекту методики до розділу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UA/18296/01/01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РІСТ-НОРМА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w:t>
            </w:r>
            <w:r w:rsidRPr="00C65DFF">
              <w:rPr>
                <w:rFonts w:ascii="Arial" w:hAnsi="Arial" w:cs="Arial"/>
                <w:color w:val="000000"/>
                <w:sz w:val="16"/>
                <w:szCs w:val="16"/>
              </w:rPr>
              <w:br/>
              <w:t>затверджено: "РОСТ-НОРМА"</w:t>
            </w:r>
            <w:r w:rsidRPr="00C65DFF">
              <w:rPr>
                <w:rFonts w:ascii="Arial" w:hAnsi="Arial" w:cs="Arial"/>
                <w:color w:val="000000"/>
                <w:sz w:val="16"/>
                <w:szCs w:val="16"/>
              </w:rPr>
              <w:br/>
              <w:t xml:space="preserve">запропоновано: "РІСТ-НОРМА"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UA/4625/01/01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РОКУМІД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10 мг/мл; по 5 мл у флаконах, по 5 флаконів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"БІОЛІК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"БІОЛІК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п.6. ІНШЕ тексту маркування первинної упаковки (флакон) лікарського засобу, а саме: зазначено об'єм препарату у флаконі та спосіб застосування - внутрішньовенний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UA/20577/01/01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САЛЬБРОКСОЛ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10 таблеток у блістері; по 2 або 4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Україна; контроль серій: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«Ідентифікація» (А) (УФ-спектр) та «Ідентифікація» (D) (реакція з калію феріціанідом Р) зі специфікації АФІ Сальбутамолу сульфат, у зв’язку з приведенням у відповідність до вимог монографії ЕР 0687 «Salbutamol sulfate». Також, уточнення назви р. «Ідентифікація в кожному тарному місці В або F» на «Ідентифікація в кожному тарному місці А або D», без змін у специфікаціях та методах контролю.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«Оптичне обертання» зі специфікації АФІ Сальбутамолу сульфат, у зв’язку з приведенням у відповідність до вимог монографії ЕР 0687 «Salbutamol sulfate».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у специфікації АФІ за п. «Супровідні домішки», у зв’язку з приведенням у відповідність до вимог монографії ЕР 0687 «Salbutamol sulfate».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UA/6932/01/01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 Нідерланди/ Австрія/ 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назви та адреси виробника АФІ Novartis на Sterling Pharma, місцезнаходження виробника, виробнича дільниця та усі виробничі операції залишаються незмінними.</w:t>
            </w:r>
            <w:r w:rsidRPr="00C65DFF">
              <w:rPr>
                <w:rFonts w:ascii="Arial" w:hAnsi="Arial" w:cs="Arial"/>
                <w:color w:val="000000"/>
                <w:sz w:val="16"/>
                <w:szCs w:val="16"/>
              </w:rPr>
              <w:br/>
              <w:t>Діюча редакція:</w:t>
            </w:r>
            <w:r w:rsidRPr="00C65DFF">
              <w:rPr>
                <w:rFonts w:ascii="Arial" w:hAnsi="Arial" w:cs="Arial"/>
                <w:color w:val="000000"/>
                <w:sz w:val="16"/>
                <w:szCs w:val="16"/>
              </w:rPr>
              <w:br/>
              <w:t>Novartis Ringaskiddy Limited</w:t>
            </w:r>
            <w:r w:rsidRPr="00C65DFF">
              <w:rPr>
                <w:rFonts w:ascii="Arial" w:hAnsi="Arial" w:cs="Arial"/>
                <w:color w:val="000000"/>
                <w:sz w:val="16"/>
                <w:szCs w:val="16"/>
              </w:rPr>
              <w:br/>
              <w:t>Ringaskiddy</w:t>
            </w:r>
            <w:r w:rsidRPr="00C65DFF">
              <w:rPr>
                <w:rFonts w:ascii="Arial" w:hAnsi="Arial" w:cs="Arial"/>
                <w:color w:val="000000"/>
                <w:sz w:val="16"/>
                <w:szCs w:val="16"/>
              </w:rPr>
              <w:br/>
              <w:t>Co.Cork</w:t>
            </w:r>
            <w:r w:rsidRPr="00C65DFF">
              <w:rPr>
                <w:rFonts w:ascii="Arial" w:hAnsi="Arial" w:cs="Arial"/>
                <w:color w:val="000000"/>
                <w:sz w:val="16"/>
                <w:szCs w:val="16"/>
              </w:rPr>
              <w:br/>
              <w:t>Ireland</w:t>
            </w:r>
            <w:r w:rsidRPr="00C65DFF">
              <w:rPr>
                <w:rFonts w:ascii="Arial" w:hAnsi="Arial" w:cs="Arial"/>
                <w:color w:val="000000"/>
                <w:sz w:val="16"/>
                <w:szCs w:val="16"/>
              </w:rPr>
              <w:br/>
              <w:t>Пропонована редакція:</w:t>
            </w:r>
            <w:r w:rsidRPr="00C65DFF">
              <w:rPr>
                <w:rFonts w:ascii="Arial" w:hAnsi="Arial" w:cs="Arial"/>
                <w:color w:val="000000"/>
                <w:sz w:val="16"/>
                <w:szCs w:val="16"/>
              </w:rPr>
              <w:br/>
              <w:t>Sterling Pharma Ringaskiddy Limited</w:t>
            </w:r>
            <w:r w:rsidRPr="00C65DFF">
              <w:rPr>
                <w:rFonts w:ascii="Arial" w:hAnsi="Arial" w:cs="Arial"/>
                <w:color w:val="000000"/>
                <w:sz w:val="16"/>
                <w:szCs w:val="16"/>
              </w:rPr>
              <w:br/>
              <w:t>Ringaskiddy</w:t>
            </w:r>
            <w:r w:rsidRPr="00C65DFF">
              <w:rPr>
                <w:rFonts w:ascii="Arial" w:hAnsi="Arial" w:cs="Arial"/>
                <w:color w:val="000000"/>
                <w:sz w:val="16"/>
                <w:szCs w:val="16"/>
              </w:rPr>
              <w:br/>
              <w:t>Cork, P43 FR63</w:t>
            </w:r>
            <w:r w:rsidRPr="00C65DFF">
              <w:rPr>
                <w:rFonts w:ascii="Arial" w:hAnsi="Arial" w:cs="Arial"/>
                <w:color w:val="000000"/>
                <w:sz w:val="16"/>
                <w:szCs w:val="16"/>
              </w:rPr>
              <w:br/>
              <w:t>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UA/1537/02/01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порошку:Новартіс Фармасьютикал Мануфактурінг ГмбХ, Австрія; контроль якості порошку за всіма параметрами за виключенням молекулярної маси полімеру:Сандоз ГмбХ ,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 Нідерланди/ Австрія/ 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назви та адреси виробника АФІ Novartis на Sterling Pharma, місцезнаходження виробника, виробнича дільниця та усі виробничі операції залишаються незмінними.</w:t>
            </w:r>
            <w:r w:rsidRPr="00C65DFF">
              <w:rPr>
                <w:rFonts w:ascii="Arial" w:hAnsi="Arial" w:cs="Arial"/>
                <w:color w:val="000000"/>
                <w:sz w:val="16"/>
                <w:szCs w:val="16"/>
              </w:rPr>
              <w:br/>
              <w:t>Діюча редакція:</w:t>
            </w:r>
            <w:r w:rsidRPr="00C65DFF">
              <w:rPr>
                <w:rFonts w:ascii="Arial" w:hAnsi="Arial" w:cs="Arial"/>
                <w:color w:val="000000"/>
                <w:sz w:val="16"/>
                <w:szCs w:val="16"/>
              </w:rPr>
              <w:br/>
              <w:t>Novartis Ringaskiddy Limited</w:t>
            </w:r>
            <w:r w:rsidRPr="00C65DFF">
              <w:rPr>
                <w:rFonts w:ascii="Arial" w:hAnsi="Arial" w:cs="Arial"/>
                <w:color w:val="000000"/>
                <w:sz w:val="16"/>
                <w:szCs w:val="16"/>
              </w:rPr>
              <w:br/>
              <w:t>Ringaskiddy</w:t>
            </w:r>
            <w:r w:rsidRPr="00C65DFF">
              <w:rPr>
                <w:rFonts w:ascii="Arial" w:hAnsi="Arial" w:cs="Arial"/>
                <w:color w:val="000000"/>
                <w:sz w:val="16"/>
                <w:szCs w:val="16"/>
              </w:rPr>
              <w:br/>
              <w:t>Co.Cork</w:t>
            </w:r>
            <w:r w:rsidRPr="00C65DFF">
              <w:rPr>
                <w:rFonts w:ascii="Arial" w:hAnsi="Arial" w:cs="Arial"/>
                <w:color w:val="000000"/>
                <w:sz w:val="16"/>
                <w:szCs w:val="16"/>
              </w:rPr>
              <w:br/>
              <w:t>Ireland</w:t>
            </w:r>
            <w:r w:rsidRPr="00C65DFF">
              <w:rPr>
                <w:rFonts w:ascii="Arial" w:hAnsi="Arial" w:cs="Arial"/>
                <w:color w:val="000000"/>
                <w:sz w:val="16"/>
                <w:szCs w:val="16"/>
              </w:rPr>
              <w:br/>
              <w:t>Пропонована редакція:</w:t>
            </w:r>
            <w:r w:rsidRPr="00C65DFF">
              <w:rPr>
                <w:rFonts w:ascii="Arial" w:hAnsi="Arial" w:cs="Arial"/>
                <w:color w:val="000000"/>
                <w:sz w:val="16"/>
                <w:szCs w:val="16"/>
              </w:rPr>
              <w:br/>
              <w:t>Sterling Pharma Ringaskiddy Limited</w:t>
            </w:r>
            <w:r w:rsidRPr="00C65DFF">
              <w:rPr>
                <w:rFonts w:ascii="Arial" w:hAnsi="Arial" w:cs="Arial"/>
                <w:color w:val="000000"/>
                <w:sz w:val="16"/>
                <w:szCs w:val="16"/>
              </w:rPr>
              <w:br/>
              <w:t>Ringaskiddy</w:t>
            </w:r>
            <w:r w:rsidRPr="00C65DFF">
              <w:rPr>
                <w:rFonts w:ascii="Arial" w:hAnsi="Arial" w:cs="Arial"/>
                <w:color w:val="000000"/>
                <w:sz w:val="16"/>
                <w:szCs w:val="16"/>
              </w:rPr>
              <w:br/>
              <w:t>Cork, P43 FR63</w:t>
            </w:r>
            <w:r w:rsidRPr="00C65DFF">
              <w:rPr>
                <w:rFonts w:ascii="Arial" w:hAnsi="Arial" w:cs="Arial"/>
                <w:color w:val="000000"/>
                <w:sz w:val="16"/>
                <w:szCs w:val="16"/>
              </w:rPr>
              <w:br/>
              <w:t>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UA/1537/02/02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продукту:Абботт Біолоджикалс Б.В., Нідерланди; Виробництво нерозфасованого продукту, контроль якості, первинне пакування порошку:Новартіс Фармасьютикал Мануфактурінг ГмбХ, Австрія; контроль якості порошку за всіма параметрами за виключенням молекулярної маси полімеру:Сандоз ГмбХ ,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 Нідерланди/ Австрія/ 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назви та адреси виробника АФІ Novartis на Sterling Pharma, місцезнаходження виробника, виробнича дільниця та усі виробничі операції залишаються незмінними.</w:t>
            </w:r>
            <w:r w:rsidRPr="00C65DFF">
              <w:rPr>
                <w:rFonts w:ascii="Arial" w:hAnsi="Arial" w:cs="Arial"/>
                <w:color w:val="000000"/>
                <w:sz w:val="16"/>
                <w:szCs w:val="16"/>
              </w:rPr>
              <w:br/>
              <w:t>Діюча редакція:</w:t>
            </w:r>
            <w:r w:rsidRPr="00C65DFF">
              <w:rPr>
                <w:rFonts w:ascii="Arial" w:hAnsi="Arial" w:cs="Arial"/>
                <w:color w:val="000000"/>
                <w:sz w:val="16"/>
                <w:szCs w:val="16"/>
              </w:rPr>
              <w:br/>
              <w:t>Novartis Ringaskiddy Limited</w:t>
            </w:r>
            <w:r w:rsidRPr="00C65DFF">
              <w:rPr>
                <w:rFonts w:ascii="Arial" w:hAnsi="Arial" w:cs="Arial"/>
                <w:color w:val="000000"/>
                <w:sz w:val="16"/>
                <w:szCs w:val="16"/>
              </w:rPr>
              <w:br/>
              <w:t>Ringaskiddy</w:t>
            </w:r>
            <w:r w:rsidRPr="00C65DFF">
              <w:rPr>
                <w:rFonts w:ascii="Arial" w:hAnsi="Arial" w:cs="Arial"/>
                <w:color w:val="000000"/>
                <w:sz w:val="16"/>
                <w:szCs w:val="16"/>
              </w:rPr>
              <w:br/>
              <w:t>Co.Cork</w:t>
            </w:r>
            <w:r w:rsidRPr="00C65DFF">
              <w:rPr>
                <w:rFonts w:ascii="Arial" w:hAnsi="Arial" w:cs="Arial"/>
                <w:color w:val="000000"/>
                <w:sz w:val="16"/>
                <w:szCs w:val="16"/>
              </w:rPr>
              <w:br/>
              <w:t>Ireland</w:t>
            </w:r>
            <w:r w:rsidRPr="00C65DFF">
              <w:rPr>
                <w:rFonts w:ascii="Arial" w:hAnsi="Arial" w:cs="Arial"/>
                <w:color w:val="000000"/>
                <w:sz w:val="16"/>
                <w:szCs w:val="16"/>
              </w:rPr>
              <w:br/>
              <w:t>Пропонована редакція:</w:t>
            </w:r>
            <w:r w:rsidRPr="00C65DFF">
              <w:rPr>
                <w:rFonts w:ascii="Arial" w:hAnsi="Arial" w:cs="Arial"/>
                <w:color w:val="000000"/>
                <w:sz w:val="16"/>
                <w:szCs w:val="16"/>
              </w:rPr>
              <w:br/>
              <w:t>Sterling Pharma Ringaskiddy Limited</w:t>
            </w:r>
            <w:r w:rsidRPr="00C65DFF">
              <w:rPr>
                <w:rFonts w:ascii="Arial" w:hAnsi="Arial" w:cs="Arial"/>
                <w:color w:val="000000"/>
                <w:sz w:val="16"/>
                <w:szCs w:val="16"/>
              </w:rPr>
              <w:br/>
              <w:t>Ringaskiddy</w:t>
            </w:r>
            <w:r w:rsidRPr="00C65DFF">
              <w:rPr>
                <w:rFonts w:ascii="Arial" w:hAnsi="Arial" w:cs="Arial"/>
                <w:color w:val="000000"/>
                <w:sz w:val="16"/>
                <w:szCs w:val="16"/>
              </w:rPr>
              <w:br/>
              <w:t>Cork, P43 FR63</w:t>
            </w:r>
            <w:r w:rsidRPr="00C65DFF">
              <w:rPr>
                <w:rFonts w:ascii="Arial" w:hAnsi="Arial" w:cs="Arial"/>
                <w:color w:val="000000"/>
                <w:sz w:val="16"/>
                <w:szCs w:val="16"/>
              </w:rPr>
              <w:br/>
              <w:t>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UA/1537/02/03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СЕКРЕПАТ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жувальні зі смаком анісу, по 10 таблеток у блістері; по 5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СПЕРКО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ЛАБОРАТОРІОС АЛКАЛА ФАРМА, С.Л.</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Cкрипка Артур Сергійович. Пропонована редакція: Харламова Євгенія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C65DFF">
              <w:rPr>
                <w:rFonts w:ascii="Arial" w:hAnsi="Arial" w:cs="Arial"/>
                <w:color w:val="000000"/>
                <w:sz w:val="16"/>
                <w:szCs w:val="16"/>
              </w:rPr>
              <w:br/>
              <w:t xml:space="preserve">Зміна місця здійснення основної діяльності з фармаконагляду. Зміни І типу - Зміни щодо безпеки/ефективності та фармаконагляду (інші зміни) - Зміни внесено до тексту маркування вторинних упаковок лікарського засобу (вилучено текст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повідомлення про підозрювані побічні реакції відповідно до інформації, розміщеної на сайті ДЕЦ. </w:t>
            </w:r>
            <w:r w:rsidRPr="00C65DFF">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UA/7782/01/01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СЕКРЕПАТ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жувальні зі смаком м'яти, по 10 таблеток у блістері; по 5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СПЕРКО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ЛАБОРАТОРІОС АЛКАЛА ФАРМА, С.Л.</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Cкрипка Артур Сергійович. Пропонована редакція: Харламова Євгенія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C65DFF">
              <w:rPr>
                <w:rFonts w:ascii="Arial" w:hAnsi="Arial" w:cs="Arial"/>
                <w:color w:val="000000"/>
                <w:sz w:val="16"/>
                <w:szCs w:val="16"/>
              </w:rPr>
              <w:br/>
              <w:t xml:space="preserve">Зміна місця здійснення основної діяльності з фармаконагляду. Зміни І типу - Зміни щодо безпеки/ефективності та фармаконагляду (інші зміни) - Зміни внесено до тексту маркування вторинних упаковок лікарського засобу (вилучено текст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повідомлення про підозрювані побічні реакції відповідно до інформації, розміщеної на сайті ДЕЦ. </w:t>
            </w:r>
            <w:r w:rsidRPr="00C65DFF">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UA/7783/01/01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СЕРОКВЕЛЬ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пролонгованої дії, по 50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США</w:t>
            </w:r>
            <w:r w:rsidRPr="00C65DFF">
              <w:rPr>
                <w:rFonts w:ascii="Arial" w:hAnsi="Arial" w:cs="Arial"/>
                <w:color w:val="000000"/>
                <w:sz w:val="16"/>
                <w:szCs w:val="16"/>
                <w:lang w:val="en-US"/>
              </w:rPr>
              <w:t>/</w:t>
            </w:r>
            <w:r w:rsidRPr="00C65DFF">
              <w:rPr>
                <w:rFonts w:ascii="Arial" w:hAnsi="Arial" w:cs="Arial"/>
                <w:color w:val="000000"/>
                <w:sz w:val="16"/>
                <w:szCs w:val="16"/>
              </w:rPr>
              <w:t xml:space="preserve"> Велика Британія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(кветіапіну)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UA/2535/02/01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СЕРОКВЕЛЬ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пролонгованої дії, по 200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США</w:t>
            </w:r>
            <w:r w:rsidRPr="00C65DFF">
              <w:rPr>
                <w:rFonts w:ascii="Arial" w:hAnsi="Arial" w:cs="Arial"/>
                <w:color w:val="000000"/>
                <w:sz w:val="16"/>
                <w:szCs w:val="16"/>
                <w:lang/>
              </w:rPr>
              <w:t>/</w:t>
            </w:r>
            <w:r w:rsidRPr="00C65DFF">
              <w:rPr>
                <w:rFonts w:ascii="Arial" w:hAnsi="Arial" w:cs="Arial"/>
                <w:color w:val="000000"/>
                <w:sz w:val="16"/>
                <w:szCs w:val="16"/>
              </w:rPr>
              <w:t xml:space="preserve"> Велика Британія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(кветіапіну)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UA/2535/02/02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СЕРОКВЕЛЬ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пролонгованої дії, по 300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США</w:t>
            </w:r>
            <w:r w:rsidRPr="00C65DFF">
              <w:rPr>
                <w:rFonts w:ascii="Arial" w:hAnsi="Arial" w:cs="Arial"/>
                <w:color w:val="000000"/>
                <w:sz w:val="16"/>
                <w:szCs w:val="16"/>
                <w:lang/>
              </w:rPr>
              <w:t>/</w:t>
            </w:r>
            <w:r w:rsidRPr="00C65DFF">
              <w:rPr>
                <w:rFonts w:ascii="Arial" w:hAnsi="Arial" w:cs="Arial"/>
                <w:color w:val="000000"/>
                <w:sz w:val="16"/>
                <w:szCs w:val="16"/>
              </w:rPr>
              <w:t xml:space="preserve"> Велика Британія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(кветіапіну)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UA/2535/02/03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СЕРОКВЕЛЬ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пролонгованої дії, по 400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США</w:t>
            </w:r>
            <w:r w:rsidRPr="00C65DFF">
              <w:rPr>
                <w:rFonts w:ascii="Arial" w:hAnsi="Arial" w:cs="Arial"/>
                <w:color w:val="000000"/>
                <w:sz w:val="16"/>
                <w:szCs w:val="16"/>
                <w:lang/>
              </w:rPr>
              <w:t>/</w:t>
            </w:r>
            <w:r w:rsidRPr="00C65DFF">
              <w:rPr>
                <w:rFonts w:ascii="Arial" w:hAnsi="Arial" w:cs="Arial"/>
                <w:color w:val="000000"/>
                <w:sz w:val="16"/>
                <w:szCs w:val="16"/>
              </w:rPr>
              <w:t xml:space="preserve"> Велика Британія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(кветіапіну)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UA/2535/02/04</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СМОФЛІПІД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емульсія для інфузій по 100 мл, або по 250 мл, або по 500 мл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Австрія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за показником "DL-α-токоферол" методом ВЕРХ. Пропонується вводити одну інжекцію випробуваного розчину замість затверджених двох інжекцій.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UA/13846/01/01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СОЛАРГІН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інфузій, 42 мг/мл по 100 мл у контейнері з поліпропілену; по 1 контейнеру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Дочірнє підприємство "Фарматрейд"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C65DFF">
              <w:rPr>
                <w:rFonts w:ascii="Arial" w:hAnsi="Arial" w:cs="Arial"/>
                <w:color w:val="000000"/>
                <w:sz w:val="16"/>
                <w:szCs w:val="16"/>
              </w:rPr>
              <w:br/>
              <w:t>подання нового сертифіката відповідності Європейській фармакопеї № R1-CEP 2010-048 - Rev 00 для діючої речовини Arginine hydrochloride від нового виробника Shanghai Kyowa Amino Acid Co., Ltd., China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UA/18187/01/01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Пфайзер Ейч.Сі.Пі. Корпорейшн </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C65DFF">
              <w:rPr>
                <w:rFonts w:ascii="Arial" w:hAnsi="Arial" w:cs="Arial"/>
                <w:color w:val="000000"/>
                <w:sz w:val="16"/>
                <w:szCs w:val="16"/>
              </w:rPr>
              <w:br/>
              <w:t xml:space="preserve">Пфайзер Менюфекчуринг Бельгія НВ, Бельгія </w:t>
            </w:r>
            <w:r w:rsidRPr="00C65DFF">
              <w:rPr>
                <w:rFonts w:ascii="Arial" w:hAnsi="Arial" w:cs="Arial"/>
                <w:color w:val="000000"/>
                <w:sz w:val="16"/>
                <w:szCs w:val="16"/>
              </w:rPr>
              <w:br/>
            </w:r>
            <w:r w:rsidRPr="00C65DFF">
              <w:rPr>
                <w:rFonts w:ascii="Arial" w:hAnsi="Arial" w:cs="Arial"/>
                <w:color w:val="000000"/>
                <w:sz w:val="16"/>
                <w:szCs w:val="16"/>
              </w:rPr>
              <w:br/>
              <w:t>Контроль якості лікарського засобу:</w:t>
            </w:r>
            <w:r w:rsidRPr="00C65DFF">
              <w:rPr>
                <w:rFonts w:ascii="Arial" w:hAnsi="Arial" w:cs="Arial"/>
                <w:color w:val="000000"/>
                <w:sz w:val="16"/>
                <w:szCs w:val="16"/>
              </w:rPr>
              <w:br/>
              <w:t>Пфайзер Ірленд Фармасеутикалс</w:t>
            </w:r>
            <w:r w:rsidRPr="00C65DFF">
              <w:rPr>
                <w:rFonts w:ascii="Arial" w:hAnsi="Arial" w:cs="Arial"/>
                <w:color w:val="000000"/>
                <w:sz w:val="16"/>
                <w:szCs w:val="16"/>
                <w:lang/>
              </w:rPr>
              <w:t xml:space="preserve">, </w:t>
            </w:r>
            <w:r w:rsidRPr="00C65DFF">
              <w:rPr>
                <w:rFonts w:ascii="Arial" w:hAnsi="Arial" w:cs="Arial"/>
                <w:color w:val="000000"/>
                <w:sz w:val="16"/>
                <w:szCs w:val="16"/>
              </w:rPr>
              <w:t>Ірландiя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Бельгія</w:t>
            </w:r>
            <w:r w:rsidRPr="00C65DFF">
              <w:rPr>
                <w:rFonts w:ascii="Arial" w:hAnsi="Arial" w:cs="Arial"/>
                <w:color w:val="000000"/>
                <w:sz w:val="16"/>
                <w:szCs w:val="16"/>
                <w:lang/>
              </w:rPr>
              <w:t>/</w:t>
            </w:r>
            <w:r w:rsidRPr="00C65DFF">
              <w:rPr>
                <w:rFonts w:ascii="Arial" w:hAnsi="Arial" w:cs="Arial"/>
                <w:color w:val="000000"/>
                <w:sz w:val="16"/>
                <w:szCs w:val="16"/>
              </w:rPr>
              <w:t xml:space="preserve"> Ірландiя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весено до інструкції для медичного застосування лікарського засобу до розділів "Фармакологічні властивості", "Показання" (технічне уточнення назви IGF-1 (попередне написання: IGF-I)),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матеріалів реєстраційного досьє.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UA/17108/01/01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Пфайзер Ейч.Сі.Пі. Корпорейшн </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C65DFF">
              <w:rPr>
                <w:rFonts w:ascii="Arial" w:hAnsi="Arial" w:cs="Arial"/>
                <w:color w:val="000000"/>
                <w:sz w:val="16"/>
                <w:szCs w:val="16"/>
              </w:rPr>
              <w:br/>
              <w:t xml:space="preserve">Пфайзер Менюфекчуринг Бельгія НВ, Бельгія </w:t>
            </w:r>
            <w:r w:rsidRPr="00C65DFF">
              <w:rPr>
                <w:rFonts w:ascii="Arial" w:hAnsi="Arial" w:cs="Arial"/>
                <w:color w:val="000000"/>
                <w:sz w:val="16"/>
                <w:szCs w:val="16"/>
              </w:rPr>
              <w:br/>
            </w:r>
            <w:r w:rsidRPr="00C65DFF">
              <w:rPr>
                <w:rFonts w:ascii="Arial" w:hAnsi="Arial" w:cs="Arial"/>
                <w:color w:val="000000"/>
                <w:sz w:val="16"/>
                <w:szCs w:val="16"/>
              </w:rPr>
              <w:br/>
              <w:t>Контроль якості лікарського засобу:</w:t>
            </w:r>
            <w:r w:rsidRPr="00C65DFF">
              <w:rPr>
                <w:rFonts w:ascii="Arial" w:hAnsi="Arial" w:cs="Arial"/>
                <w:color w:val="000000"/>
                <w:sz w:val="16"/>
                <w:szCs w:val="16"/>
              </w:rPr>
              <w:br/>
              <w:t>Пфайзер Ірленд Фармасеутикалс, Ірландiя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Бельгія</w:t>
            </w:r>
            <w:r w:rsidRPr="00C65DFF">
              <w:rPr>
                <w:rFonts w:ascii="Arial" w:hAnsi="Arial" w:cs="Arial"/>
                <w:color w:val="000000"/>
                <w:sz w:val="16"/>
                <w:szCs w:val="16"/>
                <w:lang/>
              </w:rPr>
              <w:t>/</w:t>
            </w:r>
            <w:r w:rsidRPr="00C65DFF">
              <w:rPr>
                <w:rFonts w:ascii="Arial" w:hAnsi="Arial" w:cs="Arial"/>
                <w:color w:val="000000"/>
                <w:sz w:val="16"/>
                <w:szCs w:val="16"/>
              </w:rPr>
              <w:t xml:space="preserve"> Ірландiя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весено до інструкції для медичного застосування лікарського засобу до розділів "Фармакологічні властивості", "Показання" (технічне уточнення назви IGF-1 (попередне написання: IGF-I)),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матеріалів реєстраційного досьє.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UA/17108/01/02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Пфайзер Ейч.Сі.Пі. Корпорейшн </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C65DFF">
              <w:rPr>
                <w:rFonts w:ascii="Arial" w:hAnsi="Arial" w:cs="Arial"/>
                <w:color w:val="000000"/>
                <w:sz w:val="16"/>
                <w:szCs w:val="16"/>
              </w:rPr>
              <w:br/>
              <w:t xml:space="preserve">Пфайзер Менюфекчуринг Бельгія НВ, Бельгія; </w:t>
            </w:r>
            <w:r w:rsidRPr="00C65DFF">
              <w:rPr>
                <w:rFonts w:ascii="Arial" w:hAnsi="Arial" w:cs="Arial"/>
                <w:color w:val="000000"/>
                <w:sz w:val="16"/>
                <w:szCs w:val="16"/>
              </w:rPr>
              <w:br/>
            </w:r>
            <w:r w:rsidRPr="00C65DFF">
              <w:rPr>
                <w:rFonts w:ascii="Arial" w:hAnsi="Arial" w:cs="Arial"/>
                <w:color w:val="000000"/>
                <w:sz w:val="16"/>
                <w:szCs w:val="16"/>
              </w:rPr>
              <w:br/>
              <w:t>Контроль якості лікарського засобу:</w:t>
            </w:r>
            <w:r w:rsidRPr="00C65DFF">
              <w:rPr>
                <w:rFonts w:ascii="Arial" w:hAnsi="Arial" w:cs="Arial"/>
                <w:color w:val="000000"/>
                <w:sz w:val="16"/>
                <w:szCs w:val="16"/>
              </w:rPr>
              <w:br/>
              <w:t>Пфайзер Ірленд Фармасеутикалс, Ірландiя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Бельгія</w:t>
            </w:r>
            <w:r w:rsidRPr="00C65DFF">
              <w:rPr>
                <w:rFonts w:ascii="Arial" w:hAnsi="Arial" w:cs="Arial"/>
                <w:color w:val="000000"/>
                <w:sz w:val="16"/>
                <w:szCs w:val="16"/>
                <w:lang/>
              </w:rPr>
              <w:t>/</w:t>
            </w:r>
            <w:r w:rsidRPr="00C65DFF">
              <w:rPr>
                <w:rFonts w:ascii="Arial" w:hAnsi="Arial" w:cs="Arial"/>
                <w:color w:val="000000"/>
                <w:sz w:val="16"/>
                <w:szCs w:val="16"/>
              </w:rPr>
              <w:t xml:space="preserve"> Ірландiя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весено до інструкції для медичного застосування лікарського засобу до розділів "Фармакологічні властивості", "Показання" (технічне уточнення назви IGF-1 (попередне написання: IGF-I)),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матеріалів реєстраційного досьє.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UA/17108/01/03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Пфайзер Ейч.Сі.Пі. Корпорейшн </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C65DFF">
              <w:rPr>
                <w:rFonts w:ascii="Arial" w:hAnsi="Arial" w:cs="Arial"/>
                <w:color w:val="000000"/>
                <w:sz w:val="16"/>
                <w:szCs w:val="16"/>
              </w:rPr>
              <w:br/>
              <w:t xml:space="preserve">Пфайзер Менюфекчуринг Бельгія НВ, Бельгія; </w:t>
            </w:r>
            <w:r w:rsidRPr="00C65DFF">
              <w:rPr>
                <w:rFonts w:ascii="Arial" w:hAnsi="Arial" w:cs="Arial"/>
                <w:color w:val="000000"/>
                <w:sz w:val="16"/>
                <w:szCs w:val="16"/>
              </w:rPr>
              <w:br/>
            </w:r>
            <w:r w:rsidRPr="00C65DFF">
              <w:rPr>
                <w:rFonts w:ascii="Arial" w:hAnsi="Arial" w:cs="Arial"/>
                <w:color w:val="000000"/>
                <w:sz w:val="16"/>
                <w:szCs w:val="16"/>
              </w:rPr>
              <w:br/>
              <w:t>Контроль якості лікарського засобу:</w:t>
            </w:r>
            <w:r w:rsidRPr="00C65DFF">
              <w:rPr>
                <w:rFonts w:ascii="Arial" w:hAnsi="Arial" w:cs="Arial"/>
                <w:color w:val="000000"/>
                <w:sz w:val="16"/>
                <w:szCs w:val="16"/>
              </w:rPr>
              <w:br/>
              <w:t>Пфайзер Ірленд Фармасеутикалс, Ірландiя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Бельгія</w:t>
            </w:r>
            <w:r w:rsidRPr="00C65DFF">
              <w:rPr>
                <w:rFonts w:ascii="Arial" w:hAnsi="Arial" w:cs="Arial"/>
                <w:color w:val="000000"/>
                <w:sz w:val="16"/>
                <w:szCs w:val="16"/>
                <w:lang/>
              </w:rPr>
              <w:t>/</w:t>
            </w:r>
            <w:r w:rsidRPr="00C65DFF">
              <w:rPr>
                <w:rFonts w:ascii="Arial" w:hAnsi="Arial" w:cs="Arial"/>
                <w:color w:val="000000"/>
                <w:sz w:val="16"/>
                <w:szCs w:val="16"/>
              </w:rPr>
              <w:t xml:space="preserve"> Ірландiя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весено до інструкції для медичного застосування лікарського засобу до розділів "Фармакологічні властивості", "Показання" (технічне уточнення назви IGF-1 (попередне написання: IGF-I)),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матеріалів реєстраційного досьє.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UA/17108/01/04</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СУВАРДІО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оболонкоюпо, по 10 мг; по 7 таблеток у блістері; по 4 блістери у картонній коробці; по 10 таблеток у блістері; по 3, 6 або 10 блістерів у картонній коробці; по 15 таблеток у блістері; по 2 або 4 блістери у картонній коробці;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Сандоз Фармасьютікалз д.д.</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контроль серії (лише мікробіологічний), випуск серії:</w:t>
            </w:r>
            <w:r w:rsidRPr="00C65DFF">
              <w:rPr>
                <w:rFonts w:ascii="Arial" w:hAnsi="Arial" w:cs="Arial"/>
                <w:color w:val="000000"/>
                <w:sz w:val="16"/>
                <w:szCs w:val="16"/>
              </w:rPr>
              <w:br/>
              <w:t>Лек Фармацевтична компанія д.д., Словенія;</w:t>
            </w:r>
            <w:r w:rsidRPr="00C65DFF">
              <w:rPr>
                <w:rFonts w:ascii="Arial" w:hAnsi="Arial" w:cs="Arial"/>
                <w:color w:val="000000"/>
                <w:sz w:val="16"/>
                <w:szCs w:val="16"/>
              </w:rPr>
              <w:br/>
            </w:r>
            <w:r w:rsidRPr="00C65DFF">
              <w:rPr>
                <w:rFonts w:ascii="Arial" w:hAnsi="Arial" w:cs="Arial"/>
                <w:color w:val="000000"/>
                <w:sz w:val="16"/>
                <w:szCs w:val="16"/>
              </w:rPr>
              <w:br/>
              <w:t>первинне та вторинне пакування, випуск серії:</w:t>
            </w:r>
            <w:r w:rsidRPr="00C65DFF">
              <w:rPr>
                <w:rFonts w:ascii="Arial" w:hAnsi="Arial" w:cs="Arial"/>
                <w:color w:val="000000"/>
                <w:sz w:val="16"/>
                <w:szCs w:val="16"/>
              </w:rPr>
              <w:br/>
              <w:t>Лек Фармацевтична компанія д.д.</w:t>
            </w:r>
            <w:r w:rsidRPr="00C65DFF">
              <w:rPr>
                <w:rFonts w:ascii="Arial" w:hAnsi="Arial" w:cs="Arial"/>
                <w:color w:val="000000"/>
                <w:sz w:val="16"/>
                <w:szCs w:val="16"/>
                <w:lang/>
              </w:rPr>
              <w:t xml:space="preserve">, </w:t>
            </w:r>
            <w:r w:rsidRPr="00C65DFF">
              <w:rPr>
                <w:rFonts w:ascii="Arial" w:hAnsi="Arial" w:cs="Arial"/>
                <w:color w:val="000000"/>
                <w:sz w:val="16"/>
                <w:szCs w:val="16"/>
              </w:rPr>
              <w:t>Словенія;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виробництво in bulk, контроль серії (окрім мікробіологічного), первинне та вториннне пакування:</w:t>
            </w:r>
            <w:r w:rsidRPr="00C65DFF">
              <w:rPr>
                <w:rFonts w:ascii="Arial" w:hAnsi="Arial" w:cs="Arial"/>
                <w:color w:val="000000"/>
                <w:sz w:val="16"/>
                <w:szCs w:val="16"/>
              </w:rPr>
              <w:br/>
              <w:t>Новартіс Фармасьютікал Мануфактуринг ЛЛС, Словенія;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виробництво in bulk, первинне та вторинне пакування, тестування, випуск серії:</w:t>
            </w:r>
            <w:r w:rsidRPr="00C65DFF">
              <w:rPr>
                <w:rFonts w:ascii="Arial" w:hAnsi="Arial" w:cs="Arial"/>
                <w:color w:val="000000"/>
                <w:sz w:val="16"/>
                <w:szCs w:val="16"/>
              </w:rPr>
              <w:br/>
              <w:t xml:space="preserve">Лек С.А., Польща </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Внаслідок відокремлення компанії SANDOZ від компанії Novartis було створено нову назву юридичної особи, що отримала новий поштовий індекс. У результаті відбудеться зміна назви, адреси (поштового індексу) та функцій виробника, що відповідає за повний цикл виробництва з "Лек Фармацевтична компанія д.д., Веровшкова 57, Любляна 1526, Словенія"("Lek Pharmaceuticals d.d., Verovskova 57, Ljubljana 1526, Slovenia") на "Новартіс Фармасьютікал Мануфактуринг ЛЛС, вул. Веровшкова 57, Любляна 1000, Словенія" ("Novartis Pharmaceutical Manufacturing LLC, Verovskova ulica 57, Ljubljana 1000, Slovenia") з функціями: виробництво in bulk, первинне та вторинне пакування, контроль якості (окрім мікробіологічного контролю). Фактичне місцезнаходження виробника не змінилося. Функції мікробіологічного контролю якості та випуску серії і надалі виконуватимуться компанією "Лек Фармацевтична компанія д.д., вул. Веровшкова 57, Любляна 1526, Словенія" ("Lek Pharmaceuticals d.d., Verovskova ulica 57, Ljubljana 1526, Slovenia"). Редакційні зміни, які полягають у виправленні адреси виробника, виробника (Лек Фармацевтична компанія д.д., Лендава, Словенія) відповідального за первинне та вторинне пакування, випуск серії з "Трімліні 2Д" на "Трімліні 2д" з міркувань точності.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упаковки лікарського засобу у п.6. «Особливі застереження щодо зберігання лікарського засобу у недоступному для дітей місці», п.8. «Дата закінчення терміну придатності», п.11. «Найменування і місцезнаходження виробника та/або заявника», п.13. «Номер серії лікарського засобу», п.14. «Категорія відпуску», п.17. «ІНШЕ» та у текст маркування первинної упаковки п. 6.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UA/12605/01/02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СУВАРДІО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оболонкоюпо, по 20 мг, по 7 таблеток у блістері; по 4 блістери у картонній коробці; по 10 таблеток у блістері; по 3, 6 або 10 блістерів у картонній коробці; по 15 таблеток у блістері; по 2 або 4 блістери у картонній коробці;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контроль серії (лише мікробіологічний), випуск серії:</w:t>
            </w:r>
            <w:r w:rsidRPr="00C65DFF">
              <w:rPr>
                <w:rFonts w:ascii="Arial" w:hAnsi="Arial" w:cs="Arial"/>
                <w:color w:val="000000"/>
                <w:sz w:val="16"/>
                <w:szCs w:val="16"/>
              </w:rPr>
              <w:br/>
              <w:t>Лек Фармацевтична компанія д.д., Словенія;</w:t>
            </w:r>
            <w:r w:rsidRPr="00C65DFF">
              <w:rPr>
                <w:rFonts w:ascii="Arial" w:hAnsi="Arial" w:cs="Arial"/>
                <w:color w:val="000000"/>
                <w:sz w:val="16"/>
                <w:szCs w:val="16"/>
              </w:rPr>
              <w:br/>
            </w:r>
            <w:r w:rsidRPr="00C65DFF">
              <w:rPr>
                <w:rFonts w:ascii="Arial" w:hAnsi="Arial" w:cs="Arial"/>
                <w:color w:val="000000"/>
                <w:sz w:val="16"/>
                <w:szCs w:val="16"/>
              </w:rPr>
              <w:br/>
              <w:t>первинне та вторинне пакування, випуск серії:</w:t>
            </w:r>
            <w:r w:rsidRPr="00C65DFF">
              <w:rPr>
                <w:rFonts w:ascii="Arial" w:hAnsi="Arial" w:cs="Arial"/>
                <w:color w:val="000000"/>
                <w:sz w:val="16"/>
                <w:szCs w:val="16"/>
              </w:rPr>
              <w:br/>
              <w:t>Лек Фармацевтична компанія д.д.</w:t>
            </w:r>
            <w:r w:rsidRPr="00C65DFF">
              <w:rPr>
                <w:rFonts w:ascii="Arial" w:hAnsi="Arial" w:cs="Arial"/>
                <w:color w:val="000000"/>
                <w:sz w:val="16"/>
                <w:szCs w:val="16"/>
                <w:lang/>
              </w:rPr>
              <w:t xml:space="preserve">, </w:t>
            </w:r>
            <w:r w:rsidRPr="00C65DFF">
              <w:rPr>
                <w:rFonts w:ascii="Arial" w:hAnsi="Arial" w:cs="Arial"/>
                <w:color w:val="000000"/>
                <w:sz w:val="16"/>
                <w:szCs w:val="16"/>
              </w:rPr>
              <w:t>Словенія;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виробництво in bulk, контроль серії (окрім мікробіологічного), первинне та вториннне пакування:</w:t>
            </w:r>
            <w:r w:rsidRPr="00C65DFF">
              <w:rPr>
                <w:rFonts w:ascii="Arial" w:hAnsi="Arial" w:cs="Arial"/>
                <w:color w:val="000000"/>
                <w:sz w:val="16"/>
                <w:szCs w:val="16"/>
              </w:rPr>
              <w:br/>
              <w:t>Новартіс Фармасьютікал Мануфактуринг ЛЛС, Словенія;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виробництво in bulk, первинне та вторинне пакування, тестування, випуск серії:</w:t>
            </w:r>
            <w:r w:rsidRPr="00C65DFF">
              <w:rPr>
                <w:rFonts w:ascii="Arial" w:hAnsi="Arial" w:cs="Arial"/>
                <w:color w:val="000000"/>
                <w:sz w:val="16"/>
                <w:szCs w:val="16"/>
              </w:rPr>
              <w:br/>
              <w:t xml:space="preserve">Лек С.А., Польща </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Словенія</w:t>
            </w:r>
            <w:r w:rsidRPr="00C65DFF">
              <w:rPr>
                <w:rFonts w:ascii="Arial" w:hAnsi="Arial" w:cs="Arial"/>
                <w:color w:val="000000"/>
                <w:sz w:val="16"/>
                <w:szCs w:val="16"/>
                <w:lang/>
              </w:rPr>
              <w:t>/</w:t>
            </w:r>
            <w:r w:rsidRPr="00C65DFF">
              <w:rPr>
                <w:rFonts w:ascii="Arial" w:hAnsi="Arial" w:cs="Arial"/>
                <w:color w:val="000000"/>
                <w:sz w:val="16"/>
                <w:szCs w:val="16"/>
              </w:rPr>
              <w:t xml:space="preserve"> 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Внаслідок відокремлення компанії SANDOZ від компанії Novartis було створено нову назву юридичної особи, що отримала новий поштовий індекс. У результаті відбудеться зміна назви, адреси (поштового індексу) та функцій виробника, що відповідає за повний цикл виробництва з "Лек Фармацевтична компанія д.д., Веровшкова 57, Любляна 1526, Словенія"("Lek Pharmaceuticals d.d., Verovskova 57, Ljubljana 1526, Slovenia") на "Новартіс Фармасьютікал Мануфактуринг ЛЛС, вул. Веровшкова 57, Любляна 1000, Словенія" ("Novartis Pharmaceutical Manufacturing LLC, Verovskova ulica 57, Ljubljana 1000, Slovenia") з функціями: виробництво in bulk, первинне та вторинне пакування, контроль якості (окрім мікробіологічного контролю). Фактичне місцезнаходження виробника не змінилося. Функції мікробіологічного контролю якості та випуску серії і надалі виконуватимуться компанією "Лек Фармацевтична компанія д.д., вул. Веровшкова 57, Любляна 1526, Словенія" ("Lek Pharmaceuticals d.d., Verovskova ulica 57, Ljubljana 1526, Slovenia"). Редакційні зміни, які полягають у виправленні адреси виробника, виробника (Лек Фармацевтична компанія д.д., Лендава, Словенія) відповідального за первинне та вторинне пакування, випуск серії з "Трімліні 2Д" на "Трімліні 2д" з міркувань точності.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упаковки лікарського засобу у п.6. «Особливі застереження щодо зберігання лікарського засобу у недоступному для дітей місці», п.8. «Дата закінчення терміну придатності», п.11. «Найменування і місцезнаходження виробника та/або заявника», п.13. «Номер серії лікарського засобу», п.14. «Категорія відпуску», п.17. «ІНШЕ» та у текст маркування первинної упаковки п. 6.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UA/12605/01/03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СУВАРДІО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оболонкоюпо, по 5 мг; по 7 таблеток у блістері; по 4 блістери у картонній коробці; по 10 таблеток у блістері; по 3, 6 або 10 блістерів у картонній коробці; по 15 таблеток у блістері; по 2 або по 4 блістери у картонній коробці;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контроль серії (лише мікробіологічний), випуск серії:</w:t>
            </w:r>
            <w:r w:rsidRPr="00C65DFF">
              <w:rPr>
                <w:rFonts w:ascii="Arial" w:hAnsi="Arial" w:cs="Arial"/>
                <w:color w:val="000000"/>
                <w:sz w:val="16"/>
                <w:szCs w:val="16"/>
              </w:rPr>
              <w:br/>
              <w:t>Лек Фармацевтична компанія д.д., Словенія;</w:t>
            </w:r>
            <w:r w:rsidRPr="00C65DFF">
              <w:rPr>
                <w:rFonts w:ascii="Arial" w:hAnsi="Arial" w:cs="Arial"/>
                <w:color w:val="000000"/>
                <w:sz w:val="16"/>
                <w:szCs w:val="16"/>
              </w:rPr>
              <w:br/>
            </w:r>
            <w:r w:rsidRPr="00C65DFF">
              <w:rPr>
                <w:rFonts w:ascii="Arial" w:hAnsi="Arial" w:cs="Arial"/>
                <w:color w:val="000000"/>
                <w:sz w:val="16"/>
                <w:szCs w:val="16"/>
              </w:rPr>
              <w:br/>
              <w:t>первинне та вторинне пакування, випуск серії:</w:t>
            </w:r>
            <w:r w:rsidRPr="00C65DFF">
              <w:rPr>
                <w:rFonts w:ascii="Arial" w:hAnsi="Arial" w:cs="Arial"/>
                <w:color w:val="000000"/>
                <w:sz w:val="16"/>
                <w:szCs w:val="16"/>
              </w:rPr>
              <w:br/>
              <w:t>Лек Фармацевтична компанія д.д.</w:t>
            </w:r>
            <w:r w:rsidRPr="00C65DFF">
              <w:rPr>
                <w:rFonts w:ascii="Arial" w:hAnsi="Arial" w:cs="Arial"/>
                <w:color w:val="000000"/>
                <w:sz w:val="16"/>
                <w:szCs w:val="16"/>
                <w:lang/>
              </w:rPr>
              <w:t xml:space="preserve">, </w:t>
            </w:r>
            <w:r w:rsidRPr="00C65DFF">
              <w:rPr>
                <w:rFonts w:ascii="Arial" w:hAnsi="Arial" w:cs="Arial"/>
                <w:color w:val="000000"/>
                <w:sz w:val="16"/>
                <w:szCs w:val="16"/>
              </w:rPr>
              <w:t>Словенія;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виробництво in bulk, контроль серії (окрім мікробіологічного), первинне та вториннне пакування:</w:t>
            </w:r>
            <w:r w:rsidRPr="00C65DFF">
              <w:rPr>
                <w:rFonts w:ascii="Arial" w:hAnsi="Arial" w:cs="Arial"/>
                <w:color w:val="000000"/>
                <w:sz w:val="16"/>
                <w:szCs w:val="16"/>
              </w:rPr>
              <w:br/>
              <w:t>Новартіс Фармасьютікал Мануфактуринг ЛЛС, Словенія;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виробництво in bulk, первинне та вторинне пакування, тестування, випуск серії:</w:t>
            </w:r>
            <w:r w:rsidRPr="00C65DFF">
              <w:rPr>
                <w:rFonts w:ascii="Arial" w:hAnsi="Arial" w:cs="Arial"/>
                <w:color w:val="000000"/>
                <w:sz w:val="16"/>
                <w:szCs w:val="16"/>
              </w:rPr>
              <w:br/>
              <w:t xml:space="preserve">Лек С.А., Польща </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Словенія</w:t>
            </w:r>
            <w:r w:rsidRPr="00C65DFF">
              <w:rPr>
                <w:rFonts w:ascii="Arial" w:hAnsi="Arial" w:cs="Arial"/>
                <w:color w:val="000000"/>
                <w:sz w:val="16"/>
                <w:szCs w:val="16"/>
                <w:lang/>
              </w:rPr>
              <w:t>/</w:t>
            </w:r>
            <w:r w:rsidRPr="00C65DFF">
              <w:rPr>
                <w:rFonts w:ascii="Arial" w:hAnsi="Arial" w:cs="Arial"/>
                <w:color w:val="000000"/>
                <w:sz w:val="16"/>
                <w:szCs w:val="16"/>
              </w:rPr>
              <w:t xml:space="preserve"> 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Внаслідок відокремлення компанії SANDOZ від компанії Novartis було створено нову назву юридичної особи, що отримала новий поштовий індекс. У результаті відбудеться зміна назви, адреси (поштового індексу) та функцій виробника, що відповідає за повний цикл виробництва з "Лек Фармацевтична компанія д.д., Веровшкова 57, Любляна 1526, Словенія"("Lek Pharmaceuticals d.d., Verovskova 57, Ljubljana 1526, Slovenia") на "Новартіс Фармасьютікал Мануфактуринг ЛЛС, вул. Веровшкова 57, Любляна 1000, Словенія" ("Novartis Pharmaceutical Manufacturing LLC, Verovskova ulica 57, Ljubljana 1000, Slovenia") з функціями: виробництво in bulk, первинне та вторинне пакування, контроль якості (окрім мікробіологічного контролю). Фактичне місцезнаходження виробника не змінилося. Функції мікробіологічного контролю якості та випуску серії і надалі виконуватимуться компанією "Лек Фармацевтична компанія д.д., вул. Веровшкова 57, Любляна 1526, Словенія" ("Lek Pharmaceuticals d.d., Verovskova ulica 57, Ljubljana 1526, Slovenia"). Редакційні зміни, які полягають у виправленні адреси виробника, виробника (Лек Фармацевтична компанія д.д., Лендава, Словенія) відповідального за первинне та вторинне пакування, випуск серії з "Трімліні 2Д" на "Трімліні 2д" з міркувань точності.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упаковки лікарського засобу у п.6. «Особливі застереження щодо зберігання лікарського засобу у недоступному для дітей місці», п.8. «Дата закінчення терміну придатності», п.11. «Найменування і місцезнаходження виробника та/або заявника», п.13. «Номер серії лікарського засобу», п.14. «Категорія відпуску», п.17. «ІНШЕ» та у текст маркування первинної упаковки п. 6.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UA/12605/01/01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ТАЛІПРЕС®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по 25 мг; по 10 таблеток у блістері; по 1 або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- 22.04.2025 р.; Дата подання РОЗБ - 01.07.2025 р. Пропонована редакція: Частота подання РОЗБ - 13 років; Кінцева дата для включення даних до РОЗБ - 24.06.2025 р.; Дата подання РОЗБ - 22.09.2025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UA/19326/01/01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ТАЛІПРЕС®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по 50 мг, по 10 таблеток у блістері; по 1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- 22.04.2025 р.; Дата подання РОЗБ - 01.07.2025 р. Пропонована редакція: Частота подання РОЗБ - 13 років; Кінцева дата для включення даних до РОЗБ - 24.06.2025 р.; Дата подання РОЗБ - 22.09.2025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UA/19326/01/02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ТАФНЕКСТ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25 мг; по 10 таблеток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II типу - Зміни з якості. АФІ. Виробництво (інші зміни) оновлення DMF на діючу речовину тенофовіру алафенаміду геміфумарат від затвердженого виробника Hetero Labs Limited, Індія (затверджено: version September, 2018; запропоновано: version AP (EM), 25-June, 2024 (IH-USP).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UA/18486/01/01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ТЕРБІНОРМ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спрей нашкірний, розчин, 10 мг/г; по 20 мл у флаконі з розпилювачем та захисним ковпачком,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"УОРЛД МЕДИЦИН"</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УОРЛД МЕДИЦИН ІЛАЧ САН. ВЕ ТІДЖ. А.Ш.</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Туреччина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LAMISIL® 1%.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доповнення інформації в підрозділі "Повідомлення про підозрювані побічні реакції". Введення змін протягом 6-ти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2.0. Зміни внесено до частин: І «Загальна інформація», II «Специфікація з безпеки»,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у зв’язку з урахуванням оновленої інформації референтного лікарського засобу Lamisil®, спрей нашкірний 1% по 30 мл. Структуру ПУРа було оновлено відповідно до рекомендацій Guideline on good pharmacovigilance practices (GVP) Module V – Risk management systems (Rev 2).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UA/18389/01/01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ТІВІКЕЙ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50 мг; по 30 або по 90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ВііВ Хелскер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Виробник нерозфасованої продукції, контроль якості готового продукту: Глаксо Оперейшнс ЮК Лімітед, що веде діяльність як Глаксо Веллком Оперейшнс, Велика Британія; Виробник для пакування та випуску серії: 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Велика Британія/ Іспанія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у зв’язку з приведенням назви і адреси виробника готового лікарського засобу у відповідність до назви та адреси, яка зазначена у діючому Висновку щодо підтвердження відповідності умов виробництва лікарських засобів вимогам належної виробничої практики виданого Держлікслужбою, а також уточнення функцій виробника відповідно до розділу 3.2.Р.3.1 досьє. </w:t>
            </w:r>
            <w:r w:rsidRPr="00C65DFF">
              <w:rPr>
                <w:rFonts w:ascii="Arial" w:hAnsi="Arial" w:cs="Arial"/>
                <w:color w:val="000000"/>
                <w:sz w:val="16"/>
                <w:szCs w:val="16"/>
              </w:rPr>
              <w:br/>
              <w:t>Зміни внесено в п. 11. «Найменування і місцезнаходження виробника та/або заявника» тексту маркування вторинної та п.5. «Найменування виробника і, за необхідності – заявника» первинної упаковок лікарського засобу щодо уточнень функцій виробників.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UA/14146/01/01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ТРИМЕТАЗИДИН-АСТРАФАРМ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оболонкою, по 20 мг по 30 таблеток у блістері; по 1 або 2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(Preductal, 20 mg).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UA/7855/01/01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УЛЬТРАВІСТ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та інфузій, 300 мг/мл; по 100 мл у флаконі;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продукції in-bulk, первинне пакування, вторинне пакування, контроль серії, випуск серії: Байєр АГ, Німеччина; виробництво продукції in-bulk, первинне пакування, вторинне пакування, контроль серії, випуск серії: Берлімед,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Німеччина</w:t>
            </w:r>
            <w:r w:rsidRPr="00C65DFF">
              <w:rPr>
                <w:rFonts w:ascii="Arial" w:hAnsi="Arial" w:cs="Arial"/>
                <w:color w:val="000000"/>
                <w:sz w:val="16"/>
                <w:szCs w:val="16"/>
                <w:lang w:val="en-US"/>
              </w:rPr>
              <w:t>/</w:t>
            </w:r>
            <w:r w:rsidRPr="00C65DFF">
              <w:rPr>
                <w:rFonts w:ascii="Arial" w:hAnsi="Arial" w:cs="Arial"/>
                <w:color w:val="000000"/>
                <w:sz w:val="16"/>
                <w:szCs w:val="16"/>
              </w:rPr>
              <w:t xml:space="preserve"> Іспанiя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4.2. Зміни внесено до частин: І «Загальна інформація», II «Специфікація з безпеки», VI «Резюме плану управління ризиками», VII «Додатки» у зв’язку з редакційними правками з метою узгодження формулювання вже затвердженого показання "мамографія з контрастним підсиленням".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4.0. Зміни внесено до частин: V "Заходи з мінімізації ризиків", VI «Резюме плану управління ризиками», VII «Додатки» у зв’язку з проведенням огляду літератури щодо гіпотиреозу у дітей. Представлені зміни в інформації з безпеки щодо внесення змін та доповнень у розділі "Особливості застосування" проекту інструкції для медичного застосування: на підставі оновленої інформації з безпеки, що міститься в клінічному огляді, оновленій короткій характеристиці, плані управління ризиками версія 4.0 можуть бути рекомендовані до затвердження та внесення в інструкцію для медичного застосування лікарського засобу. Зміни внесено до інструкції для медичного застосування лікарського засобу до розділу "Особливості застосування". Введення змін до ІМЗ протягом 4-х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UA/1986/01/01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УЛЬТРАВІСТ 370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та інфузій, 370 мг/мл; по 50 або 100 мл у флаконі; по 1 флакону у картонній пачці; по 500 мл у флаконі; по 8 флаконів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продукції in-bulk, первинне пакування, вторинне пакування, контроль серії, випуск серії: Байєр АГ, Німеччина;</w:t>
            </w:r>
            <w:r w:rsidRPr="00C65DFF">
              <w:rPr>
                <w:rFonts w:ascii="Arial" w:hAnsi="Arial" w:cs="Arial"/>
                <w:color w:val="000000"/>
                <w:sz w:val="16"/>
                <w:szCs w:val="16"/>
              </w:rPr>
              <w:br/>
              <w:t>виробництво продукції in-bulk, первинне пакування, вторинне пакування, контроль серії, випуск серії: Берлімед,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Німеччина</w:t>
            </w:r>
            <w:r w:rsidRPr="00C65DFF">
              <w:rPr>
                <w:rFonts w:ascii="Arial" w:hAnsi="Arial" w:cs="Arial"/>
                <w:color w:val="000000"/>
                <w:sz w:val="16"/>
                <w:szCs w:val="16"/>
                <w:lang w:val="en-US"/>
              </w:rPr>
              <w:t>/</w:t>
            </w:r>
            <w:r w:rsidRPr="00C65DFF">
              <w:rPr>
                <w:rFonts w:ascii="Arial" w:hAnsi="Arial" w:cs="Arial"/>
                <w:color w:val="000000"/>
                <w:sz w:val="16"/>
                <w:szCs w:val="16"/>
              </w:rPr>
              <w:t xml:space="preserve"> Іспанiя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4.2. Зміни внесено до частин: І «Загальна інформація», II «Специфікація з безпеки», VI «Резюме плану управління ризиками», VII «Додатки» у зв’язку з редакційними правками з метою узгодження формулювання вже затвердженого показання "мамографія з контрастним підсиленням".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4.0. Зміни внесено до частин: V "Заходи з мінімізації ризиків", VI «Резюме плану управління ризиками», VII «Додатки» у зв’язку з проведенням огляду літератури щодо гіпотиреозу у дітей. Представлені зміни в інформації з безпеки щодо внесення змін та доповнень у розділі "Особливості застосування" проекту інструкції для медичного застосування: на підставі оновленої інформації з безпеки, що міститься в клінічному огляді, оновленій короткій характеристиці, плані управління ризиками версія 4.0 можуть бути рекомендовані до затвердження та внесення в інструкцію для медичного застосування лікарського засобу. </w:t>
            </w:r>
            <w:r w:rsidRPr="00C65DFF">
              <w:rPr>
                <w:rFonts w:ascii="Arial" w:hAnsi="Arial" w:cs="Arial"/>
                <w:color w:val="000000"/>
                <w:sz w:val="16"/>
                <w:szCs w:val="16"/>
              </w:rPr>
              <w:br/>
              <w:t xml:space="preserve">Зміни внесено до інструкції для медичного застосування лікарського засобу до розділу "Особливості застосування". Введення змін до ІМЗ протягом 4-х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UA/1987/01/01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ФАБРАЗИМ®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порошок для приготування концентрату (5 мг/мл) для розчину для інфузій; по 5 мг або по 35 мг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Санофі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Нідерланди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кінчевого продукту (fill/finish), контроль серії/випробування, первинна та вторинна упаковка, дозвіл на випуск серії:</w:t>
            </w:r>
            <w:r w:rsidRPr="00C65DFF">
              <w:rPr>
                <w:rFonts w:ascii="Arial" w:hAnsi="Arial" w:cs="Arial"/>
                <w:color w:val="000000"/>
                <w:sz w:val="16"/>
                <w:szCs w:val="16"/>
              </w:rPr>
              <w:br/>
              <w:t>Джензайм Ірланд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Ірландія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6.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UA/10306/01/01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ФЛОКСАЛ®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краплі очні, розчин 0,3 %; по 5 мл у флаконі з крапельницею; по 1 флакону з крапельницею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п.17. ІНШЕ та первинної упаковки п.6. ІНШЕ, а саме: додано інформацію про логотип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UA/8528/01/01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ХЕЛПЕКС® АНТИКОЛД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орального розчину з лимонним смаком; по 4 г порошку в саше;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Швейцарія</w:t>
            </w:r>
            <w:r w:rsidRPr="00C65DFF">
              <w:rPr>
                <w:rFonts w:ascii="Arial" w:hAnsi="Arial" w:cs="Arial"/>
                <w:color w:val="000000"/>
                <w:sz w:val="16"/>
                <w:szCs w:val="16"/>
                <w:lang w:val="en-US"/>
              </w:rPr>
              <w:t>/</w:t>
            </w:r>
            <w:r w:rsidRPr="00C65DFF">
              <w:rPr>
                <w:rFonts w:ascii="Arial" w:hAnsi="Arial" w:cs="Arial"/>
                <w:color w:val="000000"/>
                <w:sz w:val="16"/>
                <w:szCs w:val="16"/>
              </w:rPr>
              <w:t xml:space="preserve"> Італія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2002-020 - Rev 11 (затверджено: CEP 2002-020 - Rev 10) для АФІ парацетамолу від затвердженого виробника Farmson Pharmaceutical Gujarat Private Limited, India, який змінив назву на Farmson Basic Drugs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UA/15354/01/01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ХЕЛПЕКС® АНТИКОЛД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орального розчину з малиновим смаком; по 4 г порошку в саше;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Швейцарія</w:t>
            </w:r>
            <w:r w:rsidRPr="00C65DFF">
              <w:rPr>
                <w:rFonts w:ascii="Arial" w:hAnsi="Arial" w:cs="Arial"/>
                <w:color w:val="000000"/>
                <w:sz w:val="16"/>
                <w:szCs w:val="16"/>
                <w:lang w:val="en-US"/>
              </w:rPr>
              <w:t>/</w:t>
            </w:r>
            <w:r w:rsidRPr="00C65DFF">
              <w:rPr>
                <w:rFonts w:ascii="Arial" w:hAnsi="Arial" w:cs="Arial"/>
                <w:color w:val="000000"/>
                <w:sz w:val="16"/>
                <w:szCs w:val="16"/>
              </w:rPr>
              <w:t xml:space="preserve"> Італія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2002-020 - Rev 11 (затверджено: CEP 2002-020 - Rev 10) для АФІ парацетамолу від затвердженого виробника Farmson Pharmaceutical Gujarat Private Limited, India, який змінив назву на Farmson Basic Drugs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UA/15355/01/01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 xml:space="preserve">ХЕЛПЕКС® АНТИКОЛД НЕО 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орального розчину з лимонним смаком, по 4 г порошку в саше; по 10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повний цикл виробнитцва: Алпекс Фарма СА ,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Швейцарія</w:t>
            </w:r>
            <w:r w:rsidRPr="00C65DFF">
              <w:rPr>
                <w:rFonts w:ascii="Arial" w:hAnsi="Arial" w:cs="Arial"/>
                <w:color w:val="000000"/>
                <w:sz w:val="16"/>
                <w:szCs w:val="16"/>
                <w:lang w:val="en-US"/>
              </w:rPr>
              <w:t>/</w:t>
            </w:r>
            <w:r w:rsidRPr="00C65DFF">
              <w:rPr>
                <w:rFonts w:ascii="Arial" w:hAnsi="Arial" w:cs="Arial"/>
                <w:color w:val="000000"/>
                <w:sz w:val="16"/>
                <w:szCs w:val="16"/>
              </w:rPr>
              <w:t xml:space="preserve"> Італія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2002-020 - Rev 11 (затверджено: CEP 2002-020 - Rev 10) для АФІ парацетамолу від затвердженого виробника Farmson Pharmaceutical Gujarat Private Limited, India, який змінив назву на Farmson Basic Drugs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UA/16014/01/01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 xml:space="preserve">ХЕЛПЕКС® АНТИКОЛД НЕО 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порошок для орального розчину з малиновим смаком, по 4 г порошку в саше; по 10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повний цикл виробнитцва: Алпекс Фарма СА ,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val="en-US"/>
              </w:rPr>
            </w:pPr>
            <w:r w:rsidRPr="00C65DFF">
              <w:rPr>
                <w:rFonts w:ascii="Arial" w:hAnsi="Arial" w:cs="Arial"/>
                <w:color w:val="000000"/>
                <w:sz w:val="16"/>
                <w:szCs w:val="16"/>
              </w:rPr>
              <w:t>Швейцарія</w:t>
            </w:r>
            <w:r w:rsidRPr="00C65DFF">
              <w:rPr>
                <w:rFonts w:ascii="Arial" w:hAnsi="Arial" w:cs="Arial"/>
                <w:color w:val="000000"/>
                <w:sz w:val="16"/>
                <w:szCs w:val="16"/>
                <w:lang w:val="en-US"/>
              </w:rPr>
              <w:t>/</w:t>
            </w:r>
            <w:r w:rsidRPr="00C65DFF">
              <w:rPr>
                <w:rFonts w:ascii="Arial" w:hAnsi="Arial" w:cs="Arial"/>
                <w:color w:val="000000"/>
                <w:sz w:val="16"/>
                <w:szCs w:val="16"/>
              </w:rPr>
              <w:t xml:space="preserve"> Італія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2002-020 - Rev 11 (затверджено: CEP 2002-020 - Rev 10) для АФІ парацетамолу від затвердженого виробника Farmson Pharmaceutical Gujarat Private Limited, India, який змінив назву на Farmson Basic Drugs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UA/16015/01/01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зовнішнього застосування 0,05 %, по 100 мл у флаконах полімерних з уретральною насадкою, по 1 л у флаконах полімерних, по 5 л у каністрах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"МЕДЛЕВ"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65DFF">
              <w:rPr>
                <w:rFonts w:ascii="Arial" w:hAnsi="Arial" w:cs="Arial"/>
                <w:color w:val="000000"/>
                <w:sz w:val="16"/>
                <w:szCs w:val="16"/>
              </w:rPr>
              <w:br/>
              <w:t>Діюча редакція: Зуєва Світлана Василівна. Пропонована редакція: Зінова Клавдія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UA/18075/01/01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ЦЕФОДОКС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100 мг, по 10 таблеток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Йорданія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Йорданія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8. ДАТА ЗАКІНЧЕННЯ ТЕРМІНУ ПРИДАТНОСТІ та п. 17. ІНШЕ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UA/4152/02/01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ЦЕФОДОКС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200 мг, по 10 таблеток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Йорданія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Йорданія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8. ДАТА ЗАКІНЧЕННЯ ТЕРМІНУ ПРИДАТНОСТІ та п. 17. ІНШЕ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UA/4152/02/02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500 мг по 10 таблеток у блістері; по 1 блістеру в картонній кообці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виробництво "in bulk", первинне та вторинне пакування, контроль та випуск серії: КРКА, д.д., Ново место, Словенія; </w:t>
            </w:r>
            <w:r w:rsidRPr="00C65DFF">
              <w:rPr>
                <w:rFonts w:ascii="Arial" w:hAnsi="Arial" w:cs="Arial"/>
                <w:color w:val="000000"/>
                <w:sz w:val="16"/>
                <w:szCs w:val="16"/>
              </w:rPr>
              <w:br/>
              <w:t>контроль серії (фізичні та хімічні методи контролю):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технічна помилка (згідно наказу МОЗ від 23.07.2015 № 460) при внесенні змін (наказ МОЗ від 15.01.2024 №76), що стосуються перекладу МКЯ ЛЗ, відбулась технічна помилка в специфікації при випуску внаслідок не вірно зазначеного найменування показника, а саме: затверджено: “Однорідність дозованих одиниць – однорідність вмісту ципрофлоксацину”; запропоновано: “Однорідність дозованих одиниць – однорідність маси ципрофлоксацину”. Пропонована редакція технічної помилки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UA/0678/02/03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 xml:space="preserve">таблетки, вкриті плівковою оболонкою, по 250 мг, по 10 таблеток у блістері; по 1 блістеру в картонній кообці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виробництво "in bulk", первинне та вторинне пакування, контроль та випуск серії: КРКА, д.д., Ново место, Словенія; </w:t>
            </w:r>
            <w:r w:rsidRPr="00C65DFF">
              <w:rPr>
                <w:rFonts w:ascii="Arial" w:hAnsi="Arial" w:cs="Arial"/>
                <w:color w:val="000000"/>
                <w:sz w:val="16"/>
                <w:szCs w:val="16"/>
              </w:rPr>
              <w:br/>
              <w:t>контроль серії (фізичні та хімічні методи контролю):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технічна помилка (згідно наказу МОЗ від 23.07.2015 № 460) при внесенні змін (наказ МОЗ від 15.01.2024 №76), що стосуються перекладу МКЯ ЛЗ, відбулась технічна помилка в специфікації при випуску внаслідок не вірно зазначеного найменування показника, а саме: затверджено: “Однорідність дозованих одиниць – однорідність вмісту ципрофлоксацину”; запропоновано: “Однорідність дозованих одиниць – однорідність маси ципрофлоксацину”. Пропонована редакція технічної помилки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UA/0678/02/02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350 мг/мл по 20 мл в ампулі; по 5 ампул на лотку; по 1 лотку в картонній коробці; по 50 мл або по 100 мл, або по 200 мл, або по 500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Виправлено технічну помилку в заголовку тексту маркування первинної упаковки "МІНІМУМ ВІДОМОСТЕЙ, ЩО ВКАЗУЮТЬСЯ НА ПЕРВИННІЙ УПАКОВЦІ НЕВЕЛИКОГО РОЗМІРУ" для упаковок із дозуванням 300 мг/мл по 50 мл,100 мл, 200 мл; для упаковок із дозуванням 350 мг/мл по 50 мл,100 мл, 200 мл, 500 мл., а саме замість слова "ФЛАКОН" було вказано "АМПУЛА" при проведені процедури змін до тексту маркування упаковок лікарського засобу затверджених наказом МОЗ від 09.09.2024 р. № 1557.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UA/9838/01/02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розчин для ін'єкцій, 300 мг/мл по 20 мл в ампулі, по 5 ампул на лотку, по 1 лотку в картонній коробці; по 50 мл або 100 мл або 200 мл у флаконі, по 1 флакону в коробц</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Виправлено технічну помилку в заголовку тексту маркування первинної упаковки "МІНІМУМ ВІДОМОСТЕЙ, ЩО ВКАЗУЮТЬСЯ НА ПЕРВИННІЙ УПАКОВЦІ НЕВЕЛИКОГО РОЗМІРУ" для упаковок із дозуванням 300 мг/мл по 50 мл,100 мл, 200 мл; для упаковок із дозуванням 350 мг/мл по 50 мл,100 мл, 200 мл, 500 мл., а саме замість слова "ФЛАКОН" було вказано "АМПУЛА" при проведені процедури змін до тексту маркування упаковок лікарського засобу затверджених наказом МОЗ від 09.09.2024 р. № 1557.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UA/9838/01/01</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100 мг, по 14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Новартіс Фарма Сервісез АГ</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контроль якості, первинне та вторинне пакування, випуск серії:</w:t>
            </w:r>
            <w:r w:rsidRPr="00C65DFF">
              <w:rPr>
                <w:rFonts w:ascii="Arial" w:hAnsi="Arial" w:cs="Arial"/>
                <w:color w:val="000000"/>
                <w:sz w:val="16"/>
                <w:szCs w:val="16"/>
              </w:rPr>
              <w:br/>
              <w:t>Новартіс Фарма С.п.А., Італія;</w:t>
            </w:r>
            <w:r w:rsidRPr="00C65DFF">
              <w:rPr>
                <w:rFonts w:ascii="Arial" w:hAnsi="Arial" w:cs="Arial"/>
                <w:color w:val="000000"/>
                <w:sz w:val="16"/>
                <w:szCs w:val="16"/>
              </w:rPr>
              <w:br/>
            </w:r>
            <w:r w:rsidRPr="00C65DFF">
              <w:rPr>
                <w:rFonts w:ascii="Arial" w:hAnsi="Arial" w:cs="Arial"/>
                <w:color w:val="000000"/>
                <w:sz w:val="16"/>
                <w:szCs w:val="16"/>
              </w:rPr>
              <w:br/>
              <w:t>виробництво, контроль якості:</w:t>
            </w:r>
            <w:r w:rsidRPr="00C65DFF">
              <w:rPr>
                <w:rFonts w:ascii="Arial" w:hAnsi="Arial" w:cs="Arial"/>
                <w:color w:val="000000"/>
                <w:sz w:val="16"/>
                <w:szCs w:val="16"/>
              </w:rPr>
              <w:br/>
              <w:t>Новартіс Сінгапур Фармасьютикал Мануфектурінг Пте. Лтд., Сінгапур;</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контроль якості за показником «Мікробіологічна чистота»:</w:t>
            </w:r>
            <w:r w:rsidRPr="00C65DFF">
              <w:rPr>
                <w:rFonts w:ascii="Arial" w:hAnsi="Arial" w:cs="Arial"/>
                <w:color w:val="000000"/>
                <w:sz w:val="16"/>
                <w:szCs w:val="16"/>
              </w:rPr>
              <w:br/>
              <w:t>Лек Фармасьютикалс д. д., Словенія;</w:t>
            </w:r>
            <w:r w:rsidRPr="00C65DFF">
              <w:rPr>
                <w:rFonts w:ascii="Arial" w:hAnsi="Arial" w:cs="Arial"/>
                <w:color w:val="000000"/>
                <w:sz w:val="16"/>
                <w:szCs w:val="16"/>
              </w:rPr>
              <w:br/>
            </w:r>
            <w:r w:rsidRPr="00C65DFF">
              <w:rPr>
                <w:rFonts w:ascii="Arial" w:hAnsi="Arial" w:cs="Arial"/>
                <w:color w:val="000000"/>
                <w:sz w:val="16"/>
                <w:szCs w:val="16"/>
              </w:rPr>
              <w:br/>
              <w:t>виробництво, контроль якості окрім показника «Мікробіологічна чистота»:</w:t>
            </w:r>
            <w:r w:rsidRPr="00C65DFF">
              <w:rPr>
                <w:rFonts w:ascii="Arial" w:hAnsi="Arial" w:cs="Arial"/>
                <w:color w:val="000000"/>
                <w:sz w:val="16"/>
                <w:szCs w:val="16"/>
              </w:rPr>
              <w:br/>
              <w:t>Новартіс Фармасьютикал Мануфактурінг ЛЛС, Словенія;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первинне пакування, вторинне пакування, випуск серії:</w:t>
            </w:r>
            <w:r w:rsidRPr="00C65DFF">
              <w:rPr>
                <w:rFonts w:ascii="Arial" w:hAnsi="Arial" w:cs="Arial"/>
                <w:color w:val="000000"/>
                <w:sz w:val="16"/>
                <w:szCs w:val="16"/>
              </w:rPr>
              <w:br/>
              <w:t>Лек Фармасьютикалс д. д., Словенія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Італія</w:t>
            </w:r>
            <w:r w:rsidRPr="00C65DFF">
              <w:rPr>
                <w:rFonts w:ascii="Arial" w:hAnsi="Arial" w:cs="Arial"/>
                <w:color w:val="000000"/>
                <w:sz w:val="16"/>
                <w:szCs w:val="16"/>
                <w:lang/>
              </w:rPr>
              <w:t>/</w:t>
            </w:r>
            <w:r w:rsidRPr="00C65DFF">
              <w:rPr>
                <w:rFonts w:ascii="Arial" w:hAnsi="Arial" w:cs="Arial"/>
                <w:color w:val="000000"/>
                <w:sz w:val="16"/>
                <w:szCs w:val="16"/>
              </w:rPr>
              <w:t xml:space="preserve"> Сінгапур</w:t>
            </w:r>
            <w:r w:rsidRPr="00C65DFF">
              <w:rPr>
                <w:rFonts w:ascii="Arial" w:hAnsi="Arial" w:cs="Arial"/>
                <w:color w:val="000000"/>
                <w:sz w:val="16"/>
                <w:szCs w:val="16"/>
                <w:lang/>
              </w:rPr>
              <w:t>/</w:t>
            </w:r>
            <w:r w:rsidRPr="00C65DFF">
              <w:rPr>
                <w:rFonts w:ascii="Arial" w:hAnsi="Arial" w:cs="Arial"/>
                <w:color w:val="000000"/>
                <w:sz w:val="16"/>
                <w:szCs w:val="16"/>
              </w:rPr>
              <w:t xml:space="preserve"> 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Новартіс Фарма Штейн АГ, Швейцарія, відповідального за виробництво та контроль якості у звязку із рішенням компанії.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ГЛЗ – Лек Фармасьютикалс д. д., вул. Верошкова 57, Любляна, 1526, Словенія, як альтернативного виробника, відповідального за виробництво продукту.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ГЛЗ – Лек Фармасьютикалс д. д., Трімліні 2Д, Лендава/лендва, 9220, Словенія, відповідального за вторинне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ГЛЗ – Лек Фармасьютикалс д. д., Трімліні 2Д, Лендава/лендва, 9220, Словенія, відповідального за первинне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додаткового виробника ГЛЗ Лек Фармасьютикалс д. д., вул. Верошкова 57, Любляна, 1526, Словенія, як виробника, відповідального за контроль якості.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ГЛЗ – Лек Фармасьютикалс д. д., Трімліні 2Д, Лендава/лендва, 9220, Словенія, відповідального за випуск серії.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у параметри виробничого процесу на етапах змішування, просіювання, ущільнення та нанесення плівки з урахуванням різниці в обладнанні на затвердженій та запропонованій дільницях виробництва.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додавання нового вторинного пакувального матеріалу, що не контактує з продуктом для таблеток «in bulk» на дільниці Лек Фармасьютикалс д. д., вул. Верошкова 57, Любляна, Словенія.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на дільниці Novartis Farma SpA, Italy. Пропонована редакція: Strength: 100 mg, Batch size(kg): 499.200, Number of tablets: 2,400,000.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та назви виробника Лек Фармасьютикалс д.д., вул. Веровшкова 57, Любляна, 1526, Словенія.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UA/16691/01/02</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200 мг, по 14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Новартіс Фарма Сервісез АГ</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контроль якості, первинне та вторинне пакування, випуск серії:</w:t>
            </w:r>
            <w:r w:rsidRPr="00C65DFF">
              <w:rPr>
                <w:rFonts w:ascii="Arial" w:hAnsi="Arial" w:cs="Arial"/>
                <w:color w:val="000000"/>
                <w:sz w:val="16"/>
                <w:szCs w:val="16"/>
              </w:rPr>
              <w:br/>
              <w:t>Новартіс Фарма С.п.А., Італія;</w:t>
            </w:r>
            <w:r w:rsidRPr="00C65DFF">
              <w:rPr>
                <w:rFonts w:ascii="Arial" w:hAnsi="Arial" w:cs="Arial"/>
                <w:color w:val="000000"/>
                <w:sz w:val="16"/>
                <w:szCs w:val="16"/>
              </w:rPr>
              <w:br/>
            </w:r>
            <w:r w:rsidRPr="00C65DFF">
              <w:rPr>
                <w:rFonts w:ascii="Arial" w:hAnsi="Arial" w:cs="Arial"/>
                <w:color w:val="000000"/>
                <w:sz w:val="16"/>
                <w:szCs w:val="16"/>
              </w:rPr>
              <w:br/>
              <w:t>виробництво, контроль якості:</w:t>
            </w:r>
            <w:r w:rsidRPr="00C65DFF">
              <w:rPr>
                <w:rFonts w:ascii="Arial" w:hAnsi="Arial" w:cs="Arial"/>
                <w:color w:val="000000"/>
                <w:sz w:val="16"/>
                <w:szCs w:val="16"/>
              </w:rPr>
              <w:br/>
              <w:t>Новартіс Сінгапур Фармасьютикал Мануфектурінг Пте. Лтд., Сінгапур;</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контроль якості за показником «Мікробіологічна чистота»:</w:t>
            </w:r>
            <w:r w:rsidRPr="00C65DFF">
              <w:rPr>
                <w:rFonts w:ascii="Arial" w:hAnsi="Arial" w:cs="Arial"/>
                <w:color w:val="000000"/>
                <w:sz w:val="16"/>
                <w:szCs w:val="16"/>
              </w:rPr>
              <w:br/>
              <w:t>Лек Фармасьютикалс д. д., Словенія;</w:t>
            </w:r>
            <w:r w:rsidRPr="00C65DFF">
              <w:rPr>
                <w:rFonts w:ascii="Arial" w:hAnsi="Arial" w:cs="Arial"/>
                <w:color w:val="000000"/>
                <w:sz w:val="16"/>
                <w:szCs w:val="16"/>
              </w:rPr>
              <w:br/>
            </w:r>
            <w:r w:rsidRPr="00C65DFF">
              <w:rPr>
                <w:rFonts w:ascii="Arial" w:hAnsi="Arial" w:cs="Arial"/>
                <w:color w:val="000000"/>
                <w:sz w:val="16"/>
                <w:szCs w:val="16"/>
              </w:rPr>
              <w:br/>
              <w:t>виробництво, контроль якості окрім показника «Мікробіологічна чистота»:</w:t>
            </w:r>
            <w:r w:rsidRPr="00C65DFF">
              <w:rPr>
                <w:rFonts w:ascii="Arial" w:hAnsi="Arial" w:cs="Arial"/>
                <w:color w:val="000000"/>
                <w:sz w:val="16"/>
                <w:szCs w:val="16"/>
              </w:rPr>
              <w:br/>
              <w:t>Новартіс Фармасьютикал Мануфактурінг ЛЛС, Словенія;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первинне пакування, вторинне пакування, випуск серії:</w:t>
            </w:r>
            <w:r w:rsidRPr="00C65DFF">
              <w:rPr>
                <w:rFonts w:ascii="Arial" w:hAnsi="Arial" w:cs="Arial"/>
                <w:color w:val="000000"/>
                <w:sz w:val="16"/>
                <w:szCs w:val="16"/>
              </w:rPr>
              <w:br/>
              <w:t>Лек Фармасьютикалс д. д., Словенія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Італія</w:t>
            </w:r>
            <w:r w:rsidRPr="00C65DFF">
              <w:rPr>
                <w:rFonts w:ascii="Arial" w:hAnsi="Arial" w:cs="Arial"/>
                <w:color w:val="000000"/>
                <w:sz w:val="16"/>
                <w:szCs w:val="16"/>
                <w:lang/>
              </w:rPr>
              <w:t>/</w:t>
            </w:r>
            <w:r w:rsidRPr="00C65DFF">
              <w:rPr>
                <w:rFonts w:ascii="Arial" w:hAnsi="Arial" w:cs="Arial"/>
                <w:color w:val="000000"/>
                <w:sz w:val="16"/>
                <w:szCs w:val="16"/>
              </w:rPr>
              <w:t xml:space="preserve"> Сінгапур</w:t>
            </w:r>
            <w:r w:rsidRPr="00C65DFF">
              <w:rPr>
                <w:rFonts w:ascii="Arial" w:hAnsi="Arial" w:cs="Arial"/>
                <w:color w:val="000000"/>
                <w:sz w:val="16"/>
                <w:szCs w:val="16"/>
                <w:lang/>
              </w:rPr>
              <w:t>/</w:t>
            </w:r>
            <w:r w:rsidRPr="00C65DFF">
              <w:rPr>
                <w:rFonts w:ascii="Arial" w:hAnsi="Arial" w:cs="Arial"/>
                <w:color w:val="000000"/>
                <w:sz w:val="16"/>
                <w:szCs w:val="16"/>
              </w:rPr>
              <w:t xml:space="preserve"> 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Новартіс Фарма Штейн АГ, Швейцарія, відповідального за виробництво та контроль якості у звязку із рішенням компанії.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ГЛЗ – Лек Фармасьютикалс д. д., вул. Верошкова 57, Любляна, 1526, Словенія, як альтернативного виробника, відповідального за виробництво продукту.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ГЛЗ – Лек Фармасьютикалс д. д., Трімліні 2Д, Лендава/лендва, 9220, Словенія, відповідального за вторинне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ГЛЗ – Лек Фармасьютикалс д. д., Трімліні 2Д, Лендава/лендва, 9220, Словенія, відповідального за первинне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додаткового виробника ГЛЗ Лек Фармасьютикалс д. д., вул. Верошкова 57, Любляна, 1526, Словенія, як виробника, відповідального за контроль якості.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ГЛЗ – Лек Фармасьютикалс д. д., Трімліні 2Д, Лендава/лендва, 9220, Словенія, відповідального за випуск серії.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у параметри виробничого процесу на етапах змішування, просіювання, ущільнення та нанесення плівки з урахуванням різниці в обладнанні на затвердженій та запропонованій дільницях виробництва.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додавання нового вторинного пакувального матеріалу, що не контактує з продуктом для таблеток «in bulk» на дільниці Лек Фармасьютикалс д. д., вул. Верошкова 57, Любляна, Словенія.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на дільниці Novartis Farma SpA, Italy. Пропонована редакція: Strength: 200 mg, Batch size(kg): 249.600, 499.200, 247.200, 494.400, Number of tablets: 1,200,000, 2,400,000, 600,000, 1,200,000.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та назви виробника Лек Фармасьютикалс д.д., вул. Веровшкова 57, Любляна, 1526, Словенія.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UA/16691/01/03</w:t>
            </w:r>
          </w:p>
        </w:tc>
      </w:tr>
      <w:tr w:rsidR="004E3439" w:rsidRPr="00C65DFF" w:rsidTr="00E450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4E3439">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4E3439" w:rsidRPr="00C65DFF" w:rsidRDefault="004E3439" w:rsidP="00E45030">
            <w:pPr>
              <w:pStyle w:val="110"/>
              <w:tabs>
                <w:tab w:val="left" w:pos="12600"/>
              </w:tabs>
              <w:rPr>
                <w:rFonts w:ascii="Arial" w:hAnsi="Arial" w:cs="Arial"/>
                <w:b/>
                <w:i/>
                <w:color w:val="000000"/>
                <w:sz w:val="16"/>
                <w:szCs w:val="16"/>
              </w:rPr>
            </w:pPr>
            <w:r w:rsidRPr="00C65DFF">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rPr>
                <w:rFonts w:ascii="Arial" w:hAnsi="Arial" w:cs="Arial"/>
                <w:color w:val="000000"/>
                <w:sz w:val="16"/>
                <w:szCs w:val="16"/>
              </w:rPr>
            </w:pPr>
            <w:r w:rsidRPr="00C65DFF">
              <w:rPr>
                <w:rFonts w:ascii="Arial" w:hAnsi="Arial" w:cs="Arial"/>
                <w:color w:val="000000"/>
                <w:sz w:val="16"/>
                <w:szCs w:val="16"/>
              </w:rPr>
              <w:t>таблетки, вкриті плівковою оболонкою, по 50 мг, по 14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Новартіс Фарма Сервісез АГ</w:t>
            </w:r>
            <w:r w:rsidRPr="00C65D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виробництво, контроль якості, первинне та вторинне пакування, випуск серії:</w:t>
            </w:r>
            <w:r w:rsidRPr="00C65DFF">
              <w:rPr>
                <w:rFonts w:ascii="Arial" w:hAnsi="Arial" w:cs="Arial"/>
                <w:color w:val="000000"/>
                <w:sz w:val="16"/>
                <w:szCs w:val="16"/>
              </w:rPr>
              <w:br/>
              <w:t>Новартіс Фарма С.п.А., Італія;</w:t>
            </w:r>
            <w:r w:rsidRPr="00C65DFF">
              <w:rPr>
                <w:rFonts w:ascii="Arial" w:hAnsi="Arial" w:cs="Arial"/>
                <w:color w:val="000000"/>
                <w:sz w:val="16"/>
                <w:szCs w:val="16"/>
              </w:rPr>
              <w:br/>
            </w:r>
            <w:r w:rsidRPr="00C65DFF">
              <w:rPr>
                <w:rFonts w:ascii="Arial" w:hAnsi="Arial" w:cs="Arial"/>
                <w:color w:val="000000"/>
                <w:sz w:val="16"/>
                <w:szCs w:val="16"/>
              </w:rPr>
              <w:br/>
              <w:t>виробництво, контроль якості:</w:t>
            </w:r>
            <w:r w:rsidRPr="00C65DFF">
              <w:rPr>
                <w:rFonts w:ascii="Arial" w:hAnsi="Arial" w:cs="Arial"/>
                <w:color w:val="000000"/>
                <w:sz w:val="16"/>
                <w:szCs w:val="16"/>
              </w:rPr>
              <w:br/>
              <w:t>Новартіс Сінгапур Фармасьютикал Мануфектурінг Пте. Лтд., Сінгапур;</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контроль якості за показником «Мікробіологічна чистота»:</w:t>
            </w:r>
            <w:r w:rsidRPr="00C65DFF">
              <w:rPr>
                <w:rFonts w:ascii="Arial" w:hAnsi="Arial" w:cs="Arial"/>
                <w:color w:val="000000"/>
                <w:sz w:val="16"/>
                <w:szCs w:val="16"/>
              </w:rPr>
              <w:br/>
              <w:t>Лек Фармасьютикалс д. д., Словенія;</w:t>
            </w:r>
            <w:r w:rsidRPr="00C65DFF">
              <w:rPr>
                <w:rFonts w:ascii="Arial" w:hAnsi="Arial" w:cs="Arial"/>
                <w:color w:val="000000"/>
                <w:sz w:val="16"/>
                <w:szCs w:val="16"/>
              </w:rPr>
              <w:br/>
            </w:r>
            <w:r w:rsidRPr="00C65DFF">
              <w:rPr>
                <w:rFonts w:ascii="Arial" w:hAnsi="Arial" w:cs="Arial"/>
                <w:color w:val="000000"/>
                <w:sz w:val="16"/>
                <w:szCs w:val="16"/>
              </w:rPr>
              <w:br/>
              <w:t>виробництво, контроль якості окрім показника «Мікробіологічна чистота»:</w:t>
            </w:r>
            <w:r w:rsidRPr="00C65DFF">
              <w:rPr>
                <w:rFonts w:ascii="Arial" w:hAnsi="Arial" w:cs="Arial"/>
                <w:color w:val="000000"/>
                <w:sz w:val="16"/>
                <w:szCs w:val="16"/>
              </w:rPr>
              <w:br/>
              <w:t>Новартіс Фармасьютикал Мануфактурінг ЛЛС, Словенія;</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br/>
              <w:t>первинне пакування, вторинне пакування, випуск серії:</w:t>
            </w:r>
            <w:r w:rsidRPr="00C65DFF">
              <w:rPr>
                <w:rFonts w:ascii="Arial" w:hAnsi="Arial" w:cs="Arial"/>
                <w:color w:val="000000"/>
                <w:sz w:val="16"/>
                <w:szCs w:val="16"/>
              </w:rPr>
              <w:br/>
              <w:t>Лек Фармасьютикалс д. д., Словенія</w:t>
            </w:r>
            <w:r w:rsidRPr="00C65D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lang/>
              </w:rPr>
            </w:pPr>
            <w:r w:rsidRPr="00C65DFF">
              <w:rPr>
                <w:rFonts w:ascii="Arial" w:hAnsi="Arial" w:cs="Arial"/>
                <w:color w:val="000000"/>
                <w:sz w:val="16"/>
                <w:szCs w:val="16"/>
              </w:rPr>
              <w:t>Італія</w:t>
            </w:r>
            <w:r w:rsidRPr="00C65DFF">
              <w:rPr>
                <w:rFonts w:ascii="Arial" w:hAnsi="Arial" w:cs="Arial"/>
                <w:color w:val="000000"/>
                <w:sz w:val="16"/>
                <w:szCs w:val="16"/>
                <w:lang/>
              </w:rPr>
              <w:t>/</w:t>
            </w:r>
            <w:r w:rsidRPr="00C65DFF">
              <w:rPr>
                <w:rFonts w:ascii="Arial" w:hAnsi="Arial" w:cs="Arial"/>
                <w:color w:val="000000"/>
                <w:sz w:val="16"/>
                <w:szCs w:val="16"/>
              </w:rPr>
              <w:t xml:space="preserve"> Сінгапур</w:t>
            </w:r>
            <w:r w:rsidRPr="00C65DFF">
              <w:rPr>
                <w:rFonts w:ascii="Arial" w:hAnsi="Arial" w:cs="Arial"/>
                <w:color w:val="000000"/>
                <w:sz w:val="16"/>
                <w:szCs w:val="16"/>
                <w:lang/>
              </w:rPr>
              <w:t>/</w:t>
            </w:r>
            <w:r w:rsidRPr="00C65DFF">
              <w:rPr>
                <w:rFonts w:ascii="Arial" w:hAnsi="Arial" w:cs="Arial"/>
                <w:color w:val="000000"/>
                <w:sz w:val="16"/>
                <w:szCs w:val="16"/>
              </w:rPr>
              <w:t xml:space="preserve"> 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Новартіс Фарма Штейн АГ, Швейцарія, відповідального за виробництво та контроль якості у звязку із рішенням компанії. Введення змін протягом 6-ти місяців після затвердження. </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ГЛЗ – Лек Фармасьютикалс д. д., вул. Верошкова 57, Любляна, 1526, Словенія, як альтернативного виробника, відповідального за виробництво продукту. Введення змін протягом 6-ти місяців після затвердження. </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введення додаткового виробника ГЛЗ – Лек Фармасьютикалс д. д., Трімліні 2Д, Лендава/лендва, 9220, Словенія, відповідального за вторинне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ГЛЗ – Лек Фармасьютикалс д. д., Трімліні 2Д, Лендава/лендва, 9220, Словенія, відповідального за первинне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додаткового виробника ГЛЗ Лек Фармасьютикалс д. д., вул. Верошкова 57, Любляна, 1526, Словенія, як виробника, відповідального за контроль якості. Введення змін протягом 6-ти місяців після затвердження. </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ГЛЗ – Лек Фармасьютикалс д. д., Трімліні 2Д, Лендава/лендва, 9220, Словенія, відповідального за випуск серії.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у параметри виробничого процесу на етапах змішування, просіювання, ущільнення та нанесення плівки з урахуванням різниці в обладнанні на затвердженій та запропонованій дільницях виробництва.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додавання нового вторинного пакувального матеріалу, що не контактує з продуктом для таблеток «in bulk» на дільниці Лек Фармасьютикалс д. д., вул. Верошкова 57, Любляна, Словенія. </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 xml:space="preserve">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на дільниці Novartis Farma SpA, Italy. Пропонована редакція: Strength: 50 mg, Batch size(kg): 249.600, Number of tablets: 1,200,000. Введення змін протягом 6-ти місяців після затвердження. </w:t>
            </w:r>
          </w:p>
          <w:p w:rsidR="004E3439" w:rsidRPr="00C65DFF" w:rsidRDefault="004E3439" w:rsidP="00E45030">
            <w:pPr>
              <w:pStyle w:val="110"/>
              <w:tabs>
                <w:tab w:val="left" w:pos="12600"/>
              </w:tabs>
              <w:jc w:val="center"/>
              <w:rPr>
                <w:rFonts w:ascii="Arial" w:hAnsi="Arial" w:cs="Arial"/>
                <w:color w:val="000000"/>
                <w:sz w:val="16"/>
                <w:szCs w:val="16"/>
              </w:rPr>
            </w:pPr>
            <w:r w:rsidRPr="00C65DFF">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та назви виробника Лек Фармасьютикалс д.д., вул. Веровшкова 57, Любляна, 1526, Словенія.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b/>
                <w:i/>
                <w:color w:val="000000"/>
                <w:sz w:val="16"/>
                <w:szCs w:val="16"/>
              </w:rPr>
            </w:pPr>
            <w:r w:rsidRPr="00C65DF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i/>
                <w:sz w:val="16"/>
                <w:szCs w:val="16"/>
              </w:rPr>
            </w:pPr>
            <w:r w:rsidRPr="00C65D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3439" w:rsidRPr="00C65DFF" w:rsidRDefault="004E3439" w:rsidP="00E45030">
            <w:pPr>
              <w:pStyle w:val="110"/>
              <w:tabs>
                <w:tab w:val="left" w:pos="12600"/>
              </w:tabs>
              <w:jc w:val="center"/>
              <w:rPr>
                <w:rFonts w:ascii="Arial" w:hAnsi="Arial" w:cs="Arial"/>
                <w:sz w:val="16"/>
                <w:szCs w:val="16"/>
              </w:rPr>
            </w:pPr>
            <w:r w:rsidRPr="00C65DFF">
              <w:rPr>
                <w:rFonts w:ascii="Arial" w:hAnsi="Arial" w:cs="Arial"/>
                <w:sz w:val="16"/>
                <w:szCs w:val="16"/>
              </w:rPr>
              <w:t>UA/16691/01/01</w:t>
            </w:r>
          </w:p>
        </w:tc>
      </w:tr>
    </w:tbl>
    <w:p w:rsidR="004E3439" w:rsidRPr="00C65DFF" w:rsidRDefault="004E3439" w:rsidP="004E3439"/>
    <w:p w:rsidR="004E3439" w:rsidRPr="00C65DFF" w:rsidRDefault="004E3439" w:rsidP="004E3439">
      <w:pPr>
        <w:ind w:right="20"/>
        <w:rPr>
          <w:rFonts w:ascii="Arial" w:hAnsi="Arial" w:cs="Arial"/>
          <w:b/>
          <w:i/>
          <w:sz w:val="16"/>
          <w:szCs w:val="16"/>
        </w:rPr>
      </w:pPr>
      <w:r w:rsidRPr="00C65DFF">
        <w:rPr>
          <w:rFonts w:ascii="Arial" w:hAnsi="Arial" w:cs="Arial"/>
          <w:b/>
          <w:i/>
          <w:sz w:val="16"/>
          <w:szCs w:val="16"/>
        </w:rPr>
        <w:t>*у разі внесення змін до інструкції про медичне застосування</w:t>
      </w:r>
    </w:p>
    <w:p w:rsidR="004E3439" w:rsidRPr="00C65DFF" w:rsidRDefault="004E3439" w:rsidP="004E3439">
      <w:pPr>
        <w:ind w:right="20"/>
        <w:rPr>
          <w:rFonts w:ascii="Arial" w:hAnsi="Arial" w:cs="Arial"/>
          <w:b/>
          <w:i/>
          <w:sz w:val="18"/>
          <w:szCs w:val="18"/>
        </w:rPr>
      </w:pPr>
    </w:p>
    <w:p w:rsidR="004E3439" w:rsidRPr="00C65DFF" w:rsidRDefault="004E3439" w:rsidP="004E3439">
      <w:pPr>
        <w:ind w:right="20"/>
        <w:rPr>
          <w:rStyle w:val="cs7864ebcf1"/>
          <w:rFonts w:ascii="Arial" w:hAnsi="Arial" w:cs="Arial"/>
          <w:color w:val="auto"/>
          <w:sz w:val="18"/>
          <w:szCs w:val="18"/>
        </w:rPr>
      </w:pPr>
    </w:p>
    <w:p w:rsidR="004E3439" w:rsidRPr="00C65DFF" w:rsidRDefault="004E3439" w:rsidP="004E3439">
      <w:pPr>
        <w:ind w:right="20"/>
        <w:rPr>
          <w:rStyle w:val="cs7864ebcf1"/>
          <w:rFonts w:ascii="Arial" w:hAnsi="Arial" w:cs="Arial"/>
          <w:color w:val="auto"/>
          <w:sz w:val="18"/>
          <w:szCs w:val="18"/>
        </w:rPr>
      </w:pPr>
    </w:p>
    <w:p w:rsidR="004E3439" w:rsidRPr="00C65DFF" w:rsidRDefault="004E3439" w:rsidP="004E3439">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4E3439" w:rsidRPr="00357CF6" w:rsidTr="00E45030">
        <w:tc>
          <w:tcPr>
            <w:tcW w:w="7421" w:type="dxa"/>
            <w:hideMark/>
          </w:tcPr>
          <w:p w:rsidR="004E3439" w:rsidRPr="00357CF6" w:rsidRDefault="004E3439" w:rsidP="00E45030">
            <w:pPr>
              <w:rPr>
                <w:rStyle w:val="cs95e872d03"/>
                <w:sz w:val="28"/>
                <w:szCs w:val="28"/>
              </w:rPr>
            </w:pPr>
            <w:r w:rsidRPr="00357CF6">
              <w:rPr>
                <w:rStyle w:val="cs7a65ad241"/>
                <w:sz w:val="28"/>
                <w:szCs w:val="28"/>
              </w:rPr>
              <w:t xml:space="preserve">В.о. </w:t>
            </w:r>
            <w:r>
              <w:rPr>
                <w:rStyle w:val="cs7a65ad241"/>
                <w:sz w:val="28"/>
                <w:szCs w:val="28"/>
              </w:rPr>
              <w:t>н</w:t>
            </w:r>
            <w:r w:rsidRPr="00357CF6">
              <w:rPr>
                <w:rStyle w:val="cs7a65ad241"/>
                <w:sz w:val="28"/>
                <w:szCs w:val="28"/>
              </w:rPr>
              <w:t>ачальника</w:t>
            </w:r>
          </w:p>
          <w:p w:rsidR="004E3439" w:rsidRPr="00357CF6" w:rsidRDefault="004E3439" w:rsidP="00E45030">
            <w:pPr>
              <w:ind w:right="20"/>
              <w:rPr>
                <w:rStyle w:val="cs7864ebcf1"/>
                <w:b w:val="0"/>
                <w:color w:val="auto"/>
                <w:sz w:val="28"/>
                <w:szCs w:val="28"/>
              </w:rPr>
            </w:pPr>
            <w:r w:rsidRPr="00357CF6">
              <w:rPr>
                <w:rStyle w:val="cs7a65ad241"/>
                <w:sz w:val="28"/>
                <w:szCs w:val="28"/>
              </w:rPr>
              <w:t>Фармацевтичного управління </w:t>
            </w:r>
          </w:p>
        </w:tc>
        <w:tc>
          <w:tcPr>
            <w:tcW w:w="7422" w:type="dxa"/>
          </w:tcPr>
          <w:p w:rsidR="004E3439" w:rsidRPr="00357CF6" w:rsidRDefault="004E3439" w:rsidP="00E45030">
            <w:pPr>
              <w:pStyle w:val="cs95e872d0"/>
              <w:rPr>
                <w:rStyle w:val="cs7864ebcf1"/>
                <w:color w:val="auto"/>
                <w:sz w:val="28"/>
                <w:szCs w:val="28"/>
              </w:rPr>
            </w:pPr>
          </w:p>
          <w:p w:rsidR="004E3439" w:rsidRPr="00357CF6" w:rsidRDefault="004E3439" w:rsidP="00E45030">
            <w:pPr>
              <w:pStyle w:val="cs95e872d0"/>
              <w:jc w:val="right"/>
              <w:rPr>
                <w:rStyle w:val="cs7864ebcf1"/>
                <w:color w:val="auto"/>
                <w:sz w:val="28"/>
                <w:szCs w:val="28"/>
              </w:rPr>
            </w:pPr>
            <w:r w:rsidRPr="00357CF6">
              <w:rPr>
                <w:rStyle w:val="cs7a65ad241"/>
                <w:sz w:val="28"/>
                <w:szCs w:val="28"/>
              </w:rPr>
              <w:t>Олександр ГРІЦЕНКО</w:t>
            </w:r>
          </w:p>
        </w:tc>
      </w:tr>
    </w:tbl>
    <w:p w:rsidR="004E3439" w:rsidRPr="001E6B38" w:rsidRDefault="004E3439" w:rsidP="004E3439">
      <w:pPr>
        <w:ind w:right="20"/>
        <w:rPr>
          <w:rStyle w:val="cs7864ebcf1"/>
          <w:rFonts w:ascii="Arial" w:hAnsi="Arial" w:cs="Arial"/>
          <w:color w:val="auto"/>
          <w:sz w:val="18"/>
          <w:szCs w:val="18"/>
        </w:rPr>
      </w:pPr>
    </w:p>
    <w:p w:rsidR="007F3466" w:rsidRDefault="007F3466" w:rsidP="00FC73F7">
      <w:pPr>
        <w:pStyle w:val="31"/>
        <w:spacing w:after="0"/>
        <w:ind w:left="0"/>
        <w:rPr>
          <w:b/>
          <w:sz w:val="28"/>
          <w:szCs w:val="28"/>
          <w:lang w:val="uk-UA"/>
        </w:rPr>
      </w:pPr>
    </w:p>
    <w:sectPr w:rsidR="007F3466" w:rsidSect="00E45030">
      <w:headerReference w:type="default" r:id="rId15"/>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030" w:rsidRDefault="00E45030" w:rsidP="00B217C6">
      <w:r>
        <w:separator/>
      </w:r>
    </w:p>
  </w:endnote>
  <w:endnote w:type="continuationSeparator" w:id="0">
    <w:p w:rsidR="00E45030" w:rsidRDefault="00E45030"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030" w:rsidRDefault="00E45030" w:rsidP="00B217C6">
      <w:r>
        <w:separator/>
      </w:r>
    </w:p>
  </w:footnote>
  <w:footnote w:type="continuationSeparator" w:id="0">
    <w:p w:rsidR="00E45030" w:rsidRDefault="00E45030"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76BD7">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30" w:rsidRDefault="00E45030">
    <w:pPr>
      <w:pStyle w:val="a3"/>
      <w:jc w:val="center"/>
    </w:pPr>
    <w:r>
      <w:fldChar w:fldCharType="begin"/>
    </w:r>
    <w:r>
      <w:instrText>PAGE   \* MERGEFORMAT</w:instrText>
    </w:r>
    <w:r>
      <w:fldChar w:fldCharType="separate"/>
    </w:r>
    <w:r>
      <w:t>2</w:t>
    </w:r>
    <w:r>
      <w:fldChar w:fldCharType="end"/>
    </w:r>
  </w:p>
  <w:p w:rsidR="00E45030" w:rsidRDefault="00E45030">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30" w:rsidRDefault="00E45030" w:rsidP="00E45030">
    <w:pPr>
      <w:pStyle w:val="a3"/>
      <w:tabs>
        <w:tab w:val="center" w:pos="7313"/>
        <w:tab w:val="left" w:pos="11145"/>
      </w:tabs>
    </w:pPr>
    <w:r>
      <w:tab/>
    </w:r>
    <w:r>
      <w:tab/>
    </w:r>
    <w:r>
      <w:fldChar w:fldCharType="begin"/>
    </w:r>
    <w:r>
      <w:instrText>PAGE   \* MERGEFORMAT</w:instrText>
    </w:r>
    <w:r>
      <w:fldChar w:fldCharType="separate"/>
    </w:r>
    <w:r w:rsidR="004C098D">
      <w:rPr>
        <w:noProof/>
      </w:rPr>
      <w:t>9</w:t>
    </w:r>
    <w:r>
      <w:fldChar w:fldCharType="end"/>
    </w:r>
  </w:p>
  <w:p w:rsidR="0097757F" w:rsidRDefault="0097757F" w:rsidP="00E45030">
    <w:pPr>
      <w:pStyle w:val="a3"/>
      <w:tabs>
        <w:tab w:val="center" w:pos="7313"/>
        <w:tab w:val="left" w:pos="1114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30" w:rsidRDefault="00E45030" w:rsidP="00E45030">
    <w:pPr>
      <w:pStyle w:val="a3"/>
      <w:tabs>
        <w:tab w:val="center" w:pos="7313"/>
        <w:tab w:val="left" w:pos="11145"/>
      </w:tabs>
    </w:pPr>
    <w:r>
      <w:tab/>
    </w:r>
    <w:r>
      <w:tab/>
    </w:r>
    <w:r>
      <w:fldChar w:fldCharType="begin"/>
    </w:r>
    <w:r>
      <w:instrText>PAGE   \* MERGEFORMAT</w:instrText>
    </w:r>
    <w:r>
      <w:fldChar w:fldCharType="separate"/>
    </w:r>
    <w:r w:rsidR="004C098D">
      <w:rPr>
        <w:noProof/>
      </w:rPr>
      <w:t>13</w:t>
    </w:r>
    <w:r>
      <w:fldChar w:fldCharType="end"/>
    </w:r>
  </w:p>
  <w:p w:rsidR="004C098D" w:rsidRDefault="004C098D" w:rsidP="00E45030">
    <w:pPr>
      <w:pStyle w:val="a3"/>
      <w:tabs>
        <w:tab w:val="center" w:pos="7313"/>
        <w:tab w:val="left" w:pos="111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5"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1"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C4457"/>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7"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95E3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7"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9"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0611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6034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2"/>
  </w:num>
  <w:num w:numId="2">
    <w:abstractNumId w:val="34"/>
  </w:num>
  <w:num w:numId="3">
    <w:abstractNumId w:val="25"/>
  </w:num>
  <w:num w:numId="4">
    <w:abstractNumId w:val="24"/>
  </w:num>
  <w:num w:numId="5">
    <w:abstractNumId w:val="39"/>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5"/>
  </w:num>
  <w:num w:numId="13">
    <w:abstractNumId w:val="47"/>
  </w:num>
  <w:num w:numId="14">
    <w:abstractNumId w:val="38"/>
  </w:num>
  <w:num w:numId="15">
    <w:abstractNumId w:val="1"/>
  </w:num>
  <w:num w:numId="16">
    <w:abstractNumId w:val="9"/>
  </w:num>
  <w:num w:numId="17">
    <w:abstractNumId w:val="11"/>
  </w:num>
  <w:num w:numId="18">
    <w:abstractNumId w:val="19"/>
  </w:num>
  <w:num w:numId="19">
    <w:abstractNumId w:val="26"/>
  </w:num>
  <w:num w:numId="20">
    <w:abstractNumId w:val="20"/>
  </w:num>
  <w:num w:numId="21">
    <w:abstractNumId w:val="10"/>
  </w:num>
  <w:num w:numId="22">
    <w:abstractNumId w:val="36"/>
  </w:num>
  <w:num w:numId="23">
    <w:abstractNumId w:val="35"/>
  </w:num>
  <w:num w:numId="24">
    <w:abstractNumId w:val="27"/>
  </w:num>
  <w:num w:numId="25">
    <w:abstractNumId w:val="6"/>
  </w:num>
  <w:num w:numId="26">
    <w:abstractNumId w:val="21"/>
  </w:num>
  <w:num w:numId="27">
    <w:abstractNumId w:val="44"/>
  </w:num>
  <w:num w:numId="28">
    <w:abstractNumId w:val="37"/>
  </w:num>
  <w:num w:numId="29">
    <w:abstractNumId w:val="41"/>
  </w:num>
  <w:num w:numId="30">
    <w:abstractNumId w:val="29"/>
  </w:num>
  <w:num w:numId="31">
    <w:abstractNumId w:val="2"/>
  </w:num>
  <w:num w:numId="32">
    <w:abstractNumId w:val="13"/>
  </w:num>
  <w:num w:numId="33">
    <w:abstractNumId w:val="32"/>
  </w:num>
  <w:num w:numId="34">
    <w:abstractNumId w:val="17"/>
  </w:num>
  <w:num w:numId="35">
    <w:abstractNumId w:val="7"/>
  </w:num>
  <w:num w:numId="36">
    <w:abstractNumId w:val="30"/>
  </w:num>
  <w:num w:numId="37">
    <w:abstractNumId w:val="40"/>
  </w:num>
  <w:num w:numId="38">
    <w:abstractNumId w:val="0"/>
  </w:num>
  <w:num w:numId="39">
    <w:abstractNumId w:val="16"/>
  </w:num>
  <w:num w:numId="40">
    <w:abstractNumId w:val="33"/>
  </w:num>
  <w:num w:numId="41">
    <w:abstractNumId w:val="28"/>
  </w:num>
  <w:num w:numId="42">
    <w:abstractNumId w:val="45"/>
  </w:num>
  <w:num w:numId="43">
    <w:abstractNumId w:val="8"/>
  </w:num>
  <w:num w:numId="44">
    <w:abstractNumId w:val="22"/>
  </w:num>
  <w:num w:numId="45">
    <w:abstractNumId w:val="4"/>
  </w:num>
  <w:num w:numId="46">
    <w:abstractNumId w:val="42"/>
  </w:num>
  <w:num w:numId="47">
    <w:abstractNumId w:val="31"/>
  </w:num>
  <w:num w:numId="48">
    <w:abstractNumId w:val="2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2F0D"/>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28C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11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2E8A"/>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0E42"/>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098D"/>
    <w:rsid w:val="004C2149"/>
    <w:rsid w:val="004C48F4"/>
    <w:rsid w:val="004C6DBC"/>
    <w:rsid w:val="004D1487"/>
    <w:rsid w:val="004D1C54"/>
    <w:rsid w:val="004D3DA8"/>
    <w:rsid w:val="004D6E55"/>
    <w:rsid w:val="004D7714"/>
    <w:rsid w:val="004D7D40"/>
    <w:rsid w:val="004E3439"/>
    <w:rsid w:val="004E4E21"/>
    <w:rsid w:val="004E5F69"/>
    <w:rsid w:val="004E6830"/>
    <w:rsid w:val="004F6412"/>
    <w:rsid w:val="0050149D"/>
    <w:rsid w:val="00504F7E"/>
    <w:rsid w:val="00505CFE"/>
    <w:rsid w:val="00506545"/>
    <w:rsid w:val="00507939"/>
    <w:rsid w:val="00511D83"/>
    <w:rsid w:val="00513B4C"/>
    <w:rsid w:val="00514273"/>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5F7B7A"/>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6BD7"/>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2636"/>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57F"/>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45030"/>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C26553D-8426-4A6D-9D10-7264A1FC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4E3439"/>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4E3439"/>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5F7B7A"/>
    <w:rPr>
      <w:rFonts w:eastAsia="Times New Roman"/>
      <w:sz w:val="24"/>
      <w:szCs w:val="24"/>
    </w:rPr>
  </w:style>
  <w:style w:type="paragraph" w:customStyle="1" w:styleId="110">
    <w:name w:val="Обычный11"/>
    <w:aliases w:val="Звичайний,Normal"/>
    <w:basedOn w:val="a"/>
    <w:qFormat/>
    <w:rsid w:val="005F7B7A"/>
    <w:rPr>
      <w:rFonts w:eastAsia="Times New Roman"/>
      <w:sz w:val="24"/>
      <w:szCs w:val="24"/>
      <w:lang w:val="uk-UA" w:eastAsia="uk-UA"/>
    </w:rPr>
  </w:style>
  <w:style w:type="character" w:customStyle="1" w:styleId="cs7864ebcf1">
    <w:name w:val="cs7864ebcf1"/>
    <w:rsid w:val="005F7B7A"/>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5F7B7A"/>
  </w:style>
  <w:style w:type="character" w:customStyle="1" w:styleId="cs7a65ad241">
    <w:name w:val="cs7a65ad241"/>
    <w:rsid w:val="005F7B7A"/>
    <w:rPr>
      <w:rFonts w:ascii="Times New Roman" w:hAnsi="Times New Roman" w:cs="Times New Roman" w:hint="default"/>
      <w:b/>
      <w:bCs/>
      <w:i w:val="0"/>
      <w:iCs w:val="0"/>
      <w:color w:val="000000"/>
      <w:sz w:val="26"/>
      <w:szCs w:val="26"/>
    </w:rPr>
  </w:style>
  <w:style w:type="paragraph" w:customStyle="1" w:styleId="11">
    <w:name w:val="Обычный1"/>
    <w:basedOn w:val="a"/>
    <w:qFormat/>
    <w:rsid w:val="00480E42"/>
    <w:rPr>
      <w:rFonts w:eastAsia="Times New Roman"/>
      <w:sz w:val="24"/>
      <w:szCs w:val="24"/>
      <w:lang w:val="uk-UA" w:eastAsia="uk-UA"/>
    </w:rPr>
  </w:style>
  <w:style w:type="character" w:customStyle="1" w:styleId="20">
    <w:name w:val="Заголовок 2 Знак"/>
    <w:link w:val="2"/>
    <w:rsid w:val="004E3439"/>
    <w:rPr>
      <w:rFonts w:ascii="Arial" w:eastAsia="Times New Roman" w:hAnsi="Arial"/>
      <w:b/>
      <w:caps/>
      <w:sz w:val="16"/>
      <w:lang w:val="uk-UA" w:eastAsia="uk-UA"/>
    </w:rPr>
  </w:style>
  <w:style w:type="character" w:customStyle="1" w:styleId="60">
    <w:name w:val="Заголовок 6 Знак"/>
    <w:link w:val="6"/>
    <w:uiPriority w:val="9"/>
    <w:rsid w:val="004E3439"/>
    <w:rPr>
      <w:rFonts w:ascii="Times New Roman" w:hAnsi="Times New Roman"/>
      <w:b/>
      <w:bCs/>
      <w:sz w:val="22"/>
      <w:szCs w:val="22"/>
    </w:rPr>
  </w:style>
  <w:style w:type="character" w:customStyle="1" w:styleId="40">
    <w:name w:val="Заголовок 4 Знак"/>
    <w:link w:val="4"/>
    <w:rsid w:val="004E3439"/>
    <w:rPr>
      <w:rFonts w:ascii="Times New Roman" w:hAnsi="Times New Roman"/>
      <w:b/>
      <w:bCs/>
      <w:sz w:val="28"/>
      <w:szCs w:val="28"/>
      <w:lang w:val="ru-RU" w:eastAsia="ru-RU"/>
    </w:rPr>
  </w:style>
  <w:style w:type="paragraph" w:customStyle="1" w:styleId="msolistparagraph0">
    <w:name w:val="msolistparagraph"/>
    <w:basedOn w:val="a"/>
    <w:uiPriority w:val="34"/>
    <w:qFormat/>
    <w:rsid w:val="004E3439"/>
    <w:pPr>
      <w:ind w:left="720"/>
      <w:contextualSpacing/>
    </w:pPr>
    <w:rPr>
      <w:rFonts w:eastAsia="Times New Roman"/>
      <w:sz w:val="24"/>
      <w:szCs w:val="24"/>
      <w:lang w:val="uk-UA" w:eastAsia="uk-UA"/>
    </w:rPr>
  </w:style>
  <w:style w:type="paragraph" w:customStyle="1" w:styleId="Encryption">
    <w:name w:val="Encryption"/>
    <w:basedOn w:val="a"/>
    <w:qFormat/>
    <w:rsid w:val="004E3439"/>
    <w:pPr>
      <w:jc w:val="both"/>
    </w:pPr>
    <w:rPr>
      <w:rFonts w:eastAsia="Times New Roman"/>
      <w:b/>
      <w:bCs/>
      <w:i/>
      <w:iCs/>
      <w:sz w:val="24"/>
      <w:szCs w:val="24"/>
      <w:lang w:val="uk-UA" w:eastAsia="uk-UA"/>
    </w:rPr>
  </w:style>
  <w:style w:type="character" w:customStyle="1" w:styleId="Heading2Char">
    <w:name w:val="Heading 2 Char"/>
    <w:link w:val="21"/>
    <w:locked/>
    <w:rsid w:val="004E3439"/>
    <w:rPr>
      <w:rFonts w:ascii="Arial" w:eastAsia="Times New Roman" w:hAnsi="Arial"/>
      <w:b/>
      <w:caps/>
      <w:sz w:val="16"/>
      <w:lang w:val="ru-RU" w:eastAsia="ru-RU"/>
    </w:rPr>
  </w:style>
  <w:style w:type="paragraph" w:customStyle="1" w:styleId="21">
    <w:name w:val="Заголовок 21"/>
    <w:basedOn w:val="a"/>
    <w:link w:val="Heading2Char"/>
    <w:rsid w:val="004E3439"/>
    <w:rPr>
      <w:rFonts w:ascii="Arial" w:eastAsia="Times New Roman" w:hAnsi="Arial"/>
      <w:b/>
      <w:caps/>
      <w:sz w:val="16"/>
    </w:rPr>
  </w:style>
  <w:style w:type="character" w:customStyle="1" w:styleId="Heading4Char">
    <w:name w:val="Heading 4 Char"/>
    <w:link w:val="41"/>
    <w:locked/>
    <w:rsid w:val="004E3439"/>
    <w:rPr>
      <w:rFonts w:ascii="Arial" w:eastAsia="Times New Roman" w:hAnsi="Arial"/>
      <w:b/>
      <w:lang w:val="ru-RU" w:eastAsia="ru-RU"/>
    </w:rPr>
  </w:style>
  <w:style w:type="paragraph" w:customStyle="1" w:styleId="41">
    <w:name w:val="Заголовок 41"/>
    <w:basedOn w:val="a"/>
    <w:link w:val="Heading4Char"/>
    <w:rsid w:val="004E3439"/>
    <w:rPr>
      <w:rFonts w:ascii="Arial" w:eastAsia="Times New Roman" w:hAnsi="Arial"/>
      <w:b/>
    </w:rPr>
  </w:style>
  <w:style w:type="table" w:styleId="a8">
    <w:name w:val="Table Grid"/>
    <w:basedOn w:val="a1"/>
    <w:uiPriority w:val="39"/>
    <w:rsid w:val="004E34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4E3439"/>
    <w:rPr>
      <w:lang w:eastAsia="en-US"/>
    </w:rPr>
    <w:tblPr>
      <w:tblCellMar>
        <w:top w:w="0" w:type="dxa"/>
        <w:left w:w="108" w:type="dxa"/>
        <w:bottom w:w="0" w:type="dxa"/>
        <w:right w:w="108" w:type="dxa"/>
      </w:tblCellMar>
    </w:tblPr>
  </w:style>
  <w:style w:type="character" w:customStyle="1" w:styleId="csb3e8c9cf24">
    <w:name w:val="csb3e8c9cf24"/>
    <w:rsid w:val="004E3439"/>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4E3439"/>
    <w:rPr>
      <w:rFonts w:ascii="Tahoma" w:eastAsia="Times New Roman" w:hAnsi="Tahoma" w:cs="Tahoma"/>
      <w:sz w:val="16"/>
      <w:szCs w:val="16"/>
    </w:rPr>
  </w:style>
  <w:style w:type="character" w:customStyle="1" w:styleId="aa">
    <w:name w:val="Текст выноски Знак"/>
    <w:link w:val="a9"/>
    <w:uiPriority w:val="99"/>
    <w:semiHidden/>
    <w:rsid w:val="004E3439"/>
    <w:rPr>
      <w:rFonts w:ascii="Tahoma" w:eastAsia="Times New Roman" w:hAnsi="Tahoma" w:cs="Tahoma"/>
      <w:sz w:val="16"/>
      <w:szCs w:val="16"/>
      <w:lang w:val="ru-RU" w:eastAsia="ru-RU"/>
    </w:rPr>
  </w:style>
  <w:style w:type="paragraph" w:customStyle="1" w:styleId="BodyTextIndent2">
    <w:name w:val="Body Text Indent2"/>
    <w:basedOn w:val="a"/>
    <w:rsid w:val="004E3439"/>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4E3439"/>
    <w:pPr>
      <w:spacing w:before="120" w:after="120"/>
    </w:pPr>
    <w:rPr>
      <w:rFonts w:ascii="Arial" w:eastAsia="Times New Roman" w:hAnsi="Arial"/>
      <w:sz w:val="18"/>
    </w:rPr>
  </w:style>
  <w:style w:type="character" w:customStyle="1" w:styleId="BodyTextIndentChar">
    <w:name w:val="Body Text Indent Char"/>
    <w:link w:val="12"/>
    <w:locked/>
    <w:rsid w:val="004E3439"/>
    <w:rPr>
      <w:rFonts w:ascii="Arial" w:eastAsia="Times New Roman" w:hAnsi="Arial"/>
      <w:sz w:val="18"/>
      <w:lang w:val="ru-RU" w:eastAsia="ru-RU"/>
    </w:rPr>
  </w:style>
  <w:style w:type="character" w:customStyle="1" w:styleId="csab6e076947">
    <w:name w:val="csab6e076947"/>
    <w:rsid w:val="004E3439"/>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E3439"/>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E3439"/>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E3439"/>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E3439"/>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E3439"/>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E3439"/>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E3439"/>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E3439"/>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E3439"/>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4E3439"/>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E3439"/>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E3439"/>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E3439"/>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E3439"/>
    <w:rPr>
      <w:rFonts w:ascii="Arial" w:hAnsi="Arial" w:cs="Arial" w:hint="default"/>
      <w:b/>
      <w:bCs/>
      <w:i w:val="0"/>
      <w:iCs w:val="0"/>
      <w:color w:val="000000"/>
      <w:sz w:val="18"/>
      <w:szCs w:val="18"/>
      <w:shd w:val="clear" w:color="auto" w:fill="auto"/>
    </w:rPr>
  </w:style>
  <w:style w:type="character" w:customStyle="1" w:styleId="csab6e076980">
    <w:name w:val="csab6e076980"/>
    <w:rsid w:val="004E3439"/>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E3439"/>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E3439"/>
    <w:rPr>
      <w:rFonts w:ascii="Arial" w:hAnsi="Arial" w:cs="Arial" w:hint="default"/>
      <w:b/>
      <w:bCs/>
      <w:i w:val="0"/>
      <w:iCs w:val="0"/>
      <w:color w:val="000000"/>
      <w:sz w:val="18"/>
      <w:szCs w:val="18"/>
      <w:shd w:val="clear" w:color="auto" w:fill="auto"/>
    </w:rPr>
  </w:style>
  <w:style w:type="character" w:customStyle="1" w:styleId="csab6e076961">
    <w:name w:val="csab6e076961"/>
    <w:rsid w:val="004E3439"/>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E3439"/>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E3439"/>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E3439"/>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E3439"/>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E3439"/>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E3439"/>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E3439"/>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E3439"/>
    <w:rPr>
      <w:rFonts w:ascii="Arial" w:hAnsi="Arial" w:cs="Arial" w:hint="default"/>
      <w:b/>
      <w:bCs/>
      <w:i w:val="0"/>
      <w:iCs w:val="0"/>
      <w:color w:val="000000"/>
      <w:sz w:val="18"/>
      <w:szCs w:val="18"/>
      <w:shd w:val="clear" w:color="auto" w:fill="auto"/>
    </w:rPr>
  </w:style>
  <w:style w:type="character" w:customStyle="1" w:styleId="csab6e0769276">
    <w:name w:val="csab6e0769276"/>
    <w:rsid w:val="004E3439"/>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E3439"/>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E3439"/>
    <w:rPr>
      <w:rFonts w:ascii="Arial" w:hAnsi="Arial" w:cs="Arial" w:hint="default"/>
      <w:b/>
      <w:bCs/>
      <w:i w:val="0"/>
      <w:iCs w:val="0"/>
      <w:color w:val="000000"/>
      <w:sz w:val="18"/>
      <w:szCs w:val="18"/>
      <w:shd w:val="clear" w:color="auto" w:fill="auto"/>
    </w:rPr>
  </w:style>
  <w:style w:type="character" w:customStyle="1" w:styleId="csf229d0ff13">
    <w:name w:val="csf229d0ff13"/>
    <w:rsid w:val="004E3439"/>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E3439"/>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E3439"/>
    <w:rPr>
      <w:rFonts w:ascii="Arial" w:hAnsi="Arial" w:cs="Arial" w:hint="default"/>
      <w:b/>
      <w:bCs/>
      <w:i w:val="0"/>
      <w:iCs w:val="0"/>
      <w:color w:val="000000"/>
      <w:sz w:val="18"/>
      <w:szCs w:val="18"/>
      <w:shd w:val="clear" w:color="auto" w:fill="auto"/>
    </w:rPr>
  </w:style>
  <w:style w:type="character" w:customStyle="1" w:styleId="csafaf5741100">
    <w:name w:val="csafaf5741100"/>
    <w:rsid w:val="004E3439"/>
    <w:rPr>
      <w:rFonts w:ascii="Arial" w:hAnsi="Arial" w:cs="Arial" w:hint="default"/>
      <w:b/>
      <w:bCs/>
      <w:i w:val="0"/>
      <w:iCs w:val="0"/>
      <w:color w:val="000000"/>
      <w:sz w:val="18"/>
      <w:szCs w:val="18"/>
      <w:shd w:val="clear" w:color="auto" w:fill="auto"/>
    </w:rPr>
  </w:style>
  <w:style w:type="paragraph" w:styleId="ab">
    <w:name w:val="Body Text Indent"/>
    <w:basedOn w:val="a"/>
    <w:link w:val="ac"/>
    <w:rsid w:val="004E3439"/>
    <w:pPr>
      <w:spacing w:after="120"/>
      <w:ind w:left="283"/>
    </w:pPr>
    <w:rPr>
      <w:rFonts w:eastAsia="Times New Roman"/>
      <w:sz w:val="24"/>
      <w:szCs w:val="24"/>
    </w:rPr>
  </w:style>
  <w:style w:type="character" w:customStyle="1" w:styleId="ac">
    <w:name w:val="Основной текст с отступом Знак"/>
    <w:link w:val="ab"/>
    <w:rsid w:val="004E3439"/>
    <w:rPr>
      <w:rFonts w:ascii="Times New Roman" w:eastAsia="Times New Roman" w:hAnsi="Times New Roman"/>
      <w:sz w:val="24"/>
      <w:szCs w:val="24"/>
      <w:lang w:val="ru-RU" w:eastAsia="ru-RU"/>
    </w:rPr>
  </w:style>
  <w:style w:type="character" w:customStyle="1" w:styleId="csf229d0ff16">
    <w:name w:val="csf229d0ff16"/>
    <w:rsid w:val="004E3439"/>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4E3439"/>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4E3439"/>
    <w:pPr>
      <w:spacing w:after="120"/>
    </w:pPr>
    <w:rPr>
      <w:rFonts w:eastAsia="Times New Roman"/>
      <w:sz w:val="16"/>
      <w:szCs w:val="16"/>
      <w:lang w:val="uk-UA" w:eastAsia="uk-UA"/>
    </w:rPr>
  </w:style>
  <w:style w:type="character" w:customStyle="1" w:styleId="34">
    <w:name w:val="Основной текст 3 Знак"/>
    <w:link w:val="33"/>
    <w:rsid w:val="004E3439"/>
    <w:rPr>
      <w:rFonts w:ascii="Times New Roman" w:eastAsia="Times New Roman" w:hAnsi="Times New Roman"/>
      <w:sz w:val="16"/>
      <w:szCs w:val="16"/>
      <w:lang w:val="uk-UA" w:eastAsia="uk-UA"/>
    </w:rPr>
  </w:style>
  <w:style w:type="character" w:customStyle="1" w:styleId="csab6e076931">
    <w:name w:val="csab6e076931"/>
    <w:rsid w:val="004E3439"/>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4E3439"/>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4E3439"/>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4E3439"/>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4E3439"/>
    <w:pPr>
      <w:ind w:firstLine="708"/>
      <w:jc w:val="both"/>
    </w:pPr>
    <w:rPr>
      <w:rFonts w:ascii="Arial" w:eastAsia="Times New Roman" w:hAnsi="Arial"/>
      <w:b/>
      <w:sz w:val="18"/>
      <w:lang w:val="uk-UA"/>
    </w:rPr>
  </w:style>
  <w:style w:type="character" w:customStyle="1" w:styleId="csf229d0ff25">
    <w:name w:val="csf229d0ff25"/>
    <w:rsid w:val="004E3439"/>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4E3439"/>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4E3439"/>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4E3439"/>
    <w:pPr>
      <w:ind w:firstLine="708"/>
      <w:jc w:val="both"/>
    </w:pPr>
    <w:rPr>
      <w:rFonts w:ascii="Arial" w:eastAsia="Times New Roman" w:hAnsi="Arial"/>
      <w:b/>
      <w:sz w:val="18"/>
      <w:lang w:val="uk-UA" w:eastAsia="uk-UA"/>
    </w:rPr>
  </w:style>
  <w:style w:type="character" w:customStyle="1" w:styleId="cs95e872d01">
    <w:name w:val="cs95e872d01"/>
    <w:rsid w:val="004E3439"/>
  </w:style>
  <w:style w:type="paragraph" w:customStyle="1" w:styleId="cse71256d6">
    <w:name w:val="cse71256d6"/>
    <w:basedOn w:val="a"/>
    <w:rsid w:val="004E3439"/>
    <w:pPr>
      <w:ind w:left="1440"/>
    </w:pPr>
    <w:rPr>
      <w:rFonts w:eastAsia="Times New Roman"/>
      <w:sz w:val="24"/>
      <w:szCs w:val="24"/>
      <w:lang w:val="uk-UA" w:eastAsia="uk-UA"/>
    </w:rPr>
  </w:style>
  <w:style w:type="character" w:customStyle="1" w:styleId="csb3e8c9cf10">
    <w:name w:val="csb3e8c9cf10"/>
    <w:rsid w:val="004E3439"/>
    <w:rPr>
      <w:rFonts w:ascii="Arial" w:hAnsi="Arial" w:cs="Arial" w:hint="default"/>
      <w:b/>
      <w:bCs/>
      <w:i w:val="0"/>
      <w:iCs w:val="0"/>
      <w:color w:val="000000"/>
      <w:sz w:val="18"/>
      <w:szCs w:val="18"/>
      <w:shd w:val="clear" w:color="auto" w:fill="auto"/>
    </w:rPr>
  </w:style>
  <w:style w:type="character" w:customStyle="1" w:styleId="csafaf574127">
    <w:name w:val="csafaf574127"/>
    <w:rsid w:val="004E3439"/>
    <w:rPr>
      <w:rFonts w:ascii="Arial" w:hAnsi="Arial" w:cs="Arial" w:hint="default"/>
      <w:b/>
      <w:bCs/>
      <w:i w:val="0"/>
      <w:iCs w:val="0"/>
      <w:color w:val="000000"/>
      <w:sz w:val="18"/>
      <w:szCs w:val="18"/>
      <w:shd w:val="clear" w:color="auto" w:fill="auto"/>
    </w:rPr>
  </w:style>
  <w:style w:type="character" w:customStyle="1" w:styleId="csf229d0ff10">
    <w:name w:val="csf229d0ff10"/>
    <w:rsid w:val="004E3439"/>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4E3439"/>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4E3439"/>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4E3439"/>
    <w:rPr>
      <w:rFonts w:ascii="Arial" w:hAnsi="Arial" w:cs="Arial" w:hint="default"/>
      <w:b/>
      <w:bCs/>
      <w:i w:val="0"/>
      <w:iCs w:val="0"/>
      <w:color w:val="000000"/>
      <w:sz w:val="18"/>
      <w:szCs w:val="18"/>
      <w:shd w:val="clear" w:color="auto" w:fill="auto"/>
    </w:rPr>
  </w:style>
  <w:style w:type="character" w:customStyle="1" w:styleId="csafaf5741106">
    <w:name w:val="csafaf5741106"/>
    <w:rsid w:val="004E3439"/>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4E3439"/>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4E3439"/>
    <w:pPr>
      <w:ind w:firstLine="708"/>
      <w:jc w:val="both"/>
    </w:pPr>
    <w:rPr>
      <w:rFonts w:ascii="Arial" w:eastAsia="Times New Roman" w:hAnsi="Arial"/>
      <w:b/>
      <w:sz w:val="18"/>
      <w:lang w:val="uk-UA" w:eastAsia="uk-UA"/>
    </w:rPr>
  </w:style>
  <w:style w:type="character" w:customStyle="1" w:styleId="csafaf5741216">
    <w:name w:val="csafaf5741216"/>
    <w:rsid w:val="004E3439"/>
    <w:rPr>
      <w:rFonts w:ascii="Arial" w:hAnsi="Arial" w:cs="Arial" w:hint="default"/>
      <w:b/>
      <w:bCs/>
      <w:i w:val="0"/>
      <w:iCs w:val="0"/>
      <w:color w:val="000000"/>
      <w:sz w:val="18"/>
      <w:szCs w:val="18"/>
      <w:shd w:val="clear" w:color="auto" w:fill="auto"/>
    </w:rPr>
  </w:style>
  <w:style w:type="character" w:customStyle="1" w:styleId="csf229d0ff19">
    <w:name w:val="csf229d0ff19"/>
    <w:rsid w:val="004E3439"/>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E3439"/>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E3439"/>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4E3439"/>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4E3439"/>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4E3439"/>
    <w:pPr>
      <w:ind w:firstLine="708"/>
      <w:jc w:val="both"/>
    </w:pPr>
    <w:rPr>
      <w:rFonts w:ascii="Arial" w:eastAsia="Times New Roman" w:hAnsi="Arial"/>
      <w:b/>
      <w:sz w:val="18"/>
      <w:lang w:val="uk-UA" w:eastAsia="uk-UA"/>
    </w:rPr>
  </w:style>
  <w:style w:type="character" w:customStyle="1" w:styleId="csf229d0ff14">
    <w:name w:val="csf229d0ff14"/>
    <w:rsid w:val="004E3439"/>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4E3439"/>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4E3439"/>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4E3439"/>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4E3439"/>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4E3439"/>
    <w:pPr>
      <w:ind w:firstLine="708"/>
      <w:jc w:val="both"/>
    </w:pPr>
    <w:rPr>
      <w:rFonts w:ascii="Arial" w:eastAsia="Times New Roman" w:hAnsi="Arial"/>
      <w:b/>
      <w:sz w:val="18"/>
      <w:lang w:val="uk-UA" w:eastAsia="uk-UA"/>
    </w:rPr>
  </w:style>
  <w:style w:type="character" w:customStyle="1" w:styleId="csab6e0769225">
    <w:name w:val="csab6e0769225"/>
    <w:rsid w:val="004E3439"/>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4E3439"/>
    <w:pPr>
      <w:ind w:firstLine="708"/>
      <w:jc w:val="both"/>
    </w:pPr>
    <w:rPr>
      <w:rFonts w:ascii="Arial" w:eastAsia="Times New Roman" w:hAnsi="Arial"/>
      <w:b/>
      <w:sz w:val="18"/>
      <w:lang w:val="uk-UA" w:eastAsia="uk-UA"/>
    </w:rPr>
  </w:style>
  <w:style w:type="character" w:customStyle="1" w:styleId="csb3e8c9cf3">
    <w:name w:val="csb3e8c9cf3"/>
    <w:rsid w:val="004E3439"/>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4E3439"/>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4E3439"/>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4E3439"/>
    <w:pPr>
      <w:ind w:firstLine="708"/>
      <w:jc w:val="both"/>
    </w:pPr>
    <w:rPr>
      <w:rFonts w:ascii="Arial" w:eastAsia="Times New Roman" w:hAnsi="Arial"/>
      <w:b/>
      <w:sz w:val="18"/>
      <w:lang w:val="uk-UA" w:eastAsia="uk-UA"/>
    </w:rPr>
  </w:style>
  <w:style w:type="character" w:customStyle="1" w:styleId="csb86c8cfe1">
    <w:name w:val="csb86c8cfe1"/>
    <w:rsid w:val="004E3439"/>
    <w:rPr>
      <w:rFonts w:ascii="Times New Roman" w:hAnsi="Times New Roman" w:cs="Times New Roman" w:hint="default"/>
      <w:b/>
      <w:bCs/>
      <w:i w:val="0"/>
      <w:iCs w:val="0"/>
      <w:color w:val="000000"/>
      <w:sz w:val="24"/>
      <w:szCs w:val="24"/>
    </w:rPr>
  </w:style>
  <w:style w:type="character" w:customStyle="1" w:styleId="csf229d0ff21">
    <w:name w:val="csf229d0ff21"/>
    <w:rsid w:val="004E343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4E3439"/>
    <w:pPr>
      <w:ind w:firstLine="708"/>
      <w:jc w:val="both"/>
    </w:pPr>
    <w:rPr>
      <w:rFonts w:ascii="Arial" w:eastAsia="Times New Roman" w:hAnsi="Arial"/>
      <w:b/>
      <w:sz w:val="18"/>
      <w:lang w:val="uk-UA" w:eastAsia="uk-UA"/>
    </w:rPr>
  </w:style>
  <w:style w:type="character" w:customStyle="1" w:styleId="csf229d0ff26">
    <w:name w:val="csf229d0ff26"/>
    <w:rsid w:val="004E3439"/>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4E3439"/>
    <w:pPr>
      <w:jc w:val="both"/>
    </w:pPr>
    <w:rPr>
      <w:rFonts w:ascii="Arial" w:eastAsia="Times New Roman" w:hAnsi="Arial"/>
      <w:sz w:val="24"/>
      <w:szCs w:val="24"/>
      <w:lang w:val="uk-UA" w:eastAsia="uk-UA"/>
    </w:rPr>
  </w:style>
  <w:style w:type="character" w:customStyle="1" w:styleId="cs8c2cf3831">
    <w:name w:val="cs8c2cf3831"/>
    <w:rsid w:val="004E3439"/>
    <w:rPr>
      <w:rFonts w:ascii="Arial" w:hAnsi="Arial" w:cs="Arial" w:hint="default"/>
      <w:b/>
      <w:bCs/>
      <w:i/>
      <w:iCs/>
      <w:color w:val="102B56"/>
      <w:sz w:val="18"/>
      <w:szCs w:val="18"/>
      <w:shd w:val="clear" w:color="auto" w:fill="auto"/>
    </w:rPr>
  </w:style>
  <w:style w:type="character" w:customStyle="1" w:styleId="csd71f5e5a1">
    <w:name w:val="csd71f5e5a1"/>
    <w:rsid w:val="004E3439"/>
    <w:rPr>
      <w:rFonts w:ascii="Arial" w:hAnsi="Arial" w:cs="Arial" w:hint="default"/>
      <w:b w:val="0"/>
      <w:bCs w:val="0"/>
      <w:i/>
      <w:iCs/>
      <w:color w:val="102B56"/>
      <w:sz w:val="18"/>
      <w:szCs w:val="18"/>
      <w:shd w:val="clear" w:color="auto" w:fill="auto"/>
    </w:rPr>
  </w:style>
  <w:style w:type="character" w:customStyle="1" w:styleId="cs8f6c24af1">
    <w:name w:val="cs8f6c24af1"/>
    <w:rsid w:val="004E3439"/>
    <w:rPr>
      <w:rFonts w:ascii="Arial" w:hAnsi="Arial" w:cs="Arial" w:hint="default"/>
      <w:b/>
      <w:bCs/>
      <w:i w:val="0"/>
      <w:iCs w:val="0"/>
      <w:color w:val="102B56"/>
      <w:sz w:val="18"/>
      <w:szCs w:val="18"/>
      <w:shd w:val="clear" w:color="auto" w:fill="auto"/>
    </w:rPr>
  </w:style>
  <w:style w:type="character" w:customStyle="1" w:styleId="csa5a0f5421">
    <w:name w:val="csa5a0f5421"/>
    <w:rsid w:val="004E3439"/>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4E3439"/>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4E3439"/>
    <w:pPr>
      <w:ind w:firstLine="708"/>
      <w:jc w:val="both"/>
    </w:pPr>
    <w:rPr>
      <w:rFonts w:ascii="Arial" w:eastAsia="Times New Roman" w:hAnsi="Arial"/>
      <w:b/>
      <w:sz w:val="18"/>
      <w:lang w:val="uk-UA" w:eastAsia="uk-UA"/>
    </w:rPr>
  </w:style>
  <w:style w:type="character" w:styleId="ad">
    <w:name w:val="line number"/>
    <w:uiPriority w:val="99"/>
    <w:rsid w:val="004E3439"/>
    <w:rPr>
      <w:rFonts w:ascii="Segoe UI" w:hAnsi="Segoe UI" w:cs="Segoe UI"/>
      <w:color w:val="000000"/>
      <w:sz w:val="18"/>
      <w:szCs w:val="18"/>
    </w:rPr>
  </w:style>
  <w:style w:type="character" w:styleId="ae">
    <w:name w:val="Hyperlink"/>
    <w:uiPriority w:val="99"/>
    <w:rsid w:val="004E3439"/>
    <w:rPr>
      <w:rFonts w:ascii="Segoe UI" w:hAnsi="Segoe UI" w:cs="Segoe UI"/>
      <w:color w:val="0000FF"/>
      <w:sz w:val="18"/>
      <w:szCs w:val="18"/>
      <w:u w:val="single"/>
    </w:rPr>
  </w:style>
  <w:style w:type="paragraph" w:customStyle="1" w:styleId="23">
    <w:name w:val="Основной текст с отступом23"/>
    <w:basedOn w:val="a"/>
    <w:rsid w:val="004E3439"/>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4E3439"/>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4E3439"/>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4E3439"/>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4E3439"/>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4E3439"/>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4E3439"/>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4E3439"/>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4E3439"/>
    <w:pPr>
      <w:ind w:firstLine="708"/>
      <w:jc w:val="both"/>
    </w:pPr>
    <w:rPr>
      <w:rFonts w:ascii="Arial" w:eastAsia="Times New Roman" w:hAnsi="Arial"/>
      <w:b/>
      <w:sz w:val="18"/>
      <w:lang w:val="uk-UA" w:eastAsia="uk-UA"/>
    </w:rPr>
  </w:style>
  <w:style w:type="character" w:customStyle="1" w:styleId="csa939b0971">
    <w:name w:val="csa939b0971"/>
    <w:rsid w:val="004E343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4E3439"/>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4E3439"/>
    <w:pPr>
      <w:ind w:firstLine="708"/>
      <w:jc w:val="both"/>
    </w:pPr>
    <w:rPr>
      <w:rFonts w:ascii="Arial" w:eastAsia="Times New Roman" w:hAnsi="Arial"/>
      <w:b/>
      <w:sz w:val="18"/>
      <w:lang w:val="uk-UA" w:eastAsia="uk-UA"/>
    </w:rPr>
  </w:style>
  <w:style w:type="character" w:styleId="af">
    <w:name w:val="annotation reference"/>
    <w:semiHidden/>
    <w:unhideWhenUsed/>
    <w:rsid w:val="004E3439"/>
    <w:rPr>
      <w:sz w:val="16"/>
      <w:szCs w:val="16"/>
    </w:rPr>
  </w:style>
  <w:style w:type="paragraph" w:styleId="af0">
    <w:name w:val="annotation text"/>
    <w:basedOn w:val="a"/>
    <w:link w:val="af1"/>
    <w:semiHidden/>
    <w:unhideWhenUsed/>
    <w:rsid w:val="004E3439"/>
    <w:rPr>
      <w:rFonts w:eastAsia="Times New Roman"/>
      <w:lang w:val="uk-UA" w:eastAsia="uk-UA"/>
    </w:rPr>
  </w:style>
  <w:style w:type="character" w:customStyle="1" w:styleId="af1">
    <w:name w:val="Текст примечания Знак"/>
    <w:link w:val="af0"/>
    <w:semiHidden/>
    <w:rsid w:val="004E3439"/>
    <w:rPr>
      <w:rFonts w:ascii="Times New Roman" w:eastAsia="Times New Roman" w:hAnsi="Times New Roman"/>
      <w:lang w:val="uk-UA" w:eastAsia="uk-UA"/>
    </w:rPr>
  </w:style>
  <w:style w:type="paragraph" w:styleId="af2">
    <w:name w:val="annotation subject"/>
    <w:basedOn w:val="af0"/>
    <w:next w:val="af0"/>
    <w:link w:val="af3"/>
    <w:semiHidden/>
    <w:unhideWhenUsed/>
    <w:rsid w:val="004E3439"/>
    <w:rPr>
      <w:b/>
      <w:bCs/>
    </w:rPr>
  </w:style>
  <w:style w:type="character" w:customStyle="1" w:styleId="af3">
    <w:name w:val="Тема примечания Знак"/>
    <w:link w:val="af2"/>
    <w:semiHidden/>
    <w:rsid w:val="004E3439"/>
    <w:rPr>
      <w:rFonts w:ascii="Times New Roman" w:eastAsia="Times New Roman" w:hAnsi="Times New Roman"/>
      <w:b/>
      <w:bCs/>
      <w:lang w:val="uk-UA" w:eastAsia="uk-UA"/>
    </w:rPr>
  </w:style>
  <w:style w:type="paragraph" w:styleId="af4">
    <w:name w:val="Revision"/>
    <w:hidden/>
    <w:uiPriority w:val="99"/>
    <w:semiHidden/>
    <w:rsid w:val="004E3439"/>
    <w:rPr>
      <w:rFonts w:ascii="Times New Roman" w:eastAsia="Times New Roman" w:hAnsi="Times New Roman"/>
      <w:sz w:val="24"/>
      <w:szCs w:val="24"/>
    </w:rPr>
  </w:style>
  <w:style w:type="character" w:customStyle="1" w:styleId="csb3e8c9cf69">
    <w:name w:val="csb3e8c9cf69"/>
    <w:rsid w:val="004E3439"/>
    <w:rPr>
      <w:rFonts w:ascii="Arial" w:hAnsi="Arial" w:cs="Arial" w:hint="default"/>
      <w:b/>
      <w:bCs/>
      <w:i w:val="0"/>
      <w:iCs w:val="0"/>
      <w:color w:val="000000"/>
      <w:sz w:val="18"/>
      <w:szCs w:val="18"/>
      <w:shd w:val="clear" w:color="auto" w:fill="auto"/>
    </w:rPr>
  </w:style>
  <w:style w:type="character" w:customStyle="1" w:styleId="csf229d0ff64">
    <w:name w:val="csf229d0ff64"/>
    <w:rsid w:val="004E3439"/>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4E3439"/>
    <w:rPr>
      <w:rFonts w:ascii="Arial" w:eastAsia="Times New Roman" w:hAnsi="Arial"/>
      <w:sz w:val="24"/>
      <w:szCs w:val="24"/>
      <w:lang w:val="uk-UA" w:eastAsia="uk-UA"/>
    </w:rPr>
  </w:style>
  <w:style w:type="character" w:customStyle="1" w:styleId="csd398459525">
    <w:name w:val="csd398459525"/>
    <w:rsid w:val="004E3439"/>
    <w:rPr>
      <w:rFonts w:ascii="Arial" w:hAnsi="Arial" w:cs="Arial" w:hint="default"/>
      <w:b/>
      <w:bCs/>
      <w:i/>
      <w:iCs/>
      <w:color w:val="000000"/>
      <w:sz w:val="18"/>
      <w:szCs w:val="18"/>
      <w:u w:val="single"/>
      <w:shd w:val="clear" w:color="auto" w:fill="auto"/>
    </w:rPr>
  </w:style>
  <w:style w:type="character" w:customStyle="1" w:styleId="csd3c90d4325">
    <w:name w:val="csd3c90d4325"/>
    <w:rsid w:val="004E3439"/>
    <w:rPr>
      <w:rFonts w:ascii="Arial" w:hAnsi="Arial" w:cs="Arial" w:hint="default"/>
      <w:b w:val="0"/>
      <w:bCs w:val="0"/>
      <w:i/>
      <w:iCs/>
      <w:color w:val="000000"/>
      <w:sz w:val="18"/>
      <w:szCs w:val="18"/>
      <w:shd w:val="clear" w:color="auto" w:fill="auto"/>
    </w:rPr>
  </w:style>
  <w:style w:type="character" w:customStyle="1" w:styleId="csb86c8cfe3">
    <w:name w:val="csb86c8cfe3"/>
    <w:rsid w:val="004E3439"/>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4E3439"/>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4E3439"/>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4E3439"/>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4E3439"/>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4E3439"/>
    <w:pPr>
      <w:ind w:firstLine="708"/>
      <w:jc w:val="both"/>
    </w:pPr>
    <w:rPr>
      <w:rFonts w:ascii="Arial" w:eastAsia="Times New Roman" w:hAnsi="Arial"/>
      <w:b/>
      <w:sz w:val="18"/>
      <w:lang w:val="uk-UA" w:eastAsia="uk-UA"/>
    </w:rPr>
  </w:style>
  <w:style w:type="character" w:customStyle="1" w:styleId="csab6e076977">
    <w:name w:val="csab6e076977"/>
    <w:rsid w:val="004E3439"/>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E3439"/>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4E3439"/>
    <w:rPr>
      <w:rFonts w:ascii="Arial" w:hAnsi="Arial" w:cs="Arial" w:hint="default"/>
      <w:b/>
      <w:bCs/>
      <w:i w:val="0"/>
      <w:iCs w:val="0"/>
      <w:color w:val="000000"/>
      <w:sz w:val="18"/>
      <w:szCs w:val="18"/>
      <w:shd w:val="clear" w:color="auto" w:fill="auto"/>
    </w:rPr>
  </w:style>
  <w:style w:type="character" w:customStyle="1" w:styleId="cs607602ac2">
    <w:name w:val="cs607602ac2"/>
    <w:rsid w:val="004E3439"/>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4E3439"/>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4E3439"/>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4E3439"/>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4E3439"/>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4E3439"/>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4E3439"/>
    <w:pPr>
      <w:ind w:firstLine="708"/>
      <w:jc w:val="both"/>
    </w:pPr>
    <w:rPr>
      <w:rFonts w:ascii="Arial" w:eastAsia="Times New Roman" w:hAnsi="Arial"/>
      <w:b/>
      <w:sz w:val="18"/>
      <w:lang w:val="uk-UA" w:eastAsia="uk-UA"/>
    </w:rPr>
  </w:style>
  <w:style w:type="character" w:customStyle="1" w:styleId="csab6e0769291">
    <w:name w:val="csab6e0769291"/>
    <w:rsid w:val="004E3439"/>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4E3439"/>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4E3439"/>
    <w:pPr>
      <w:ind w:firstLine="708"/>
      <w:jc w:val="both"/>
    </w:pPr>
    <w:rPr>
      <w:rFonts w:ascii="Arial" w:eastAsia="Times New Roman" w:hAnsi="Arial"/>
      <w:b/>
      <w:sz w:val="18"/>
      <w:lang w:val="uk-UA" w:eastAsia="uk-UA"/>
    </w:rPr>
  </w:style>
  <w:style w:type="character" w:customStyle="1" w:styleId="csf562b92915">
    <w:name w:val="csf562b92915"/>
    <w:rsid w:val="004E3439"/>
    <w:rPr>
      <w:rFonts w:ascii="Arial" w:hAnsi="Arial" w:cs="Arial" w:hint="default"/>
      <w:b/>
      <w:bCs/>
      <w:i/>
      <w:iCs/>
      <w:color w:val="000000"/>
      <w:sz w:val="18"/>
      <w:szCs w:val="18"/>
      <w:shd w:val="clear" w:color="auto" w:fill="auto"/>
    </w:rPr>
  </w:style>
  <w:style w:type="character" w:customStyle="1" w:styleId="cseed234731">
    <w:name w:val="cseed234731"/>
    <w:rsid w:val="004E3439"/>
    <w:rPr>
      <w:rFonts w:ascii="Arial" w:hAnsi="Arial" w:cs="Arial" w:hint="default"/>
      <w:b/>
      <w:bCs/>
      <w:i/>
      <w:iCs/>
      <w:color w:val="000000"/>
      <w:sz w:val="12"/>
      <w:szCs w:val="12"/>
      <w:shd w:val="clear" w:color="auto" w:fill="auto"/>
    </w:rPr>
  </w:style>
  <w:style w:type="character" w:customStyle="1" w:styleId="csb3e8c9cf35">
    <w:name w:val="csb3e8c9cf35"/>
    <w:rsid w:val="004E3439"/>
    <w:rPr>
      <w:rFonts w:ascii="Arial" w:hAnsi="Arial" w:cs="Arial" w:hint="default"/>
      <w:b/>
      <w:bCs/>
      <w:i w:val="0"/>
      <w:iCs w:val="0"/>
      <w:color w:val="000000"/>
      <w:sz w:val="18"/>
      <w:szCs w:val="18"/>
      <w:shd w:val="clear" w:color="auto" w:fill="auto"/>
    </w:rPr>
  </w:style>
  <w:style w:type="character" w:customStyle="1" w:styleId="csb3e8c9cf28">
    <w:name w:val="csb3e8c9cf28"/>
    <w:rsid w:val="004E3439"/>
    <w:rPr>
      <w:rFonts w:ascii="Arial" w:hAnsi="Arial" w:cs="Arial" w:hint="default"/>
      <w:b/>
      <w:bCs/>
      <w:i w:val="0"/>
      <w:iCs w:val="0"/>
      <w:color w:val="000000"/>
      <w:sz w:val="18"/>
      <w:szCs w:val="18"/>
      <w:shd w:val="clear" w:color="auto" w:fill="auto"/>
    </w:rPr>
  </w:style>
  <w:style w:type="character" w:customStyle="1" w:styleId="csf562b9296">
    <w:name w:val="csf562b9296"/>
    <w:rsid w:val="004E3439"/>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4E3439"/>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4E3439"/>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4E3439"/>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4E3439"/>
    <w:pPr>
      <w:ind w:firstLine="708"/>
      <w:jc w:val="both"/>
    </w:pPr>
    <w:rPr>
      <w:rFonts w:ascii="Arial" w:eastAsia="Times New Roman" w:hAnsi="Arial"/>
      <w:b/>
      <w:sz w:val="18"/>
      <w:lang w:val="uk-UA" w:eastAsia="uk-UA"/>
    </w:rPr>
  </w:style>
  <w:style w:type="character" w:customStyle="1" w:styleId="csab6e076930">
    <w:name w:val="csab6e076930"/>
    <w:rsid w:val="004E3439"/>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4E3439"/>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4E3439"/>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4E3439"/>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4E3439"/>
    <w:pPr>
      <w:ind w:firstLine="708"/>
      <w:jc w:val="both"/>
    </w:pPr>
    <w:rPr>
      <w:rFonts w:ascii="Arial" w:eastAsia="Times New Roman" w:hAnsi="Arial"/>
      <w:b/>
      <w:sz w:val="18"/>
      <w:lang w:val="uk-UA" w:eastAsia="uk-UA"/>
    </w:rPr>
  </w:style>
  <w:style w:type="paragraph" w:customStyle="1" w:styleId="24">
    <w:name w:val="Обычный2"/>
    <w:rsid w:val="004E3439"/>
    <w:rPr>
      <w:rFonts w:ascii="Times New Roman" w:eastAsia="Times New Roman" w:hAnsi="Times New Roman"/>
      <w:sz w:val="24"/>
      <w:lang w:eastAsia="ru-RU"/>
    </w:rPr>
  </w:style>
  <w:style w:type="paragraph" w:customStyle="1" w:styleId="220">
    <w:name w:val="Основной текст с отступом22"/>
    <w:basedOn w:val="a"/>
    <w:rsid w:val="004E3439"/>
    <w:pPr>
      <w:spacing w:before="120" w:after="120"/>
    </w:pPr>
    <w:rPr>
      <w:rFonts w:ascii="Arial" w:eastAsia="Times New Roman" w:hAnsi="Arial"/>
      <w:sz w:val="18"/>
    </w:rPr>
  </w:style>
  <w:style w:type="paragraph" w:customStyle="1" w:styleId="221">
    <w:name w:val="Заголовок 22"/>
    <w:basedOn w:val="a"/>
    <w:rsid w:val="004E3439"/>
    <w:rPr>
      <w:rFonts w:ascii="Arial" w:eastAsia="Times New Roman" w:hAnsi="Arial"/>
      <w:b/>
      <w:caps/>
      <w:sz w:val="16"/>
    </w:rPr>
  </w:style>
  <w:style w:type="paragraph" w:customStyle="1" w:styleId="421">
    <w:name w:val="Заголовок 42"/>
    <w:basedOn w:val="a"/>
    <w:rsid w:val="004E3439"/>
    <w:rPr>
      <w:rFonts w:ascii="Arial" w:eastAsia="Times New Roman" w:hAnsi="Arial"/>
      <w:b/>
    </w:rPr>
  </w:style>
  <w:style w:type="paragraph" w:customStyle="1" w:styleId="3a">
    <w:name w:val="Обычный3"/>
    <w:rsid w:val="004E3439"/>
    <w:rPr>
      <w:rFonts w:ascii="Times New Roman" w:eastAsia="Times New Roman" w:hAnsi="Times New Roman"/>
      <w:sz w:val="24"/>
      <w:lang w:eastAsia="ru-RU"/>
    </w:rPr>
  </w:style>
  <w:style w:type="paragraph" w:customStyle="1" w:styleId="240">
    <w:name w:val="Основной текст с отступом24"/>
    <w:basedOn w:val="a"/>
    <w:rsid w:val="004E3439"/>
    <w:pPr>
      <w:spacing w:before="120" w:after="120"/>
    </w:pPr>
    <w:rPr>
      <w:rFonts w:ascii="Arial" w:eastAsia="Times New Roman" w:hAnsi="Arial"/>
      <w:sz w:val="18"/>
    </w:rPr>
  </w:style>
  <w:style w:type="paragraph" w:customStyle="1" w:styleId="230">
    <w:name w:val="Заголовок 23"/>
    <w:basedOn w:val="a"/>
    <w:rsid w:val="004E3439"/>
    <w:rPr>
      <w:rFonts w:ascii="Arial" w:eastAsia="Times New Roman" w:hAnsi="Arial"/>
      <w:b/>
      <w:caps/>
      <w:sz w:val="16"/>
    </w:rPr>
  </w:style>
  <w:style w:type="paragraph" w:customStyle="1" w:styleId="430">
    <w:name w:val="Заголовок 43"/>
    <w:basedOn w:val="a"/>
    <w:rsid w:val="004E3439"/>
    <w:rPr>
      <w:rFonts w:ascii="Arial" w:eastAsia="Times New Roman" w:hAnsi="Arial"/>
      <w:b/>
    </w:rPr>
  </w:style>
  <w:style w:type="paragraph" w:customStyle="1" w:styleId="BodyTextIndent">
    <w:name w:val="Body Text Indent"/>
    <w:basedOn w:val="a"/>
    <w:rsid w:val="004E3439"/>
    <w:pPr>
      <w:spacing w:before="120" w:after="120"/>
    </w:pPr>
    <w:rPr>
      <w:rFonts w:ascii="Arial" w:eastAsia="Times New Roman" w:hAnsi="Arial"/>
      <w:sz w:val="18"/>
    </w:rPr>
  </w:style>
  <w:style w:type="paragraph" w:customStyle="1" w:styleId="Heading2">
    <w:name w:val="Heading 2"/>
    <w:basedOn w:val="a"/>
    <w:rsid w:val="004E3439"/>
    <w:rPr>
      <w:rFonts w:ascii="Arial" w:eastAsia="Times New Roman" w:hAnsi="Arial"/>
      <w:b/>
      <w:caps/>
      <w:sz w:val="16"/>
    </w:rPr>
  </w:style>
  <w:style w:type="paragraph" w:customStyle="1" w:styleId="Heading4">
    <w:name w:val="Heading 4"/>
    <w:basedOn w:val="a"/>
    <w:rsid w:val="004E3439"/>
    <w:rPr>
      <w:rFonts w:ascii="Arial" w:eastAsia="Times New Roman" w:hAnsi="Arial"/>
      <w:b/>
    </w:rPr>
  </w:style>
  <w:style w:type="paragraph" w:customStyle="1" w:styleId="62">
    <w:name w:val="Основной текст с отступом62"/>
    <w:basedOn w:val="a"/>
    <w:rsid w:val="004E3439"/>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4E3439"/>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4E3439"/>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4E3439"/>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4E3439"/>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4E3439"/>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4E3439"/>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4E3439"/>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4E3439"/>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4E3439"/>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4E3439"/>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4E3439"/>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4E3439"/>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4E3439"/>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4E3439"/>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4E3439"/>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4E3439"/>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4E3439"/>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4E3439"/>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4E3439"/>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4E3439"/>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4E3439"/>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4E3439"/>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4E3439"/>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4E3439"/>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4E3439"/>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4E3439"/>
    <w:pPr>
      <w:ind w:firstLine="708"/>
      <w:jc w:val="both"/>
    </w:pPr>
    <w:rPr>
      <w:rFonts w:ascii="Arial" w:eastAsia="Times New Roman" w:hAnsi="Arial"/>
      <w:b/>
      <w:sz w:val="18"/>
      <w:lang w:val="uk-UA" w:eastAsia="uk-UA"/>
    </w:rPr>
  </w:style>
  <w:style w:type="character" w:customStyle="1" w:styleId="csab6e076965">
    <w:name w:val="csab6e076965"/>
    <w:rsid w:val="004E3439"/>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4E3439"/>
    <w:pPr>
      <w:ind w:firstLine="708"/>
      <w:jc w:val="both"/>
    </w:pPr>
    <w:rPr>
      <w:rFonts w:ascii="Arial" w:eastAsia="Times New Roman" w:hAnsi="Arial"/>
      <w:b/>
      <w:sz w:val="18"/>
      <w:lang w:val="uk-UA" w:eastAsia="uk-UA"/>
    </w:rPr>
  </w:style>
  <w:style w:type="character" w:customStyle="1" w:styleId="csf229d0ff33">
    <w:name w:val="csf229d0ff33"/>
    <w:rsid w:val="004E3439"/>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4E3439"/>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4E3439"/>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4E3439"/>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4E3439"/>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4E3439"/>
    <w:pPr>
      <w:ind w:firstLine="708"/>
      <w:jc w:val="both"/>
    </w:pPr>
    <w:rPr>
      <w:rFonts w:ascii="Arial" w:eastAsia="Times New Roman" w:hAnsi="Arial"/>
      <w:b/>
      <w:sz w:val="18"/>
      <w:lang w:val="uk-UA" w:eastAsia="uk-UA"/>
    </w:rPr>
  </w:style>
  <w:style w:type="character" w:customStyle="1" w:styleId="csab6e076920">
    <w:name w:val="csab6e076920"/>
    <w:rsid w:val="004E3439"/>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4E3439"/>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4E3439"/>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4E3439"/>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4E3439"/>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4E3439"/>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4E3439"/>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4E3439"/>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4E3439"/>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4E3439"/>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4E3439"/>
    <w:pPr>
      <w:ind w:firstLine="708"/>
      <w:jc w:val="both"/>
    </w:pPr>
    <w:rPr>
      <w:rFonts w:ascii="Arial" w:eastAsia="Times New Roman" w:hAnsi="Arial"/>
      <w:b/>
      <w:sz w:val="18"/>
      <w:lang w:val="uk-UA" w:eastAsia="uk-UA"/>
    </w:rPr>
  </w:style>
  <w:style w:type="character" w:customStyle="1" w:styleId="csf229d0ff50">
    <w:name w:val="csf229d0ff50"/>
    <w:rsid w:val="004E3439"/>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4E3439"/>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4E3439"/>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4E3439"/>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4E3439"/>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4E3439"/>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4E3439"/>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4E3439"/>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4E3439"/>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4E3439"/>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4E3439"/>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4E3439"/>
    <w:pPr>
      <w:ind w:firstLine="708"/>
      <w:jc w:val="both"/>
    </w:pPr>
    <w:rPr>
      <w:rFonts w:ascii="Arial" w:eastAsia="Times New Roman" w:hAnsi="Arial"/>
      <w:b/>
      <w:sz w:val="18"/>
      <w:lang w:val="uk-UA" w:eastAsia="uk-UA"/>
    </w:rPr>
  </w:style>
  <w:style w:type="character" w:customStyle="1" w:styleId="csf229d0ff83">
    <w:name w:val="csf229d0ff83"/>
    <w:rsid w:val="004E3439"/>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4E3439"/>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4E3439"/>
    <w:pPr>
      <w:ind w:firstLine="708"/>
      <w:jc w:val="both"/>
    </w:pPr>
    <w:rPr>
      <w:rFonts w:ascii="Arial" w:eastAsia="Times New Roman" w:hAnsi="Arial"/>
      <w:b/>
      <w:sz w:val="18"/>
      <w:lang w:val="uk-UA" w:eastAsia="uk-UA"/>
    </w:rPr>
  </w:style>
  <w:style w:type="character" w:customStyle="1" w:styleId="csf229d0ff76">
    <w:name w:val="csf229d0ff76"/>
    <w:rsid w:val="004E3439"/>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4E3439"/>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4E3439"/>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4E3439"/>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4E3439"/>
    <w:pPr>
      <w:ind w:firstLine="708"/>
      <w:jc w:val="both"/>
    </w:pPr>
    <w:rPr>
      <w:rFonts w:ascii="Arial" w:eastAsia="Times New Roman" w:hAnsi="Arial"/>
      <w:b/>
      <w:sz w:val="18"/>
      <w:lang w:val="uk-UA" w:eastAsia="uk-UA"/>
    </w:rPr>
  </w:style>
  <w:style w:type="character" w:customStyle="1" w:styleId="csf229d0ff20">
    <w:name w:val="csf229d0ff20"/>
    <w:rsid w:val="004E3439"/>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4E3439"/>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4E3439"/>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4E3439"/>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4E3439"/>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4E3439"/>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4E3439"/>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4E3439"/>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4E3439"/>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4E3439"/>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4E3439"/>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4E3439"/>
    <w:pPr>
      <w:ind w:firstLine="708"/>
      <w:jc w:val="both"/>
    </w:pPr>
    <w:rPr>
      <w:rFonts w:ascii="Arial" w:eastAsia="Times New Roman" w:hAnsi="Arial"/>
      <w:b/>
      <w:sz w:val="18"/>
      <w:lang w:val="uk-UA" w:eastAsia="uk-UA"/>
    </w:rPr>
  </w:style>
  <w:style w:type="character" w:customStyle="1" w:styleId="csab6e07697">
    <w:name w:val="csab6e07697"/>
    <w:rsid w:val="004E3439"/>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4E3439"/>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4E3439"/>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4E3439"/>
    <w:pPr>
      <w:ind w:firstLine="708"/>
      <w:jc w:val="both"/>
    </w:pPr>
    <w:rPr>
      <w:rFonts w:ascii="Arial" w:eastAsia="Times New Roman" w:hAnsi="Arial"/>
      <w:b/>
      <w:sz w:val="18"/>
      <w:lang w:val="uk-UA" w:eastAsia="uk-UA"/>
    </w:rPr>
  </w:style>
  <w:style w:type="character" w:customStyle="1" w:styleId="csb3e8c9cf94">
    <w:name w:val="csb3e8c9cf94"/>
    <w:rsid w:val="004E3439"/>
    <w:rPr>
      <w:rFonts w:ascii="Arial" w:hAnsi="Arial" w:cs="Arial" w:hint="default"/>
      <w:b/>
      <w:bCs/>
      <w:i w:val="0"/>
      <w:iCs w:val="0"/>
      <w:color w:val="000000"/>
      <w:sz w:val="18"/>
      <w:szCs w:val="18"/>
      <w:shd w:val="clear" w:color="auto" w:fill="auto"/>
    </w:rPr>
  </w:style>
  <w:style w:type="character" w:customStyle="1" w:styleId="csf229d0ff91">
    <w:name w:val="csf229d0ff91"/>
    <w:rsid w:val="004E3439"/>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4E3439"/>
    <w:rPr>
      <w:rFonts w:ascii="Arial" w:eastAsia="Times New Roman" w:hAnsi="Arial"/>
      <w:b/>
      <w:caps/>
      <w:sz w:val="16"/>
      <w:lang w:val="ru-RU" w:eastAsia="ru-RU"/>
    </w:rPr>
  </w:style>
  <w:style w:type="character" w:customStyle="1" w:styleId="411">
    <w:name w:val="Заголовок 4 Знак1"/>
    <w:uiPriority w:val="9"/>
    <w:locked/>
    <w:rsid w:val="004E3439"/>
    <w:rPr>
      <w:rFonts w:ascii="Arial" w:eastAsia="Times New Roman" w:hAnsi="Arial"/>
      <w:b/>
      <w:lang w:val="ru-RU" w:eastAsia="ru-RU"/>
    </w:rPr>
  </w:style>
  <w:style w:type="character" w:customStyle="1" w:styleId="csf229d0ff74">
    <w:name w:val="csf229d0ff74"/>
    <w:rsid w:val="004E3439"/>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4E3439"/>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4E3439"/>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E3439"/>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E3439"/>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4E3439"/>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4E3439"/>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4E3439"/>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4E3439"/>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4E3439"/>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4E3439"/>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4E3439"/>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4E3439"/>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4E343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4E3439"/>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4E3439"/>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4E3439"/>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4E3439"/>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4E3439"/>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4E3439"/>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4E3439"/>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4E3439"/>
    <w:rPr>
      <w:rFonts w:ascii="Arial" w:hAnsi="Arial" w:cs="Arial" w:hint="default"/>
      <w:b w:val="0"/>
      <w:bCs w:val="0"/>
      <w:i w:val="0"/>
      <w:iCs w:val="0"/>
      <w:color w:val="000000"/>
      <w:sz w:val="18"/>
      <w:szCs w:val="18"/>
      <w:shd w:val="clear" w:color="auto" w:fill="auto"/>
    </w:rPr>
  </w:style>
  <w:style w:type="character" w:customStyle="1" w:styleId="csba294252">
    <w:name w:val="csba294252"/>
    <w:rsid w:val="004E3439"/>
    <w:rPr>
      <w:rFonts w:ascii="Segoe UI" w:hAnsi="Segoe UI" w:cs="Segoe UI" w:hint="default"/>
      <w:b/>
      <w:bCs/>
      <w:i/>
      <w:iCs/>
      <w:color w:val="102B56"/>
      <w:sz w:val="18"/>
      <w:szCs w:val="18"/>
      <w:shd w:val="clear" w:color="auto" w:fill="auto"/>
    </w:rPr>
  </w:style>
  <w:style w:type="character" w:customStyle="1" w:styleId="csf229d0ff131">
    <w:name w:val="csf229d0ff131"/>
    <w:rsid w:val="004E3439"/>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4E3439"/>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4E3439"/>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4E3439"/>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4E3439"/>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4E3439"/>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4E3439"/>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4E3439"/>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4E3439"/>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4E3439"/>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4E3439"/>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4E3439"/>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4E3439"/>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4E3439"/>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4E3439"/>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4E3439"/>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4E3439"/>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4E3439"/>
    <w:rPr>
      <w:rFonts w:ascii="Arial" w:hAnsi="Arial" w:cs="Arial" w:hint="default"/>
      <w:b/>
      <w:bCs/>
      <w:i/>
      <w:iCs/>
      <w:color w:val="000000"/>
      <w:sz w:val="18"/>
      <w:szCs w:val="18"/>
      <w:shd w:val="clear" w:color="auto" w:fill="auto"/>
    </w:rPr>
  </w:style>
  <w:style w:type="character" w:customStyle="1" w:styleId="csf229d0ff144">
    <w:name w:val="csf229d0ff144"/>
    <w:rsid w:val="004E3439"/>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4E3439"/>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4E3439"/>
    <w:rPr>
      <w:rFonts w:ascii="Arial" w:hAnsi="Arial" w:cs="Arial" w:hint="default"/>
      <w:b/>
      <w:bCs/>
      <w:i/>
      <w:iCs/>
      <w:color w:val="000000"/>
      <w:sz w:val="18"/>
      <w:szCs w:val="18"/>
      <w:shd w:val="clear" w:color="auto" w:fill="auto"/>
    </w:rPr>
  </w:style>
  <w:style w:type="character" w:customStyle="1" w:styleId="csf229d0ff122">
    <w:name w:val="csf229d0ff122"/>
    <w:rsid w:val="004E343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4E343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4E343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4E343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4E343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4E3439"/>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4E3439"/>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4E3439"/>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E343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4E3439"/>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4E3439"/>
    <w:rPr>
      <w:rFonts w:ascii="Arial" w:hAnsi="Arial" w:cs="Arial"/>
      <w:sz w:val="18"/>
      <w:szCs w:val="18"/>
      <w:lang w:val="ru-RU"/>
    </w:rPr>
  </w:style>
  <w:style w:type="paragraph" w:customStyle="1" w:styleId="Arial90">
    <w:name w:val="Arial9(без отступов)"/>
    <w:link w:val="Arial9"/>
    <w:semiHidden/>
    <w:rsid w:val="004E3439"/>
    <w:pPr>
      <w:ind w:left="-113"/>
    </w:pPr>
    <w:rPr>
      <w:rFonts w:ascii="Arial" w:hAnsi="Arial" w:cs="Arial"/>
      <w:sz w:val="18"/>
      <w:szCs w:val="18"/>
      <w:lang w:val="ru-RU" w:eastAsia="en-US"/>
    </w:rPr>
  </w:style>
  <w:style w:type="character" w:customStyle="1" w:styleId="csf229d0ff178">
    <w:name w:val="csf229d0ff178"/>
    <w:rsid w:val="004E3439"/>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4E3439"/>
    <w:rPr>
      <w:rFonts w:ascii="Arial" w:hAnsi="Arial" w:cs="Arial" w:hint="default"/>
      <w:b/>
      <w:bCs/>
      <w:i w:val="0"/>
      <w:iCs w:val="0"/>
      <w:color w:val="000000"/>
      <w:sz w:val="18"/>
      <w:szCs w:val="18"/>
      <w:shd w:val="clear" w:color="auto" w:fill="auto"/>
    </w:rPr>
  </w:style>
  <w:style w:type="character" w:customStyle="1" w:styleId="csf229d0ff8">
    <w:name w:val="csf229d0ff8"/>
    <w:rsid w:val="004E3439"/>
    <w:rPr>
      <w:rFonts w:ascii="Arial" w:hAnsi="Arial" w:cs="Arial" w:hint="default"/>
      <w:b w:val="0"/>
      <w:bCs w:val="0"/>
      <w:i w:val="0"/>
      <w:iCs w:val="0"/>
      <w:color w:val="000000"/>
      <w:sz w:val="18"/>
      <w:szCs w:val="18"/>
      <w:shd w:val="clear" w:color="auto" w:fill="auto"/>
    </w:rPr>
  </w:style>
  <w:style w:type="character" w:customStyle="1" w:styleId="cs9b006263">
    <w:name w:val="cs9b006263"/>
    <w:rsid w:val="004E3439"/>
    <w:rPr>
      <w:rFonts w:ascii="Arial" w:hAnsi="Arial" w:cs="Arial" w:hint="default"/>
      <w:b/>
      <w:bCs/>
      <w:i w:val="0"/>
      <w:iCs w:val="0"/>
      <w:color w:val="000000"/>
      <w:sz w:val="20"/>
      <w:szCs w:val="20"/>
      <w:shd w:val="clear" w:color="auto" w:fill="auto"/>
    </w:rPr>
  </w:style>
  <w:style w:type="character" w:customStyle="1" w:styleId="csf229d0ff36">
    <w:name w:val="csf229d0ff36"/>
    <w:rsid w:val="004E3439"/>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4E3439"/>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4E3439"/>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4E3439"/>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4E3439"/>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4E3439"/>
    <w:pPr>
      <w:snapToGrid w:val="0"/>
      <w:ind w:left="720"/>
      <w:contextualSpacing/>
    </w:pPr>
    <w:rPr>
      <w:rFonts w:ascii="Arial" w:eastAsia="Times New Roman" w:hAnsi="Arial"/>
      <w:sz w:val="28"/>
    </w:rPr>
  </w:style>
  <w:style w:type="character" w:customStyle="1" w:styleId="csf229d0ff102">
    <w:name w:val="csf229d0ff102"/>
    <w:rsid w:val="004E3439"/>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4E3439"/>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4E3439"/>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4E3439"/>
    <w:rPr>
      <w:rFonts w:ascii="Arial" w:hAnsi="Arial" w:cs="Arial" w:hint="default"/>
      <w:b/>
      <w:bCs/>
      <w:i/>
      <w:iCs/>
      <w:color w:val="000000"/>
      <w:sz w:val="18"/>
      <w:szCs w:val="18"/>
      <w:shd w:val="clear" w:color="auto" w:fill="auto"/>
    </w:rPr>
  </w:style>
  <w:style w:type="character" w:customStyle="1" w:styleId="csf229d0ff142">
    <w:name w:val="csf229d0ff142"/>
    <w:rsid w:val="004E3439"/>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4E3439"/>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4E3439"/>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4E3439"/>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4E3439"/>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4E3439"/>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4E3439"/>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4E3439"/>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4E3439"/>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4E3439"/>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4E3439"/>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4E3439"/>
    <w:rPr>
      <w:rFonts w:ascii="Arial" w:hAnsi="Arial" w:cs="Arial" w:hint="default"/>
      <w:b/>
      <w:bCs/>
      <w:i w:val="0"/>
      <w:iCs w:val="0"/>
      <w:color w:val="000000"/>
      <w:sz w:val="18"/>
      <w:szCs w:val="18"/>
      <w:shd w:val="clear" w:color="auto" w:fill="auto"/>
    </w:rPr>
  </w:style>
  <w:style w:type="character" w:customStyle="1" w:styleId="csf229d0ff107">
    <w:name w:val="csf229d0ff107"/>
    <w:rsid w:val="004E3439"/>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4E3439"/>
    <w:rPr>
      <w:rFonts w:ascii="Arial" w:hAnsi="Arial" w:cs="Arial" w:hint="default"/>
      <w:b/>
      <w:bCs/>
      <w:i/>
      <w:iCs/>
      <w:color w:val="000000"/>
      <w:sz w:val="18"/>
      <w:szCs w:val="18"/>
      <w:shd w:val="clear" w:color="auto" w:fill="auto"/>
    </w:rPr>
  </w:style>
  <w:style w:type="character" w:customStyle="1" w:styleId="csab6e076993">
    <w:name w:val="csab6e076993"/>
    <w:rsid w:val="004E343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4E3439"/>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4E3439"/>
    <w:rPr>
      <w:rFonts w:ascii="Arial" w:hAnsi="Arial"/>
      <w:sz w:val="18"/>
      <w:lang w:val="x-none" w:eastAsia="ru-RU"/>
    </w:rPr>
  </w:style>
  <w:style w:type="paragraph" w:customStyle="1" w:styleId="Arial960">
    <w:name w:val="Arial9+6пт"/>
    <w:basedOn w:val="a"/>
    <w:link w:val="Arial96"/>
    <w:rsid w:val="004E3439"/>
    <w:pPr>
      <w:snapToGrid w:val="0"/>
      <w:spacing w:before="120"/>
    </w:pPr>
    <w:rPr>
      <w:rFonts w:ascii="Arial" w:hAnsi="Arial"/>
      <w:sz w:val="18"/>
      <w:lang w:val="x-none"/>
    </w:rPr>
  </w:style>
  <w:style w:type="character" w:customStyle="1" w:styleId="csf229d0ff86">
    <w:name w:val="csf229d0ff86"/>
    <w:rsid w:val="004E3439"/>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4E3439"/>
    <w:rPr>
      <w:rFonts w:ascii="Segoe UI" w:hAnsi="Segoe UI" w:cs="Segoe UI" w:hint="default"/>
      <w:b/>
      <w:bCs/>
      <w:i/>
      <w:iCs/>
      <w:color w:val="102B56"/>
      <w:sz w:val="18"/>
      <w:szCs w:val="18"/>
      <w:shd w:val="clear" w:color="auto" w:fill="auto"/>
    </w:rPr>
  </w:style>
  <w:style w:type="character" w:customStyle="1" w:styleId="csab6e076914">
    <w:name w:val="csab6e076914"/>
    <w:rsid w:val="004E3439"/>
    <w:rPr>
      <w:rFonts w:ascii="Arial" w:hAnsi="Arial" w:cs="Arial" w:hint="default"/>
      <w:b w:val="0"/>
      <w:bCs w:val="0"/>
      <w:i w:val="0"/>
      <w:iCs w:val="0"/>
      <w:color w:val="000000"/>
      <w:sz w:val="18"/>
      <w:szCs w:val="18"/>
    </w:rPr>
  </w:style>
  <w:style w:type="character" w:customStyle="1" w:styleId="csf229d0ff134">
    <w:name w:val="csf229d0ff134"/>
    <w:rsid w:val="004E3439"/>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4E3439"/>
    <w:rPr>
      <w:rFonts w:ascii="Arial" w:hAnsi="Arial" w:cs="Arial" w:hint="default"/>
      <w:b/>
      <w:bCs/>
      <w:i/>
      <w:iCs/>
      <w:color w:val="000000"/>
      <w:sz w:val="20"/>
      <w:szCs w:val="20"/>
      <w:shd w:val="clear" w:color="auto" w:fill="auto"/>
    </w:rPr>
  </w:style>
  <w:style w:type="character" w:styleId="af6">
    <w:name w:val="FollowedHyperlink"/>
    <w:uiPriority w:val="99"/>
    <w:unhideWhenUsed/>
    <w:rsid w:val="004E3439"/>
    <w:rPr>
      <w:color w:val="954F72"/>
      <w:u w:val="single"/>
    </w:rPr>
  </w:style>
  <w:style w:type="paragraph" w:customStyle="1" w:styleId="msonormal0">
    <w:name w:val="msonormal"/>
    <w:basedOn w:val="a"/>
    <w:rsid w:val="004E3439"/>
    <w:pPr>
      <w:spacing w:before="100" w:beforeAutospacing="1" w:after="100" w:afterAutospacing="1"/>
    </w:pPr>
    <w:rPr>
      <w:sz w:val="24"/>
      <w:szCs w:val="24"/>
      <w:lang w:val="en-US" w:eastAsia="en-US"/>
    </w:rPr>
  </w:style>
  <w:style w:type="paragraph" w:styleId="af7">
    <w:name w:val="Title"/>
    <w:basedOn w:val="a"/>
    <w:link w:val="af8"/>
    <w:uiPriority w:val="99"/>
    <w:qFormat/>
    <w:rsid w:val="004E3439"/>
    <w:rPr>
      <w:sz w:val="24"/>
      <w:szCs w:val="24"/>
      <w:lang w:val="en-US" w:eastAsia="en-US"/>
    </w:rPr>
  </w:style>
  <w:style w:type="character" w:customStyle="1" w:styleId="af8">
    <w:name w:val="Заголовок Знак"/>
    <w:link w:val="af7"/>
    <w:uiPriority w:val="99"/>
    <w:rsid w:val="004E3439"/>
    <w:rPr>
      <w:rFonts w:ascii="Times New Roman" w:hAnsi="Times New Roman"/>
      <w:sz w:val="24"/>
      <w:szCs w:val="24"/>
    </w:rPr>
  </w:style>
  <w:style w:type="paragraph" w:styleId="25">
    <w:name w:val="Body Text 2"/>
    <w:basedOn w:val="a"/>
    <w:link w:val="27"/>
    <w:uiPriority w:val="99"/>
    <w:unhideWhenUsed/>
    <w:rsid w:val="004E3439"/>
    <w:rPr>
      <w:sz w:val="24"/>
      <w:szCs w:val="24"/>
      <w:lang w:val="en-US" w:eastAsia="en-US"/>
    </w:rPr>
  </w:style>
  <w:style w:type="character" w:customStyle="1" w:styleId="27">
    <w:name w:val="Основной текст 2 Знак"/>
    <w:link w:val="25"/>
    <w:uiPriority w:val="99"/>
    <w:rsid w:val="004E3439"/>
    <w:rPr>
      <w:rFonts w:ascii="Times New Roman" w:hAnsi="Times New Roman"/>
      <w:sz w:val="24"/>
      <w:szCs w:val="24"/>
    </w:rPr>
  </w:style>
  <w:style w:type="character" w:customStyle="1" w:styleId="af9">
    <w:name w:val="Название Знак"/>
    <w:link w:val="afa"/>
    <w:locked/>
    <w:rsid w:val="004E3439"/>
    <w:rPr>
      <w:rFonts w:ascii="Cambria" w:hAnsi="Cambria"/>
      <w:color w:val="17365D"/>
      <w:spacing w:val="5"/>
    </w:rPr>
  </w:style>
  <w:style w:type="paragraph" w:customStyle="1" w:styleId="afa">
    <w:name w:val="Название"/>
    <w:basedOn w:val="a"/>
    <w:link w:val="af9"/>
    <w:rsid w:val="004E3439"/>
    <w:rPr>
      <w:rFonts w:ascii="Cambria" w:hAnsi="Cambria"/>
      <w:color w:val="17365D"/>
      <w:spacing w:val="5"/>
      <w:lang w:val="en-US" w:eastAsia="en-US"/>
    </w:rPr>
  </w:style>
  <w:style w:type="character" w:customStyle="1" w:styleId="afb">
    <w:name w:val="Верхній колонтитул Знак"/>
    <w:link w:val="1a"/>
    <w:uiPriority w:val="99"/>
    <w:locked/>
    <w:rsid w:val="004E3439"/>
  </w:style>
  <w:style w:type="paragraph" w:customStyle="1" w:styleId="1a">
    <w:name w:val="Верхній колонтитул1"/>
    <w:basedOn w:val="a"/>
    <w:link w:val="afb"/>
    <w:uiPriority w:val="99"/>
    <w:rsid w:val="004E3439"/>
    <w:rPr>
      <w:rFonts w:ascii="Calibri" w:hAnsi="Calibri"/>
      <w:lang w:val="en-US" w:eastAsia="en-US"/>
    </w:rPr>
  </w:style>
  <w:style w:type="character" w:customStyle="1" w:styleId="afc">
    <w:name w:val="Нижній колонтитул Знак"/>
    <w:link w:val="1b"/>
    <w:uiPriority w:val="99"/>
    <w:locked/>
    <w:rsid w:val="004E3439"/>
  </w:style>
  <w:style w:type="paragraph" w:customStyle="1" w:styleId="1b">
    <w:name w:val="Нижній колонтитул1"/>
    <w:basedOn w:val="a"/>
    <w:link w:val="afc"/>
    <w:uiPriority w:val="99"/>
    <w:rsid w:val="004E3439"/>
    <w:rPr>
      <w:rFonts w:ascii="Calibri" w:hAnsi="Calibri"/>
      <w:lang w:val="en-US" w:eastAsia="en-US"/>
    </w:rPr>
  </w:style>
  <w:style w:type="character" w:customStyle="1" w:styleId="afd">
    <w:name w:val="Назва Знак"/>
    <w:link w:val="1c"/>
    <w:locked/>
    <w:rsid w:val="004E3439"/>
    <w:rPr>
      <w:rFonts w:ascii="Calibri Light" w:hAnsi="Calibri Light" w:cs="Calibri Light"/>
      <w:spacing w:val="-10"/>
    </w:rPr>
  </w:style>
  <w:style w:type="paragraph" w:customStyle="1" w:styleId="1c">
    <w:name w:val="Назва1"/>
    <w:basedOn w:val="a"/>
    <w:link w:val="afd"/>
    <w:rsid w:val="004E3439"/>
    <w:rPr>
      <w:rFonts w:ascii="Calibri Light" w:hAnsi="Calibri Light" w:cs="Calibri Light"/>
      <w:spacing w:val="-10"/>
      <w:lang w:val="en-US" w:eastAsia="en-US"/>
    </w:rPr>
  </w:style>
  <w:style w:type="character" w:customStyle="1" w:styleId="2a">
    <w:name w:val="Основний текст 2 Знак"/>
    <w:link w:val="212"/>
    <w:locked/>
    <w:rsid w:val="004E3439"/>
  </w:style>
  <w:style w:type="paragraph" w:customStyle="1" w:styleId="212">
    <w:name w:val="Основний текст 21"/>
    <w:basedOn w:val="a"/>
    <w:link w:val="2a"/>
    <w:rsid w:val="004E3439"/>
    <w:rPr>
      <w:rFonts w:ascii="Calibri" w:hAnsi="Calibri"/>
      <w:lang w:val="en-US" w:eastAsia="en-US"/>
    </w:rPr>
  </w:style>
  <w:style w:type="character" w:customStyle="1" w:styleId="afe">
    <w:name w:val="Текст у виносці Знак"/>
    <w:link w:val="1d"/>
    <w:locked/>
    <w:rsid w:val="004E3439"/>
    <w:rPr>
      <w:rFonts w:ascii="Segoe UI" w:hAnsi="Segoe UI" w:cs="Segoe UI"/>
    </w:rPr>
  </w:style>
  <w:style w:type="paragraph" w:customStyle="1" w:styleId="1d">
    <w:name w:val="Текст у виносці1"/>
    <w:basedOn w:val="a"/>
    <w:link w:val="afe"/>
    <w:rsid w:val="004E3439"/>
    <w:rPr>
      <w:rFonts w:ascii="Segoe UI" w:hAnsi="Segoe UI" w:cs="Segoe UI"/>
      <w:lang w:val="en-US" w:eastAsia="en-US"/>
    </w:rPr>
  </w:style>
  <w:style w:type="character" w:customStyle="1" w:styleId="emailstyle45">
    <w:name w:val="emailstyle45"/>
    <w:semiHidden/>
    <w:rsid w:val="004E3439"/>
    <w:rPr>
      <w:rFonts w:ascii="Calibri" w:hAnsi="Calibri" w:cs="Calibri" w:hint="default"/>
      <w:color w:val="auto"/>
    </w:rPr>
  </w:style>
  <w:style w:type="character" w:customStyle="1" w:styleId="error">
    <w:name w:val="error"/>
    <w:rsid w:val="004E3439"/>
  </w:style>
  <w:style w:type="character" w:customStyle="1" w:styleId="TimesNewRoman121">
    <w:name w:val="Стиль Times New Roman 12 пт1"/>
    <w:rsid w:val="004E3439"/>
    <w:rPr>
      <w:rFonts w:ascii="Times New Roman" w:hAnsi="Times New Roman" w:cs="Times New Roman" w:hint="default"/>
    </w:rPr>
  </w:style>
  <w:style w:type="character" w:customStyle="1" w:styleId="csccf5e31620">
    <w:name w:val="csccf5e31620"/>
    <w:rsid w:val="004E3439"/>
    <w:rPr>
      <w:rFonts w:ascii="Arial" w:hAnsi="Arial" w:cs="Arial" w:hint="default"/>
      <w:b/>
      <w:bCs/>
      <w:i w:val="0"/>
      <w:iCs w:val="0"/>
      <w:color w:val="000000"/>
      <w:sz w:val="18"/>
      <w:szCs w:val="18"/>
      <w:shd w:val="clear" w:color="auto" w:fill="auto"/>
    </w:rPr>
  </w:style>
  <w:style w:type="character" w:customStyle="1" w:styleId="cs9ff1b61120">
    <w:name w:val="cs9ff1b61120"/>
    <w:rsid w:val="004E3439"/>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4E3439"/>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4E3439"/>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4E3439"/>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4E3439"/>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4E3439"/>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4E3439"/>
    <w:rPr>
      <w:rFonts w:ascii="Arial" w:hAnsi="Arial" w:cs="Arial" w:hint="default"/>
      <w:b/>
      <w:bCs/>
      <w:i w:val="0"/>
      <w:iCs w:val="0"/>
      <w:color w:val="000000"/>
      <w:sz w:val="18"/>
      <w:szCs w:val="18"/>
      <w:shd w:val="clear" w:color="auto" w:fill="auto"/>
    </w:rPr>
  </w:style>
  <w:style w:type="character" w:customStyle="1" w:styleId="cs9ff1b611210">
    <w:name w:val="cs9ff1b611210"/>
    <w:rsid w:val="004E3439"/>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4E34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4E3439"/>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4E3439"/>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4E3439"/>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4E3439"/>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4E3439"/>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4E3439"/>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4E3439"/>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4E3439"/>
    <w:pPr>
      <w:ind w:firstLine="708"/>
      <w:jc w:val="both"/>
    </w:pPr>
    <w:rPr>
      <w:rFonts w:ascii="Arial" w:eastAsia="Times New Roman" w:hAnsi="Arial"/>
      <w:b/>
      <w:sz w:val="18"/>
      <w:lang w:val="en-US" w:eastAsia="en-US"/>
    </w:rPr>
  </w:style>
  <w:style w:type="character" w:customStyle="1" w:styleId="cs9ff1b61152">
    <w:name w:val="cs9ff1b61152"/>
    <w:rsid w:val="004E3439"/>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E3439"/>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4E3439"/>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4E3439"/>
    <w:pPr>
      <w:ind w:firstLine="708"/>
      <w:jc w:val="both"/>
    </w:pPr>
    <w:rPr>
      <w:rFonts w:ascii="Arial" w:eastAsia="Times New Roman" w:hAnsi="Arial"/>
      <w:b/>
      <w:sz w:val="18"/>
      <w:lang w:val="en-US" w:eastAsia="en-US"/>
    </w:rPr>
  </w:style>
  <w:style w:type="character" w:customStyle="1" w:styleId="cse1a752c62">
    <w:name w:val="cse1a752c62"/>
    <w:rsid w:val="004E3439"/>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4E3439"/>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4E3439"/>
    <w:pPr>
      <w:ind w:firstLine="708"/>
      <w:jc w:val="both"/>
    </w:pPr>
    <w:rPr>
      <w:rFonts w:ascii="Arial" w:eastAsia="Times New Roman" w:hAnsi="Arial"/>
      <w:b/>
      <w:sz w:val="18"/>
      <w:lang w:val="en-US" w:eastAsia="en-US"/>
    </w:rPr>
  </w:style>
  <w:style w:type="character" w:customStyle="1" w:styleId="cs9ff1b61138">
    <w:name w:val="cs9ff1b61138"/>
    <w:rsid w:val="004E3439"/>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4E3439"/>
    <w:rPr>
      <w:rFonts w:ascii="Times New Roman" w:hAnsi="Times New Roman" w:cs="Times New Roman" w:hint="default"/>
      <w:b w:val="0"/>
      <w:bCs w:val="0"/>
      <w:i/>
      <w:iCs/>
      <w:color w:val="000000"/>
      <w:sz w:val="18"/>
      <w:szCs w:val="18"/>
    </w:rPr>
  </w:style>
  <w:style w:type="character" w:customStyle="1" w:styleId="cs176e94eb2">
    <w:name w:val="cs176e94eb2"/>
    <w:rsid w:val="004E3439"/>
    <w:rPr>
      <w:rFonts w:ascii="Times New Roman" w:hAnsi="Times New Roman" w:cs="Times New Roman" w:hint="default"/>
      <w:b/>
      <w:bCs/>
      <w:i w:val="0"/>
      <w:iCs w:val="0"/>
      <w:color w:val="000000"/>
      <w:sz w:val="18"/>
      <w:szCs w:val="18"/>
    </w:rPr>
  </w:style>
  <w:style w:type="character" w:customStyle="1" w:styleId="cscc47389a2">
    <w:name w:val="cscc47389a2"/>
    <w:rsid w:val="004E3439"/>
    <w:rPr>
      <w:rFonts w:ascii="Times New Roman" w:hAnsi="Times New Roman" w:cs="Times New Roman" w:hint="default"/>
      <w:b w:val="0"/>
      <w:bCs w:val="0"/>
      <w:i w:val="0"/>
      <w:iCs w:val="0"/>
      <w:color w:val="000000"/>
      <w:sz w:val="18"/>
      <w:szCs w:val="18"/>
    </w:rPr>
  </w:style>
  <w:style w:type="character" w:customStyle="1" w:styleId="csbd30b5e54">
    <w:name w:val="csbd30b5e54"/>
    <w:rsid w:val="004E3439"/>
    <w:rPr>
      <w:rFonts w:ascii="Times New Roman" w:hAnsi="Times New Roman" w:cs="Times New Roman" w:hint="default"/>
      <w:b w:val="0"/>
      <w:bCs w:val="0"/>
      <w:i/>
      <w:iCs/>
      <w:color w:val="000000"/>
      <w:sz w:val="18"/>
      <w:szCs w:val="18"/>
    </w:rPr>
  </w:style>
  <w:style w:type="character" w:customStyle="1" w:styleId="cs176e94eb4">
    <w:name w:val="cs176e94eb4"/>
    <w:rsid w:val="004E3439"/>
    <w:rPr>
      <w:rFonts w:ascii="Times New Roman" w:hAnsi="Times New Roman" w:cs="Times New Roman" w:hint="default"/>
      <w:b/>
      <w:bCs/>
      <w:i w:val="0"/>
      <w:iCs w:val="0"/>
      <w:color w:val="000000"/>
      <w:sz w:val="18"/>
      <w:szCs w:val="18"/>
    </w:rPr>
  </w:style>
  <w:style w:type="character" w:customStyle="1" w:styleId="cscc47389a4">
    <w:name w:val="cscc47389a4"/>
    <w:rsid w:val="004E3439"/>
    <w:rPr>
      <w:rFonts w:ascii="Times New Roman" w:hAnsi="Times New Roman" w:cs="Times New Roman" w:hint="default"/>
      <w:b w:val="0"/>
      <w:bCs w:val="0"/>
      <w:i w:val="0"/>
      <w:iCs w:val="0"/>
      <w:color w:val="000000"/>
      <w:sz w:val="18"/>
      <w:szCs w:val="18"/>
    </w:rPr>
  </w:style>
  <w:style w:type="character" w:customStyle="1" w:styleId="cs786de70b1">
    <w:name w:val="cs786de70b1"/>
    <w:rsid w:val="004E3439"/>
    <w:rPr>
      <w:rFonts w:ascii="Segoe UI" w:hAnsi="Segoe UI" w:cs="Segoe UI" w:hint="default"/>
      <w:b w:val="0"/>
      <w:bCs w:val="0"/>
      <w:i w:val="0"/>
      <w:iCs w:val="0"/>
      <w:color w:val="000000"/>
      <w:sz w:val="18"/>
      <w:szCs w:val="18"/>
    </w:rPr>
  </w:style>
  <w:style w:type="character" w:customStyle="1" w:styleId="csbd30b5e56">
    <w:name w:val="csbd30b5e56"/>
    <w:rsid w:val="004E3439"/>
    <w:rPr>
      <w:rFonts w:ascii="Times New Roman" w:hAnsi="Times New Roman" w:cs="Times New Roman" w:hint="default"/>
      <w:b w:val="0"/>
      <w:bCs w:val="0"/>
      <w:i/>
      <w:iCs/>
      <w:color w:val="000000"/>
      <w:sz w:val="18"/>
      <w:szCs w:val="18"/>
    </w:rPr>
  </w:style>
  <w:style w:type="character" w:customStyle="1" w:styleId="cs176e94eb6">
    <w:name w:val="cs176e94eb6"/>
    <w:rsid w:val="004E3439"/>
    <w:rPr>
      <w:rFonts w:ascii="Times New Roman" w:hAnsi="Times New Roman" w:cs="Times New Roman" w:hint="default"/>
      <w:b/>
      <w:bCs/>
      <w:i w:val="0"/>
      <w:iCs w:val="0"/>
      <w:color w:val="000000"/>
      <w:sz w:val="18"/>
      <w:szCs w:val="18"/>
    </w:rPr>
  </w:style>
  <w:style w:type="character" w:customStyle="1" w:styleId="cscc47389a6">
    <w:name w:val="cscc47389a6"/>
    <w:rsid w:val="004E3439"/>
    <w:rPr>
      <w:rFonts w:ascii="Times New Roman" w:hAnsi="Times New Roman" w:cs="Times New Roman" w:hint="default"/>
      <w:b w:val="0"/>
      <w:bCs w:val="0"/>
      <w:i w:val="0"/>
      <w:iCs w:val="0"/>
      <w:color w:val="000000"/>
      <w:sz w:val="18"/>
      <w:szCs w:val="18"/>
    </w:rPr>
  </w:style>
  <w:style w:type="character" w:customStyle="1" w:styleId="cs9ff1b61195">
    <w:name w:val="cs9ff1b61195"/>
    <w:rsid w:val="004E3439"/>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4E3439"/>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4E3439"/>
    <w:pPr>
      <w:ind w:firstLine="708"/>
      <w:jc w:val="both"/>
    </w:pPr>
    <w:rPr>
      <w:rFonts w:ascii="Arial" w:eastAsia="Times New Roman" w:hAnsi="Arial"/>
      <w:b/>
      <w:sz w:val="18"/>
      <w:lang w:val="en-US" w:eastAsia="en-US"/>
    </w:rPr>
  </w:style>
  <w:style w:type="character" w:customStyle="1" w:styleId="csab6e07698">
    <w:name w:val="csab6e07698"/>
    <w:rsid w:val="004E3439"/>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4E3439"/>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4E3439"/>
    <w:rPr>
      <w:rFonts w:ascii="Arial" w:hAnsi="Arial" w:cs="Arial" w:hint="default"/>
      <w:b/>
      <w:bCs/>
      <w:i w:val="0"/>
      <w:iCs w:val="0"/>
      <w:color w:val="000000"/>
      <w:sz w:val="18"/>
      <w:szCs w:val="18"/>
      <w:shd w:val="clear" w:color="auto" w:fill="auto"/>
    </w:rPr>
  </w:style>
  <w:style w:type="character" w:customStyle="1" w:styleId="csafaf574110">
    <w:name w:val="csafaf574110"/>
    <w:rsid w:val="004E3439"/>
    <w:rPr>
      <w:rFonts w:ascii="Arial" w:hAnsi="Arial" w:cs="Arial" w:hint="default"/>
      <w:b/>
      <w:bCs/>
      <w:i w:val="0"/>
      <w:iCs w:val="0"/>
      <w:color w:val="000000"/>
      <w:sz w:val="18"/>
      <w:szCs w:val="18"/>
      <w:shd w:val="clear" w:color="auto" w:fill="auto"/>
    </w:rPr>
  </w:style>
  <w:style w:type="character" w:customStyle="1" w:styleId="csab6e076911">
    <w:name w:val="csab6e076911"/>
    <w:rsid w:val="004E3439"/>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4E3439"/>
    <w:rPr>
      <w:rFonts w:ascii="Arial" w:hAnsi="Arial" w:cs="Arial" w:hint="default"/>
      <w:b/>
      <w:bCs/>
      <w:i w:val="0"/>
      <w:iCs w:val="0"/>
      <w:color w:val="000000"/>
      <w:sz w:val="18"/>
      <w:szCs w:val="18"/>
      <w:shd w:val="clear" w:color="auto" w:fill="auto"/>
    </w:rPr>
  </w:style>
  <w:style w:type="character" w:customStyle="1" w:styleId="csab6e076912">
    <w:name w:val="csab6e076912"/>
    <w:rsid w:val="004E3439"/>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4E3439"/>
    <w:rPr>
      <w:rFonts w:ascii="Arial" w:hAnsi="Arial" w:cs="Arial" w:hint="default"/>
      <w:b/>
      <w:bCs/>
      <w:i w:val="0"/>
      <w:iCs w:val="0"/>
      <w:color w:val="000000"/>
      <w:sz w:val="18"/>
      <w:szCs w:val="18"/>
      <w:shd w:val="clear" w:color="auto" w:fill="auto"/>
    </w:rPr>
  </w:style>
  <w:style w:type="character" w:customStyle="1" w:styleId="csab6e076913">
    <w:name w:val="csab6e076913"/>
    <w:rsid w:val="004E3439"/>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4E3439"/>
    <w:rPr>
      <w:rFonts w:ascii="Arial" w:hAnsi="Arial" w:cs="Arial" w:hint="default"/>
      <w:b/>
      <w:bCs/>
      <w:i w:val="0"/>
      <w:iCs w:val="0"/>
      <w:color w:val="000000"/>
      <w:sz w:val="18"/>
      <w:szCs w:val="18"/>
      <w:shd w:val="clear" w:color="auto" w:fill="auto"/>
    </w:rPr>
  </w:style>
  <w:style w:type="character" w:customStyle="1" w:styleId="csafaf574115">
    <w:name w:val="csafaf574115"/>
    <w:rsid w:val="004E3439"/>
    <w:rPr>
      <w:rFonts w:ascii="Arial" w:hAnsi="Arial" w:cs="Arial" w:hint="default"/>
      <w:b/>
      <w:bCs/>
      <w:i w:val="0"/>
      <w:iCs w:val="0"/>
      <w:color w:val="000000"/>
      <w:sz w:val="18"/>
      <w:szCs w:val="18"/>
      <w:shd w:val="clear" w:color="auto" w:fill="auto"/>
    </w:rPr>
  </w:style>
  <w:style w:type="character" w:customStyle="1" w:styleId="csab6e076915">
    <w:name w:val="csab6e076915"/>
    <w:rsid w:val="004E3439"/>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4E3439"/>
    <w:rPr>
      <w:rFonts w:ascii="Arial" w:hAnsi="Arial" w:cs="Arial" w:hint="default"/>
      <w:b/>
      <w:bCs/>
      <w:i w:val="0"/>
      <w:iCs w:val="0"/>
      <w:color w:val="000000"/>
      <w:sz w:val="18"/>
      <w:szCs w:val="18"/>
      <w:shd w:val="clear" w:color="auto" w:fill="auto"/>
    </w:rPr>
  </w:style>
  <w:style w:type="character" w:customStyle="1" w:styleId="csab6e07695">
    <w:name w:val="csab6e07695"/>
    <w:rsid w:val="004E3439"/>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4E3439"/>
    <w:rPr>
      <w:rFonts w:ascii="Arial" w:hAnsi="Arial" w:cs="Arial" w:hint="default"/>
      <w:b/>
      <w:bCs/>
      <w:i w:val="0"/>
      <w:iCs w:val="0"/>
      <w:color w:val="000000"/>
      <w:sz w:val="18"/>
      <w:szCs w:val="18"/>
      <w:shd w:val="clear" w:color="auto" w:fill="auto"/>
    </w:rPr>
  </w:style>
  <w:style w:type="character" w:customStyle="1" w:styleId="csab6e07696">
    <w:name w:val="csab6e07696"/>
    <w:rsid w:val="004E3439"/>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4E3439"/>
    <w:rPr>
      <w:rFonts w:ascii="Arial" w:hAnsi="Arial" w:cs="Arial" w:hint="default"/>
      <w:b/>
      <w:bCs/>
      <w:i w:val="0"/>
      <w:iCs w:val="0"/>
      <w:color w:val="000000"/>
      <w:sz w:val="18"/>
      <w:szCs w:val="18"/>
      <w:shd w:val="clear" w:color="auto" w:fill="auto"/>
    </w:rPr>
  </w:style>
  <w:style w:type="character" w:customStyle="1" w:styleId="csafaf57418">
    <w:name w:val="csafaf57418"/>
    <w:rsid w:val="004E3439"/>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4E3439"/>
    <w:pPr>
      <w:ind w:firstLine="708"/>
      <w:jc w:val="both"/>
    </w:pPr>
    <w:rPr>
      <w:rFonts w:ascii="Arial" w:eastAsia="Times New Roman" w:hAnsi="Arial"/>
      <w:b/>
      <w:sz w:val="18"/>
      <w:lang w:val="en-US" w:eastAsia="en-US"/>
    </w:rPr>
  </w:style>
  <w:style w:type="character" w:customStyle="1" w:styleId="csccf5e316113">
    <w:name w:val="csccf5e316113"/>
    <w:rsid w:val="004E3439"/>
    <w:rPr>
      <w:rFonts w:ascii="Arial" w:hAnsi="Arial" w:cs="Arial" w:hint="default"/>
      <w:b/>
      <w:bCs/>
      <w:i w:val="0"/>
      <w:iCs w:val="0"/>
      <w:color w:val="000000"/>
      <w:sz w:val="18"/>
      <w:szCs w:val="18"/>
      <w:shd w:val="clear" w:color="auto" w:fill="auto"/>
    </w:rPr>
  </w:style>
  <w:style w:type="character" w:customStyle="1" w:styleId="cs9ff1b611113">
    <w:name w:val="cs9ff1b611113"/>
    <w:rsid w:val="004E3439"/>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4E3439"/>
    <w:pPr>
      <w:ind w:firstLine="708"/>
      <w:jc w:val="both"/>
    </w:pPr>
    <w:rPr>
      <w:rFonts w:ascii="Arial" w:eastAsia="Times New Roman" w:hAnsi="Arial"/>
      <w:b/>
      <w:sz w:val="18"/>
      <w:lang w:val="en-US" w:eastAsia="en-US"/>
    </w:rPr>
  </w:style>
  <w:style w:type="character" w:customStyle="1" w:styleId="cs95bf81471">
    <w:name w:val="cs95bf81471"/>
    <w:rsid w:val="004E343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E3439"/>
    <w:pPr>
      <w:ind w:firstLine="708"/>
      <w:jc w:val="both"/>
    </w:pPr>
    <w:rPr>
      <w:rFonts w:ascii="Arial" w:eastAsia="Times New Roman" w:hAnsi="Arial"/>
      <w:b/>
      <w:sz w:val="18"/>
      <w:lang w:val="en-US" w:eastAsia="en-US"/>
    </w:rPr>
  </w:style>
  <w:style w:type="character" w:customStyle="1" w:styleId="csab6e076921">
    <w:name w:val="csab6e076921"/>
    <w:rsid w:val="004E343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4E3439"/>
    <w:pPr>
      <w:ind w:firstLine="708"/>
      <w:jc w:val="both"/>
    </w:pPr>
    <w:rPr>
      <w:rFonts w:ascii="Arial" w:eastAsia="Times New Roman" w:hAnsi="Arial"/>
      <w:b/>
      <w:sz w:val="18"/>
      <w:lang w:val="en-US" w:eastAsia="en-US"/>
    </w:rPr>
  </w:style>
  <w:style w:type="character" w:customStyle="1" w:styleId="cs9ff1b611140">
    <w:name w:val="cs9ff1b611140"/>
    <w:rsid w:val="004E3439"/>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4E3439"/>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4E3439"/>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4E3439"/>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4E3439"/>
    <w:pPr>
      <w:ind w:firstLine="708"/>
      <w:jc w:val="both"/>
    </w:pPr>
    <w:rPr>
      <w:rFonts w:ascii="Arial" w:eastAsia="Times New Roman" w:hAnsi="Arial"/>
      <w:b/>
      <w:sz w:val="18"/>
      <w:lang w:val="en-US" w:eastAsia="en-US"/>
    </w:rPr>
  </w:style>
  <w:style w:type="character" w:customStyle="1" w:styleId="csab6e0769109">
    <w:name w:val="csab6e0769109"/>
    <w:rsid w:val="004E3439"/>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4E3439"/>
    <w:pPr>
      <w:ind w:firstLine="708"/>
      <w:jc w:val="both"/>
    </w:pPr>
    <w:rPr>
      <w:rFonts w:ascii="Arial" w:eastAsia="Times New Roman" w:hAnsi="Arial"/>
      <w:b/>
      <w:sz w:val="18"/>
      <w:lang w:val="en-US" w:eastAsia="en-US"/>
    </w:rPr>
  </w:style>
  <w:style w:type="character" w:customStyle="1" w:styleId="cs9ff1b61143">
    <w:name w:val="cs9ff1b61143"/>
    <w:rsid w:val="004E3439"/>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4E3439"/>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4E3439"/>
    <w:pPr>
      <w:ind w:firstLine="708"/>
      <w:jc w:val="both"/>
    </w:pPr>
    <w:rPr>
      <w:rFonts w:ascii="Arial" w:eastAsia="Times New Roman" w:hAnsi="Arial"/>
      <w:b/>
      <w:sz w:val="18"/>
      <w:lang w:val="en-US" w:eastAsia="en-US"/>
    </w:rPr>
  </w:style>
  <w:style w:type="character" w:customStyle="1" w:styleId="csb2c72e392">
    <w:name w:val="csb2c72e392"/>
    <w:rsid w:val="004E3439"/>
    <w:rPr>
      <w:rFonts w:ascii="Segoe UI" w:hAnsi="Segoe UI" w:cs="Segoe UI" w:hint="default"/>
      <w:b/>
      <w:bCs/>
      <w:i w:val="0"/>
      <w:iCs w:val="0"/>
      <w:color w:val="000000"/>
      <w:sz w:val="24"/>
      <w:szCs w:val="24"/>
      <w:shd w:val="clear" w:color="auto" w:fill="auto"/>
    </w:rPr>
  </w:style>
  <w:style w:type="character" w:customStyle="1" w:styleId="csab6e076924">
    <w:name w:val="csab6e076924"/>
    <w:rsid w:val="004E3439"/>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4E3439"/>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4E3439"/>
    <w:rPr>
      <w:rFonts w:ascii="Arial" w:hAnsi="Arial" w:cs="Arial" w:hint="default"/>
      <w:b/>
      <w:bCs/>
      <w:i w:val="0"/>
      <w:iCs w:val="0"/>
      <w:color w:val="000000"/>
      <w:sz w:val="18"/>
      <w:szCs w:val="18"/>
      <w:shd w:val="clear" w:color="auto" w:fill="auto"/>
    </w:rPr>
  </w:style>
  <w:style w:type="character" w:customStyle="1" w:styleId="csab6e0769127">
    <w:name w:val="csab6e0769127"/>
    <w:rsid w:val="004E3439"/>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4E3439"/>
    <w:pPr>
      <w:ind w:firstLine="708"/>
      <w:jc w:val="both"/>
    </w:pPr>
    <w:rPr>
      <w:rFonts w:ascii="Arial" w:eastAsia="Times New Roman" w:hAnsi="Arial"/>
      <w:b/>
      <w:sz w:val="18"/>
      <w:lang w:val="en-US" w:eastAsia="en-US"/>
    </w:rPr>
  </w:style>
  <w:style w:type="character" w:customStyle="1" w:styleId="csccf5e31625">
    <w:name w:val="csccf5e31625"/>
    <w:rsid w:val="004E3439"/>
    <w:rPr>
      <w:rFonts w:ascii="Arial" w:hAnsi="Arial" w:cs="Arial" w:hint="default"/>
      <w:b/>
      <w:bCs/>
      <w:i w:val="0"/>
      <w:iCs w:val="0"/>
      <w:color w:val="000000"/>
      <w:sz w:val="18"/>
      <w:szCs w:val="18"/>
      <w:shd w:val="clear" w:color="auto" w:fill="auto"/>
    </w:rPr>
  </w:style>
  <w:style w:type="character" w:customStyle="1" w:styleId="cs9ff1b61124">
    <w:name w:val="cs9ff1b61124"/>
    <w:rsid w:val="004E3439"/>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4E3439"/>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496C-1CB7-43CA-A65F-2492A90E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199424</Words>
  <Characters>113672</Characters>
  <Application>Microsoft Office Word</Application>
  <DocSecurity>0</DocSecurity>
  <Lines>947</Lines>
  <Paragraphs>624</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vt:lpstr>
      <vt:lpstr>    ПЕРЕЛІК</vt:lpstr>
      <vt:lpstr>    </vt:lpstr>
      <vt:lpstr>    ПЕРЕЛІК</vt:lpstr>
      <vt:lpstr>    </vt:lpstr>
      <vt:lpstr/>
    </vt:vector>
  </TitlesOfParts>
  <Company>Krokoz™</Company>
  <LinksUpToDate>false</LinksUpToDate>
  <CharactersWithSpaces>312472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2024-12-06T14:47:00Z</dcterms:created>
  <dcterms:modified xsi:type="dcterms:W3CDTF">2024-12-06T14:47:00Z</dcterms:modified>
</cp:coreProperties>
</file>