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403480">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АВСТРАЛІЇ,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FE0145"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6978D7" w:rsidRPr="00327708"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Номер реєстраційного посвідчення</w:t>
            </w:r>
          </w:p>
        </w:tc>
      </w:tr>
      <w:tr w:rsidR="00F57D66" w:rsidRPr="00FE0145" w:rsidTr="002D312E">
        <w:trPr>
          <w:trHeight w:val="433"/>
        </w:trPr>
        <w:tc>
          <w:tcPr>
            <w:tcW w:w="561" w:type="dxa"/>
            <w:tcBorders>
              <w:right w:val="single" w:sz="4" w:space="0" w:color="auto"/>
            </w:tcBorders>
            <w:shd w:val="clear" w:color="auto" w:fill="FFFFFF"/>
          </w:tcPr>
          <w:p w:rsidR="00F57D66" w:rsidRPr="002D312E" w:rsidRDefault="00F57D66" w:rsidP="00F57D6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F57D66" w:rsidRDefault="00F57D66" w:rsidP="00F57D66">
            <w:pPr>
              <w:pStyle w:val="a3"/>
              <w:tabs>
                <w:tab w:val="left" w:pos="12600"/>
              </w:tabs>
              <w:rPr>
                <w:rFonts w:ascii="Arial" w:hAnsi="Arial" w:cs="Arial"/>
                <w:b/>
                <w:i/>
                <w:color w:val="000000"/>
                <w:sz w:val="18"/>
                <w:szCs w:val="18"/>
              </w:rPr>
            </w:pPr>
            <w:r>
              <w:rPr>
                <w:rFonts w:ascii="Arial" w:hAnsi="Arial" w:cs="Arial"/>
                <w:b/>
                <w:sz w:val="18"/>
                <w:szCs w:val="18"/>
              </w:rPr>
              <w:t>ПАРСАБІВ®</w:t>
            </w:r>
          </w:p>
        </w:tc>
        <w:tc>
          <w:tcPr>
            <w:tcW w:w="2410" w:type="dxa"/>
            <w:shd w:val="clear" w:color="auto" w:fill="FFFFFF"/>
          </w:tcPr>
          <w:p w:rsidR="00F57D66" w:rsidRDefault="00F57D66" w:rsidP="00F57D66">
            <w:pPr>
              <w:pStyle w:val="a3"/>
              <w:tabs>
                <w:tab w:val="left" w:pos="12600"/>
              </w:tabs>
              <w:rPr>
                <w:rFonts w:ascii="Arial" w:hAnsi="Arial" w:cs="Arial"/>
                <w:color w:val="000000"/>
                <w:sz w:val="18"/>
                <w:szCs w:val="18"/>
              </w:rPr>
            </w:pPr>
            <w:proofErr w:type="spellStart"/>
            <w:r>
              <w:rPr>
                <w:rFonts w:ascii="Arial" w:hAnsi="Arial" w:cs="Arial"/>
                <w:color w:val="000000"/>
                <w:sz w:val="18"/>
                <w:szCs w:val="18"/>
              </w:rPr>
              <w:t>розчин</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ін'єкцій</w:t>
            </w:r>
            <w:proofErr w:type="spellEnd"/>
            <w:r>
              <w:rPr>
                <w:rFonts w:ascii="Arial" w:hAnsi="Arial" w:cs="Arial"/>
                <w:color w:val="000000"/>
                <w:sz w:val="18"/>
                <w:szCs w:val="18"/>
              </w:rPr>
              <w:t xml:space="preserve">, 5 </w:t>
            </w:r>
            <w:proofErr w:type="spellStart"/>
            <w:r>
              <w:rPr>
                <w:rFonts w:ascii="Arial" w:hAnsi="Arial" w:cs="Arial"/>
                <w:color w:val="000000"/>
                <w:sz w:val="18"/>
                <w:szCs w:val="18"/>
              </w:rPr>
              <w:t>мг</w:t>
            </w:r>
            <w:proofErr w:type="spellEnd"/>
            <w:r>
              <w:rPr>
                <w:rFonts w:ascii="Arial" w:hAnsi="Arial" w:cs="Arial"/>
                <w:color w:val="000000"/>
                <w:sz w:val="18"/>
                <w:szCs w:val="18"/>
              </w:rPr>
              <w:t>/</w:t>
            </w:r>
            <w:proofErr w:type="spellStart"/>
            <w:r>
              <w:rPr>
                <w:rFonts w:ascii="Arial" w:hAnsi="Arial" w:cs="Arial"/>
                <w:color w:val="000000"/>
                <w:sz w:val="18"/>
                <w:szCs w:val="18"/>
              </w:rPr>
              <w:t>мл</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0,5 </w:t>
            </w:r>
            <w:proofErr w:type="spellStart"/>
            <w:r>
              <w:rPr>
                <w:rFonts w:ascii="Arial" w:hAnsi="Arial" w:cs="Arial"/>
                <w:color w:val="000000"/>
                <w:sz w:val="18"/>
                <w:szCs w:val="18"/>
              </w:rPr>
              <w:t>мл</w:t>
            </w:r>
            <w:proofErr w:type="spellEnd"/>
            <w:r>
              <w:rPr>
                <w:rFonts w:ascii="Arial" w:hAnsi="Arial" w:cs="Arial"/>
                <w:color w:val="000000"/>
                <w:sz w:val="18"/>
                <w:szCs w:val="18"/>
              </w:rPr>
              <w:t xml:space="preserve"> (2,5 </w:t>
            </w:r>
            <w:proofErr w:type="spellStart"/>
            <w:r>
              <w:rPr>
                <w:rFonts w:ascii="Arial" w:hAnsi="Arial" w:cs="Arial"/>
                <w:color w:val="000000"/>
                <w:sz w:val="18"/>
                <w:szCs w:val="18"/>
              </w:rPr>
              <w:t>мг</w:t>
            </w:r>
            <w:proofErr w:type="spellEnd"/>
            <w:r>
              <w:rPr>
                <w:rFonts w:ascii="Arial" w:hAnsi="Arial" w:cs="Arial"/>
                <w:color w:val="000000"/>
                <w:sz w:val="18"/>
                <w:szCs w:val="18"/>
              </w:rPr>
              <w:t xml:space="preserve">) у </w:t>
            </w:r>
            <w:proofErr w:type="spellStart"/>
            <w:r>
              <w:rPr>
                <w:rFonts w:ascii="Arial" w:hAnsi="Arial" w:cs="Arial"/>
                <w:color w:val="000000"/>
                <w:sz w:val="18"/>
                <w:szCs w:val="18"/>
              </w:rPr>
              <w:t>флаконі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6 </w:t>
            </w:r>
            <w:proofErr w:type="spellStart"/>
            <w:r>
              <w:rPr>
                <w:rFonts w:ascii="Arial" w:hAnsi="Arial" w:cs="Arial"/>
                <w:color w:val="000000"/>
                <w:sz w:val="18"/>
                <w:szCs w:val="18"/>
              </w:rPr>
              <w:t>флаконів</w:t>
            </w:r>
            <w:proofErr w:type="spellEnd"/>
            <w:r>
              <w:rPr>
                <w:rFonts w:ascii="Arial" w:hAnsi="Arial" w:cs="Arial"/>
                <w:color w:val="000000"/>
                <w:sz w:val="18"/>
                <w:szCs w:val="18"/>
              </w:rPr>
              <w:t xml:space="preserve"> у </w:t>
            </w:r>
            <w:proofErr w:type="spellStart"/>
            <w:r>
              <w:rPr>
                <w:rFonts w:ascii="Arial" w:hAnsi="Arial" w:cs="Arial"/>
                <w:color w:val="000000"/>
                <w:sz w:val="18"/>
                <w:szCs w:val="18"/>
              </w:rPr>
              <w:t>картонній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коробці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1 </w:t>
            </w:r>
            <w:proofErr w:type="spellStart"/>
            <w:r>
              <w:rPr>
                <w:rFonts w:ascii="Arial" w:hAnsi="Arial" w:cs="Arial"/>
                <w:color w:val="000000"/>
                <w:sz w:val="18"/>
                <w:szCs w:val="18"/>
              </w:rPr>
              <w:t>мл</w:t>
            </w:r>
            <w:proofErr w:type="spellEnd"/>
            <w:r>
              <w:rPr>
                <w:rFonts w:ascii="Arial" w:hAnsi="Arial" w:cs="Arial"/>
                <w:color w:val="000000"/>
                <w:sz w:val="18"/>
                <w:szCs w:val="18"/>
              </w:rPr>
              <w:t xml:space="preserve"> (5 </w:t>
            </w:r>
            <w:proofErr w:type="spellStart"/>
            <w:r>
              <w:rPr>
                <w:rFonts w:ascii="Arial" w:hAnsi="Arial" w:cs="Arial"/>
                <w:color w:val="000000"/>
                <w:sz w:val="18"/>
                <w:szCs w:val="18"/>
              </w:rPr>
              <w:t>мг</w:t>
            </w:r>
            <w:proofErr w:type="spellEnd"/>
            <w:r>
              <w:rPr>
                <w:rFonts w:ascii="Arial" w:hAnsi="Arial" w:cs="Arial"/>
                <w:color w:val="000000"/>
                <w:sz w:val="18"/>
                <w:szCs w:val="18"/>
              </w:rPr>
              <w:t xml:space="preserve">) у </w:t>
            </w:r>
            <w:proofErr w:type="spellStart"/>
            <w:r>
              <w:rPr>
                <w:rFonts w:ascii="Arial" w:hAnsi="Arial" w:cs="Arial"/>
                <w:color w:val="000000"/>
                <w:sz w:val="18"/>
                <w:szCs w:val="18"/>
              </w:rPr>
              <w:t>флаконі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6 </w:t>
            </w:r>
            <w:proofErr w:type="spellStart"/>
            <w:r>
              <w:rPr>
                <w:rFonts w:ascii="Arial" w:hAnsi="Arial" w:cs="Arial"/>
                <w:color w:val="000000"/>
                <w:sz w:val="18"/>
                <w:szCs w:val="18"/>
              </w:rPr>
              <w:t>флаконів</w:t>
            </w:r>
            <w:proofErr w:type="spellEnd"/>
            <w:r>
              <w:rPr>
                <w:rFonts w:ascii="Arial" w:hAnsi="Arial" w:cs="Arial"/>
                <w:color w:val="000000"/>
                <w:sz w:val="18"/>
                <w:szCs w:val="18"/>
              </w:rPr>
              <w:t xml:space="preserve"> у </w:t>
            </w:r>
            <w:proofErr w:type="spellStart"/>
            <w:r>
              <w:rPr>
                <w:rFonts w:ascii="Arial" w:hAnsi="Arial" w:cs="Arial"/>
                <w:color w:val="000000"/>
                <w:sz w:val="18"/>
                <w:szCs w:val="18"/>
              </w:rPr>
              <w:t>картонній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коробці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2 </w:t>
            </w:r>
            <w:proofErr w:type="spellStart"/>
            <w:r>
              <w:rPr>
                <w:rFonts w:ascii="Arial" w:hAnsi="Arial" w:cs="Arial"/>
                <w:color w:val="000000"/>
                <w:sz w:val="18"/>
                <w:szCs w:val="18"/>
              </w:rPr>
              <w:t>мл</w:t>
            </w:r>
            <w:proofErr w:type="spellEnd"/>
            <w:r>
              <w:rPr>
                <w:rFonts w:ascii="Arial" w:hAnsi="Arial" w:cs="Arial"/>
                <w:color w:val="000000"/>
                <w:sz w:val="18"/>
                <w:szCs w:val="18"/>
              </w:rPr>
              <w:t xml:space="preserve"> (10 </w:t>
            </w:r>
            <w:proofErr w:type="spellStart"/>
            <w:r>
              <w:rPr>
                <w:rFonts w:ascii="Arial" w:hAnsi="Arial" w:cs="Arial"/>
                <w:color w:val="000000"/>
                <w:sz w:val="18"/>
                <w:szCs w:val="18"/>
              </w:rPr>
              <w:t>мг</w:t>
            </w:r>
            <w:proofErr w:type="spellEnd"/>
            <w:r>
              <w:rPr>
                <w:rFonts w:ascii="Arial" w:hAnsi="Arial" w:cs="Arial"/>
                <w:color w:val="000000"/>
                <w:sz w:val="18"/>
                <w:szCs w:val="18"/>
              </w:rPr>
              <w:t xml:space="preserve">) у </w:t>
            </w:r>
            <w:proofErr w:type="spellStart"/>
            <w:r>
              <w:rPr>
                <w:rFonts w:ascii="Arial" w:hAnsi="Arial" w:cs="Arial"/>
                <w:color w:val="000000"/>
                <w:sz w:val="18"/>
                <w:szCs w:val="18"/>
              </w:rPr>
              <w:t>флаконі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w:t>
            </w:r>
            <w:proofErr w:type="spellEnd"/>
            <w:r>
              <w:rPr>
                <w:rFonts w:ascii="Arial" w:hAnsi="Arial" w:cs="Arial"/>
                <w:color w:val="000000"/>
                <w:sz w:val="18"/>
                <w:szCs w:val="18"/>
              </w:rPr>
              <w:t xml:space="preserve"> 6 </w:t>
            </w:r>
            <w:proofErr w:type="spellStart"/>
            <w:r>
              <w:rPr>
                <w:rFonts w:ascii="Arial" w:hAnsi="Arial" w:cs="Arial"/>
                <w:color w:val="000000"/>
                <w:sz w:val="18"/>
                <w:szCs w:val="18"/>
              </w:rPr>
              <w:t>флаконів</w:t>
            </w:r>
            <w:proofErr w:type="spellEnd"/>
            <w:r>
              <w:rPr>
                <w:rFonts w:ascii="Arial" w:hAnsi="Arial" w:cs="Arial"/>
                <w:color w:val="000000"/>
                <w:sz w:val="18"/>
                <w:szCs w:val="18"/>
              </w:rPr>
              <w:t xml:space="preserve"> у </w:t>
            </w:r>
            <w:proofErr w:type="spellStart"/>
            <w:r>
              <w:rPr>
                <w:rFonts w:ascii="Arial" w:hAnsi="Arial" w:cs="Arial"/>
                <w:color w:val="000000"/>
                <w:sz w:val="18"/>
                <w:szCs w:val="18"/>
              </w:rPr>
              <w:t>картонній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коробці</w:t>
            </w:r>
            <w:proofErr w:type="spellEnd"/>
            <w:r>
              <w:rPr>
                <w:rFonts w:ascii="Arial" w:hAnsi="Arial" w:cs="Arial"/>
                <w:color w:val="000000"/>
                <w:sz w:val="18"/>
                <w:szCs w:val="18"/>
              </w:rPr>
              <w:t xml:space="preserve"> </w:t>
            </w:r>
          </w:p>
        </w:tc>
        <w:tc>
          <w:tcPr>
            <w:tcW w:w="1276" w:type="dxa"/>
            <w:shd w:val="clear" w:color="auto" w:fill="FFFFFF"/>
          </w:tcPr>
          <w:p w:rsidR="00F57D66" w:rsidRDefault="00F57D66" w:rsidP="00F57D66">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Амджен</w:t>
            </w:r>
            <w:proofErr w:type="spellEnd"/>
            <w:r>
              <w:rPr>
                <w:rFonts w:ascii="Arial" w:hAnsi="Arial" w:cs="Arial"/>
                <w:color w:val="000000"/>
                <w:sz w:val="18"/>
                <w:szCs w:val="18"/>
              </w:rPr>
              <w:t xml:space="preserve"> </w:t>
            </w:r>
            <w:proofErr w:type="spellStart"/>
            <w:r>
              <w:rPr>
                <w:rFonts w:ascii="Arial" w:hAnsi="Arial" w:cs="Arial"/>
                <w:color w:val="000000"/>
                <w:sz w:val="18"/>
                <w:szCs w:val="18"/>
              </w:rPr>
              <w:t>Європа</w:t>
            </w:r>
            <w:proofErr w:type="spellEnd"/>
            <w:r>
              <w:rPr>
                <w:rFonts w:ascii="Arial" w:hAnsi="Arial" w:cs="Arial"/>
                <w:color w:val="000000"/>
                <w:sz w:val="18"/>
                <w:szCs w:val="18"/>
              </w:rPr>
              <w:t xml:space="preserve"> Б.В.</w:t>
            </w:r>
          </w:p>
        </w:tc>
        <w:tc>
          <w:tcPr>
            <w:tcW w:w="992" w:type="dxa"/>
            <w:shd w:val="clear" w:color="auto" w:fill="FFFFFF"/>
          </w:tcPr>
          <w:p w:rsidR="00F57D66" w:rsidRDefault="00F57D66" w:rsidP="00F57D66">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Нiдерланди</w:t>
            </w:r>
            <w:proofErr w:type="spellEnd"/>
          </w:p>
        </w:tc>
        <w:tc>
          <w:tcPr>
            <w:tcW w:w="2410" w:type="dxa"/>
            <w:shd w:val="clear" w:color="auto" w:fill="FFFFFF"/>
          </w:tcPr>
          <w:p w:rsidR="00F57D66" w:rsidRDefault="00F57D66" w:rsidP="00F57D66">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Амджен</w:t>
            </w:r>
            <w:proofErr w:type="spellEnd"/>
            <w:r>
              <w:rPr>
                <w:rFonts w:ascii="Arial" w:hAnsi="Arial" w:cs="Arial"/>
                <w:color w:val="000000"/>
                <w:sz w:val="18"/>
                <w:szCs w:val="18"/>
              </w:rPr>
              <w:t xml:space="preserve"> </w:t>
            </w:r>
            <w:proofErr w:type="spellStart"/>
            <w:r>
              <w:rPr>
                <w:rFonts w:ascii="Arial" w:hAnsi="Arial" w:cs="Arial"/>
                <w:color w:val="000000"/>
                <w:sz w:val="18"/>
                <w:szCs w:val="18"/>
              </w:rPr>
              <w:t>Європа</w:t>
            </w:r>
            <w:proofErr w:type="spellEnd"/>
            <w:r>
              <w:rPr>
                <w:rFonts w:ascii="Arial" w:hAnsi="Arial" w:cs="Arial"/>
                <w:color w:val="000000"/>
                <w:sz w:val="18"/>
                <w:szCs w:val="18"/>
              </w:rPr>
              <w:t xml:space="preserve"> Б.В., </w:t>
            </w:r>
            <w:proofErr w:type="spellStart"/>
            <w:r>
              <w:rPr>
                <w:rFonts w:ascii="Arial" w:hAnsi="Arial" w:cs="Arial"/>
                <w:color w:val="000000"/>
                <w:sz w:val="18"/>
                <w:szCs w:val="18"/>
              </w:rPr>
              <w:t>Нідерланди</w:t>
            </w:r>
            <w:proofErr w:type="spellEnd"/>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Амджен</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Текнолоджі</w:t>
            </w:r>
            <w:proofErr w:type="spellEnd"/>
            <w:r>
              <w:rPr>
                <w:rFonts w:ascii="Arial" w:hAnsi="Arial" w:cs="Arial"/>
                <w:color w:val="000000"/>
                <w:sz w:val="18"/>
                <w:szCs w:val="18"/>
              </w:rPr>
              <w:t xml:space="preserve"> (</w:t>
            </w:r>
            <w:proofErr w:type="spellStart"/>
            <w:r>
              <w:rPr>
                <w:rFonts w:ascii="Arial" w:hAnsi="Arial" w:cs="Arial"/>
                <w:color w:val="000000"/>
                <w:sz w:val="18"/>
                <w:szCs w:val="18"/>
              </w:rPr>
              <w:t>Айеленд</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Компані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Ірландiя</w:t>
            </w:r>
            <w:proofErr w:type="spellEnd"/>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Патеон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Мануфекчурінг</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Сервісез</w:t>
            </w:r>
            <w:proofErr w:type="spellEnd"/>
            <w:r>
              <w:rPr>
                <w:rFonts w:ascii="Arial" w:hAnsi="Arial" w:cs="Arial"/>
                <w:color w:val="000000"/>
                <w:sz w:val="18"/>
                <w:szCs w:val="18"/>
              </w:rPr>
              <w:t xml:space="preserve"> </w:t>
            </w:r>
            <w:proofErr w:type="spellStart"/>
            <w:r>
              <w:rPr>
                <w:rFonts w:ascii="Arial" w:hAnsi="Arial" w:cs="Arial"/>
                <w:color w:val="000000"/>
                <w:sz w:val="18"/>
                <w:szCs w:val="18"/>
              </w:rPr>
              <w:t>Ел.Ел.Сі</w:t>
            </w:r>
            <w:proofErr w:type="spellEnd"/>
            <w:r>
              <w:rPr>
                <w:rFonts w:ascii="Arial" w:hAnsi="Arial" w:cs="Arial"/>
                <w:color w:val="000000"/>
                <w:sz w:val="18"/>
                <w:szCs w:val="18"/>
              </w:rPr>
              <w:t>., США</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Амджен</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Мануфекчурінг</w:t>
            </w:r>
            <w:proofErr w:type="spellEnd"/>
            <w:r>
              <w:rPr>
                <w:rFonts w:ascii="Arial" w:hAnsi="Arial" w:cs="Arial"/>
                <w:color w:val="000000"/>
                <w:sz w:val="18"/>
                <w:szCs w:val="18"/>
              </w:rPr>
              <w:t xml:space="preserve"> </w:t>
            </w:r>
            <w:proofErr w:type="spellStart"/>
            <w:r>
              <w:rPr>
                <w:rFonts w:ascii="Arial" w:hAnsi="Arial" w:cs="Arial"/>
                <w:color w:val="000000"/>
                <w:sz w:val="18"/>
                <w:szCs w:val="18"/>
              </w:rPr>
              <w:t>Лтд</w:t>
            </w:r>
            <w:proofErr w:type="spellEnd"/>
            <w:r>
              <w:rPr>
                <w:rFonts w:ascii="Arial" w:hAnsi="Arial" w:cs="Arial"/>
                <w:color w:val="000000"/>
                <w:sz w:val="18"/>
                <w:szCs w:val="18"/>
              </w:rPr>
              <w:t>, США</w:t>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ідентифікація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методом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мас-спектрометрії</w:t>
            </w:r>
            <w:proofErr w:type="spellEnd"/>
            <w:r>
              <w:rPr>
                <w:rFonts w:ascii="Arial" w:hAnsi="Arial" w:cs="Arial"/>
                <w:color w:val="000000"/>
                <w:sz w:val="18"/>
                <w:szCs w:val="18"/>
              </w:rPr>
              <w:t>):</w:t>
            </w:r>
            <w:r>
              <w:rPr>
                <w:rFonts w:ascii="Arial" w:hAnsi="Arial" w:cs="Arial"/>
                <w:color w:val="000000"/>
                <w:sz w:val="18"/>
                <w:szCs w:val="18"/>
              </w:rPr>
              <w:br/>
              <w:t xml:space="preserve">ППД </w:t>
            </w:r>
            <w:proofErr w:type="spellStart"/>
            <w:r>
              <w:rPr>
                <w:rFonts w:ascii="Arial" w:hAnsi="Arial" w:cs="Arial"/>
                <w:color w:val="000000"/>
                <w:sz w:val="18"/>
                <w:szCs w:val="18"/>
              </w:rPr>
              <w:t>Девелопмент</w:t>
            </w:r>
            <w:proofErr w:type="spellEnd"/>
            <w:r>
              <w:rPr>
                <w:rFonts w:ascii="Arial" w:hAnsi="Arial" w:cs="Arial"/>
                <w:color w:val="000000"/>
                <w:sz w:val="18"/>
                <w:szCs w:val="18"/>
              </w:rPr>
              <w:t>, Л.П., США</w:t>
            </w:r>
          </w:p>
        </w:tc>
        <w:tc>
          <w:tcPr>
            <w:tcW w:w="1275" w:type="dxa"/>
            <w:shd w:val="clear" w:color="auto" w:fill="FFFFFF"/>
          </w:tcPr>
          <w:p w:rsidR="00F57D66" w:rsidRDefault="00F57D66" w:rsidP="00F57D66">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Нідерланди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Ірландiя</w:t>
            </w:r>
            <w:proofErr w:type="spellEnd"/>
            <w:r>
              <w:rPr>
                <w:rFonts w:ascii="Arial" w:hAnsi="Arial" w:cs="Arial"/>
                <w:color w:val="000000"/>
                <w:sz w:val="18"/>
                <w:szCs w:val="18"/>
              </w:rPr>
              <w:t>/ США</w:t>
            </w:r>
          </w:p>
        </w:tc>
        <w:tc>
          <w:tcPr>
            <w:tcW w:w="2835" w:type="dxa"/>
            <w:shd w:val="clear" w:color="auto" w:fill="FFFFFF"/>
          </w:tcPr>
          <w:p w:rsidR="00F57D66" w:rsidRDefault="00F57D66" w:rsidP="00F57D66">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C.I.11.z type IB - Introduction of, or change(s) to, the obligations and conditions of a marketing </w:t>
            </w:r>
            <w:proofErr w:type="spellStart"/>
            <w:r>
              <w:rPr>
                <w:rFonts w:ascii="Arial" w:hAnsi="Arial" w:cs="Arial"/>
                <w:color w:val="000000"/>
                <w:sz w:val="18"/>
                <w:szCs w:val="18"/>
              </w:rPr>
              <w:t>authorisation</w:t>
            </w:r>
            <w:proofErr w:type="spellEnd"/>
            <w:r>
              <w:rPr>
                <w:rFonts w:ascii="Arial" w:hAnsi="Arial" w:cs="Arial"/>
                <w:color w:val="000000"/>
                <w:sz w:val="18"/>
                <w:szCs w:val="18"/>
              </w:rPr>
              <w:t>, including the RMP - Other variation</w:t>
            </w:r>
            <w:r>
              <w:rPr>
                <w:rFonts w:ascii="Arial" w:hAnsi="Arial" w:cs="Arial"/>
                <w:color w:val="000000"/>
                <w:sz w:val="18"/>
                <w:szCs w:val="18"/>
              </w:rPr>
              <w:br/>
              <w:t>The MAH has submitted a Type IB variation for PARSABIV (</w:t>
            </w:r>
            <w:proofErr w:type="spellStart"/>
            <w:r>
              <w:rPr>
                <w:rFonts w:ascii="Arial" w:hAnsi="Arial" w:cs="Arial"/>
                <w:color w:val="000000"/>
                <w:sz w:val="18"/>
                <w:szCs w:val="18"/>
              </w:rPr>
              <w:t>etelcalcetide</w:t>
            </w:r>
            <w:proofErr w:type="spellEnd"/>
            <w:r>
              <w:rPr>
                <w:rFonts w:ascii="Arial" w:hAnsi="Arial" w:cs="Arial"/>
                <w:color w:val="000000"/>
                <w:sz w:val="18"/>
                <w:szCs w:val="18"/>
              </w:rPr>
              <w:t xml:space="preserve">) to update the RMP to remove the completed category 3 PASS study 20170561 ("An Observational Study to Evaluate the Potential Association Between </w:t>
            </w:r>
            <w:proofErr w:type="spellStart"/>
            <w:r>
              <w:rPr>
                <w:rFonts w:ascii="Arial" w:hAnsi="Arial" w:cs="Arial"/>
                <w:color w:val="000000"/>
                <w:sz w:val="18"/>
                <w:szCs w:val="18"/>
              </w:rPr>
              <w:t>Parsabiv</w:t>
            </w:r>
            <w:proofErr w:type="spellEnd"/>
            <w:r>
              <w:rPr>
                <w:rFonts w:ascii="Arial" w:hAnsi="Arial" w:cs="Arial"/>
                <w:color w:val="000000"/>
                <w:sz w:val="18"/>
                <w:szCs w:val="18"/>
              </w:rPr>
              <w:t xml:space="preserve"> and Gastrointestinal Bleeding") as an additional pharmacovigilance activity and the risk of "Gastrointestinal </w:t>
            </w:r>
            <w:proofErr w:type="spellStart"/>
            <w:r>
              <w:rPr>
                <w:rFonts w:ascii="Arial" w:hAnsi="Arial" w:cs="Arial"/>
                <w:color w:val="000000"/>
                <w:sz w:val="18"/>
                <w:szCs w:val="18"/>
              </w:rPr>
              <w:t>haemorrhage</w:t>
            </w:r>
            <w:proofErr w:type="spellEnd"/>
            <w:r>
              <w:rPr>
                <w:rFonts w:ascii="Arial" w:hAnsi="Arial" w:cs="Arial"/>
                <w:color w:val="000000"/>
                <w:sz w:val="18"/>
                <w:szCs w:val="18"/>
              </w:rPr>
              <w:t>" as an important potential risk, following approval of procedure EMEA/H/C/003995/II/0021,</w:t>
            </w:r>
            <w:r>
              <w:rPr>
                <w:rFonts w:ascii="Arial" w:hAnsi="Arial" w:cs="Arial"/>
                <w:color w:val="000000"/>
                <w:sz w:val="18"/>
                <w:szCs w:val="18"/>
              </w:rPr>
              <w:br/>
            </w:r>
            <w:r>
              <w:rPr>
                <w:rFonts w:ascii="Arial" w:hAnsi="Arial" w:cs="Arial"/>
                <w:color w:val="000000"/>
                <w:sz w:val="18"/>
                <w:szCs w:val="18"/>
              </w:rPr>
              <w:br/>
              <w:t>The proposed changes, to be implemented in RMP version 4.0 (DLP 10 November 2023, final sign-off date 21 February 2024) for PARSABIV, are the following:</w:t>
            </w:r>
            <w:r>
              <w:rPr>
                <w:rFonts w:ascii="Arial" w:hAnsi="Arial" w:cs="Arial"/>
                <w:color w:val="000000"/>
                <w:sz w:val="18"/>
                <w:szCs w:val="18"/>
              </w:rPr>
              <w:br/>
            </w:r>
            <w:r>
              <w:rPr>
                <w:rFonts w:ascii="Arial" w:hAnsi="Arial" w:cs="Arial"/>
                <w:color w:val="000000"/>
                <w:sz w:val="18"/>
                <w:szCs w:val="18"/>
              </w:rPr>
              <w:br/>
              <w:t>Part/Module/Annex</w:t>
            </w:r>
            <w:r>
              <w:rPr>
                <w:rFonts w:ascii="Arial" w:hAnsi="Arial" w:cs="Arial"/>
                <w:color w:val="000000"/>
                <w:sz w:val="18"/>
                <w:szCs w:val="18"/>
              </w:rPr>
              <w:br/>
              <w:t>Part I: Product(s) Overview</w:t>
            </w:r>
            <w:r>
              <w:rPr>
                <w:rFonts w:ascii="Arial" w:hAnsi="Arial" w:cs="Arial"/>
                <w:color w:val="000000"/>
                <w:sz w:val="18"/>
                <w:szCs w:val="18"/>
              </w:rPr>
              <w:br/>
              <w:t>Part II: Safety Specification</w:t>
            </w:r>
            <w:r>
              <w:rPr>
                <w:rFonts w:ascii="Arial" w:hAnsi="Arial" w:cs="Arial"/>
                <w:color w:val="000000"/>
                <w:sz w:val="18"/>
                <w:szCs w:val="18"/>
              </w:rPr>
              <w:br/>
              <w:t>SI: Epidemiology of the Indication(s) and Target Population(s)</w:t>
            </w:r>
            <w:r>
              <w:rPr>
                <w:rFonts w:ascii="Arial" w:hAnsi="Arial" w:cs="Arial"/>
                <w:color w:val="000000"/>
                <w:sz w:val="18"/>
                <w:szCs w:val="18"/>
              </w:rPr>
              <w:br/>
            </w:r>
            <w:r>
              <w:rPr>
                <w:rFonts w:ascii="Arial" w:hAnsi="Arial" w:cs="Arial"/>
                <w:color w:val="000000"/>
                <w:sz w:val="18"/>
                <w:szCs w:val="18"/>
              </w:rPr>
              <w:lastRenderedPageBreak/>
              <w:t>SIII: Clinical Trial Exposure</w:t>
            </w:r>
            <w:r>
              <w:rPr>
                <w:rFonts w:ascii="Arial" w:hAnsi="Arial" w:cs="Arial"/>
                <w:color w:val="000000"/>
                <w:sz w:val="18"/>
                <w:szCs w:val="18"/>
              </w:rPr>
              <w:br/>
            </w:r>
            <w:r>
              <w:rPr>
                <w:rFonts w:ascii="Arial" w:hAnsi="Arial" w:cs="Arial"/>
                <w:color w:val="000000"/>
                <w:sz w:val="18"/>
                <w:szCs w:val="18"/>
              </w:rPr>
              <w:br/>
              <w:t>SIV: Populations Not Studied in Clinical Trials</w:t>
            </w:r>
            <w:r>
              <w:rPr>
                <w:rFonts w:ascii="Arial" w:hAnsi="Arial" w:cs="Arial"/>
                <w:color w:val="000000"/>
                <w:sz w:val="18"/>
                <w:szCs w:val="18"/>
              </w:rPr>
              <w:br/>
              <w:t>SV: Post-authorization Experience</w:t>
            </w:r>
            <w:r>
              <w:rPr>
                <w:rFonts w:ascii="Arial" w:hAnsi="Arial" w:cs="Arial"/>
                <w:color w:val="000000"/>
                <w:sz w:val="18"/>
                <w:szCs w:val="18"/>
              </w:rPr>
              <w:br/>
            </w:r>
            <w:r>
              <w:rPr>
                <w:rFonts w:ascii="Arial" w:hAnsi="Arial" w:cs="Arial"/>
                <w:color w:val="000000"/>
                <w:sz w:val="18"/>
                <w:szCs w:val="18"/>
              </w:rPr>
              <w:br/>
              <w:t>SVII: Identified and Potential Risks</w:t>
            </w:r>
            <w:r>
              <w:rPr>
                <w:rFonts w:ascii="Arial" w:hAnsi="Arial" w:cs="Arial"/>
                <w:color w:val="000000"/>
                <w:sz w:val="18"/>
                <w:szCs w:val="18"/>
              </w:rPr>
              <w:br/>
            </w:r>
            <w:r>
              <w:rPr>
                <w:rFonts w:ascii="Arial" w:hAnsi="Arial" w:cs="Arial"/>
                <w:color w:val="000000"/>
                <w:sz w:val="18"/>
                <w:szCs w:val="18"/>
              </w:rPr>
              <w:br/>
              <w:t>SVIII: Summary of the Safety Concerns</w:t>
            </w:r>
            <w:r>
              <w:rPr>
                <w:rFonts w:ascii="Arial" w:hAnsi="Arial" w:cs="Arial"/>
                <w:color w:val="000000"/>
                <w:sz w:val="18"/>
                <w:szCs w:val="18"/>
              </w:rPr>
              <w:br/>
              <w:t>Part III: Pharmacovigilance</w:t>
            </w:r>
            <w:r>
              <w:rPr>
                <w:rFonts w:ascii="Arial" w:hAnsi="Arial" w:cs="Arial"/>
                <w:color w:val="000000"/>
                <w:sz w:val="18"/>
                <w:szCs w:val="18"/>
              </w:rPr>
              <w:br/>
              <w:t>Plan (Including</w:t>
            </w:r>
            <w:r>
              <w:rPr>
                <w:rFonts w:ascii="Arial" w:hAnsi="Arial" w:cs="Arial"/>
                <w:color w:val="000000"/>
                <w:sz w:val="18"/>
                <w:szCs w:val="18"/>
              </w:rPr>
              <w:br/>
            </w:r>
            <w:proofErr w:type="spellStart"/>
            <w:r>
              <w:rPr>
                <w:rFonts w:ascii="Arial" w:hAnsi="Arial" w:cs="Arial"/>
                <w:color w:val="000000"/>
                <w:sz w:val="18"/>
                <w:szCs w:val="18"/>
              </w:rPr>
              <w:t>Postauthorization</w:t>
            </w:r>
            <w:proofErr w:type="spellEnd"/>
            <w:r>
              <w:rPr>
                <w:rFonts w:ascii="Arial" w:hAnsi="Arial" w:cs="Arial"/>
                <w:color w:val="000000"/>
                <w:sz w:val="18"/>
                <w:szCs w:val="18"/>
              </w:rPr>
              <w:t xml:space="preserve"> Safety</w:t>
            </w:r>
            <w:r>
              <w:rPr>
                <w:rFonts w:ascii="Arial" w:hAnsi="Arial" w:cs="Arial"/>
                <w:color w:val="000000"/>
                <w:sz w:val="18"/>
                <w:szCs w:val="18"/>
              </w:rPr>
              <w:br/>
              <w:t>Studies)</w:t>
            </w:r>
            <w:r>
              <w:rPr>
                <w:rFonts w:ascii="Arial" w:hAnsi="Arial" w:cs="Arial"/>
                <w:color w:val="000000"/>
                <w:sz w:val="18"/>
                <w:szCs w:val="18"/>
              </w:rPr>
              <w:br/>
              <w:t>Part V: Risk Minimization Measures (Including Evaluation of the Effectiveness of Risk Minimization Activities)</w:t>
            </w:r>
            <w:r>
              <w:rPr>
                <w:rFonts w:ascii="Arial" w:hAnsi="Arial" w:cs="Arial"/>
                <w:color w:val="000000"/>
                <w:sz w:val="18"/>
                <w:szCs w:val="18"/>
              </w:rPr>
              <w:br/>
              <w:t>Part VI: Summary of the Risk</w:t>
            </w:r>
            <w:r>
              <w:rPr>
                <w:rFonts w:ascii="Arial" w:hAnsi="Arial" w:cs="Arial"/>
                <w:color w:val="000000"/>
                <w:sz w:val="18"/>
                <w:szCs w:val="18"/>
              </w:rPr>
              <w:br/>
              <w:t>Part VII: Annexes</w:t>
            </w:r>
            <w:r>
              <w:rPr>
                <w:rFonts w:ascii="Arial" w:hAnsi="Arial" w:cs="Arial"/>
                <w:color w:val="000000"/>
                <w:sz w:val="18"/>
                <w:szCs w:val="18"/>
              </w:rPr>
              <w:br/>
              <w:t>Annex 2: Tabulated Summary of Planned, Ongoing, and Completed Pharmacovigilance Study Program</w:t>
            </w:r>
            <w:r>
              <w:rPr>
                <w:rFonts w:ascii="Arial" w:hAnsi="Arial" w:cs="Arial"/>
                <w:color w:val="000000"/>
                <w:sz w:val="18"/>
                <w:szCs w:val="18"/>
              </w:rPr>
              <w:br/>
              <w:t>Annex 3: Protocols for Proposed, Ongoing, and Completed Studies in the Pharmacovigilance Plan</w:t>
            </w:r>
            <w:r>
              <w:rPr>
                <w:rFonts w:ascii="Arial" w:hAnsi="Arial" w:cs="Arial"/>
                <w:color w:val="000000"/>
                <w:sz w:val="18"/>
                <w:szCs w:val="18"/>
              </w:rPr>
              <w:br/>
              <w:t>Major Change(s)</w:t>
            </w:r>
            <w:r>
              <w:rPr>
                <w:rFonts w:ascii="Arial" w:hAnsi="Arial" w:cs="Arial"/>
                <w:color w:val="000000"/>
                <w:sz w:val="18"/>
                <w:szCs w:val="18"/>
              </w:rPr>
              <w:br/>
              <w:t xml:space="preserve">Updated to show that </w:t>
            </w:r>
            <w:proofErr w:type="spellStart"/>
            <w:r>
              <w:rPr>
                <w:rFonts w:ascii="Arial" w:hAnsi="Arial" w:cs="Arial"/>
                <w:color w:val="000000"/>
                <w:sz w:val="18"/>
                <w:szCs w:val="18"/>
              </w:rPr>
              <w:t>etelcalcetide</w:t>
            </w:r>
            <w:proofErr w:type="spellEnd"/>
            <w:r>
              <w:rPr>
                <w:rFonts w:ascii="Arial" w:hAnsi="Arial" w:cs="Arial"/>
                <w:color w:val="000000"/>
                <w:sz w:val="18"/>
                <w:szCs w:val="18"/>
              </w:rPr>
              <w:t xml:space="preserve"> is not subject to additional monitoring in the European Union.</w:t>
            </w:r>
            <w:r>
              <w:rPr>
                <w:rFonts w:ascii="Arial" w:hAnsi="Arial" w:cs="Arial"/>
                <w:color w:val="000000"/>
                <w:sz w:val="18"/>
                <w:szCs w:val="18"/>
              </w:rPr>
              <w:br/>
            </w:r>
            <w:r>
              <w:rPr>
                <w:rFonts w:ascii="Arial" w:hAnsi="Arial" w:cs="Arial"/>
                <w:color w:val="000000"/>
                <w:sz w:val="18"/>
                <w:szCs w:val="18"/>
              </w:rPr>
              <w:br/>
              <w:t>Updated epidemiology data.</w:t>
            </w:r>
            <w:r>
              <w:rPr>
                <w:rFonts w:ascii="Arial" w:hAnsi="Arial" w:cs="Arial"/>
                <w:color w:val="000000"/>
                <w:sz w:val="18"/>
                <w:szCs w:val="18"/>
              </w:rPr>
              <w:br/>
            </w:r>
            <w:r>
              <w:rPr>
                <w:rFonts w:ascii="Arial" w:hAnsi="Arial" w:cs="Arial"/>
                <w:color w:val="000000"/>
                <w:sz w:val="18"/>
                <w:szCs w:val="18"/>
              </w:rPr>
              <w:br/>
              <w:t>Clinical trial exposure data updated to a data lock point of 10 November 2023.</w:t>
            </w:r>
            <w:r>
              <w:rPr>
                <w:rFonts w:ascii="Arial" w:hAnsi="Arial" w:cs="Arial"/>
                <w:color w:val="000000"/>
                <w:sz w:val="18"/>
                <w:szCs w:val="18"/>
              </w:rPr>
              <w:br/>
              <w:t>Exposure of special populations updated to a data lock point of 10 November 2023.</w:t>
            </w:r>
            <w:r>
              <w:rPr>
                <w:rFonts w:ascii="Arial" w:hAnsi="Arial" w:cs="Arial"/>
                <w:color w:val="000000"/>
                <w:sz w:val="18"/>
                <w:szCs w:val="18"/>
              </w:rPr>
              <w:br/>
              <w:t xml:space="preserve">Post-authorization exposure </w:t>
            </w:r>
            <w:r>
              <w:rPr>
                <w:rFonts w:ascii="Arial" w:hAnsi="Arial" w:cs="Arial"/>
                <w:color w:val="000000"/>
                <w:sz w:val="18"/>
                <w:szCs w:val="18"/>
              </w:rPr>
              <w:lastRenderedPageBreak/>
              <w:t>data updated to a data lock point of 10 November 2023.</w:t>
            </w:r>
            <w:r>
              <w:rPr>
                <w:rFonts w:ascii="Arial" w:hAnsi="Arial" w:cs="Arial"/>
                <w:color w:val="000000"/>
                <w:sz w:val="18"/>
                <w:szCs w:val="18"/>
              </w:rPr>
              <w:br/>
              <w:t>Removed important potential risk of 'gastrointestinal hemorrhage.'</w:t>
            </w:r>
            <w:r>
              <w:rPr>
                <w:rFonts w:ascii="Arial" w:hAnsi="Arial" w:cs="Arial"/>
                <w:color w:val="000000"/>
                <w:sz w:val="18"/>
                <w:szCs w:val="18"/>
              </w:rPr>
              <w:br/>
              <w:t>Removed important potential risk of 'gastrointestinal hemorrhage.'</w:t>
            </w:r>
            <w:r>
              <w:rPr>
                <w:rFonts w:ascii="Arial" w:hAnsi="Arial" w:cs="Arial"/>
                <w:color w:val="000000"/>
                <w:sz w:val="18"/>
                <w:szCs w:val="18"/>
              </w:rPr>
              <w:br/>
              <w:t>Removed completed category 3 Study 20170561.</w:t>
            </w:r>
            <w:r>
              <w:rPr>
                <w:rFonts w:ascii="Arial" w:hAnsi="Arial" w:cs="Arial"/>
                <w:color w:val="000000"/>
                <w:sz w:val="18"/>
                <w:szCs w:val="18"/>
              </w:rPr>
              <w:br/>
            </w:r>
            <w:r>
              <w:rPr>
                <w:rFonts w:ascii="Arial" w:hAnsi="Arial" w:cs="Arial"/>
                <w:color w:val="000000"/>
                <w:sz w:val="18"/>
                <w:szCs w:val="18"/>
              </w:rPr>
              <w:br/>
              <w:t>Removed important potential risk of 'gastrointestinal hemorrhage.'</w:t>
            </w:r>
            <w:r>
              <w:rPr>
                <w:rFonts w:ascii="Arial" w:hAnsi="Arial" w:cs="Arial"/>
                <w:color w:val="000000"/>
                <w:sz w:val="18"/>
                <w:szCs w:val="18"/>
              </w:rPr>
              <w:br/>
              <w:t>Updated per changes listed above for Module SVII and Parts III and V.</w:t>
            </w:r>
            <w:r>
              <w:rPr>
                <w:rFonts w:ascii="Arial" w:hAnsi="Arial" w:cs="Arial"/>
                <w:color w:val="000000"/>
                <w:sz w:val="18"/>
                <w:szCs w:val="18"/>
              </w:rPr>
              <w:br/>
            </w:r>
            <w:r>
              <w:rPr>
                <w:rFonts w:ascii="Arial" w:hAnsi="Arial" w:cs="Arial"/>
                <w:color w:val="000000"/>
                <w:sz w:val="18"/>
                <w:szCs w:val="18"/>
              </w:rPr>
              <w:br/>
              <w:t>Updated category 3 Study 20170561 from ongoing to completed.</w:t>
            </w:r>
            <w:r>
              <w:rPr>
                <w:rFonts w:ascii="Arial" w:hAnsi="Arial" w:cs="Arial"/>
                <w:color w:val="000000"/>
                <w:sz w:val="18"/>
                <w:szCs w:val="18"/>
              </w:rPr>
              <w:br/>
              <w:t>Removed protocol for Study 20170561.</w:t>
            </w:r>
            <w:r>
              <w:rPr>
                <w:rFonts w:ascii="Arial" w:hAnsi="Arial" w:cs="Arial"/>
                <w:color w:val="000000"/>
                <w:sz w:val="18"/>
                <w:szCs w:val="18"/>
              </w:rPr>
              <w:br/>
            </w:r>
            <w:r>
              <w:rPr>
                <w:rFonts w:ascii="Arial" w:hAnsi="Arial" w:cs="Arial"/>
                <w:color w:val="000000"/>
                <w:sz w:val="18"/>
                <w:szCs w:val="18"/>
              </w:rPr>
              <w:br/>
              <w:t>Assessment:</w:t>
            </w:r>
            <w:r>
              <w:rPr>
                <w:rFonts w:ascii="Arial" w:hAnsi="Arial" w:cs="Arial"/>
                <w:color w:val="000000"/>
                <w:sz w:val="18"/>
                <w:szCs w:val="18"/>
              </w:rPr>
              <w:br/>
              <w:t>In more details, the following sections of the RMP were amended:</w:t>
            </w:r>
            <w:r>
              <w:rPr>
                <w:rFonts w:ascii="Arial" w:hAnsi="Arial" w:cs="Arial"/>
                <w:color w:val="000000"/>
                <w:sz w:val="18"/>
                <w:szCs w:val="18"/>
              </w:rPr>
              <w:br/>
              <w:t>PARTI: PRODUCT OVERVIEW</w:t>
            </w:r>
            <w:r>
              <w:rPr>
                <w:rFonts w:ascii="Arial" w:hAnsi="Arial" w:cs="Arial"/>
                <w:color w:val="000000"/>
                <w:sz w:val="18"/>
                <w:szCs w:val="18"/>
              </w:rPr>
              <w:br/>
              <w:t>Information that the product is not subject to additional monitoring</w:t>
            </w:r>
            <w:r>
              <w:rPr>
                <w:rFonts w:ascii="Arial" w:hAnsi="Arial" w:cs="Arial"/>
                <w:color w:val="000000"/>
                <w:sz w:val="18"/>
                <w:szCs w:val="18"/>
              </w:rPr>
              <w:br/>
              <w:t>Part II SI</w:t>
            </w:r>
            <w:r>
              <w:rPr>
                <w:rFonts w:ascii="Arial" w:hAnsi="Arial" w:cs="Arial"/>
                <w:color w:val="000000"/>
                <w:sz w:val="18"/>
                <w:szCs w:val="18"/>
              </w:rPr>
              <w:br/>
              <w:t>Data on incidence, prevalence of secondary hyperparathyroidism, demographic of indicated population, risk factors for the disease have been updated in accordance to Registry of European Renal Association- European Dialysis and Transplant Association (ERA-EDTA).</w:t>
            </w:r>
            <w:r>
              <w:rPr>
                <w:rFonts w:ascii="Arial" w:hAnsi="Arial" w:cs="Arial"/>
                <w:color w:val="000000"/>
                <w:sz w:val="18"/>
                <w:szCs w:val="18"/>
              </w:rPr>
              <w:br/>
              <w:t>Part II SIII</w:t>
            </w:r>
            <w:r>
              <w:rPr>
                <w:rFonts w:ascii="Arial" w:hAnsi="Arial" w:cs="Arial"/>
                <w:color w:val="000000"/>
                <w:sz w:val="18"/>
                <w:szCs w:val="18"/>
              </w:rPr>
              <w:br/>
            </w:r>
            <w:r>
              <w:rPr>
                <w:rFonts w:ascii="Arial" w:hAnsi="Arial" w:cs="Arial"/>
                <w:color w:val="000000"/>
                <w:sz w:val="18"/>
                <w:szCs w:val="18"/>
              </w:rPr>
              <w:lastRenderedPageBreak/>
              <w:t xml:space="preserve">Total Subject Exposure to </w:t>
            </w:r>
            <w:proofErr w:type="spellStart"/>
            <w:r>
              <w:rPr>
                <w:rFonts w:ascii="Arial" w:hAnsi="Arial" w:cs="Arial"/>
                <w:color w:val="000000"/>
                <w:sz w:val="18"/>
                <w:szCs w:val="18"/>
              </w:rPr>
              <w:t>Etelcalcetide</w:t>
            </w:r>
            <w:proofErr w:type="spellEnd"/>
            <w:r>
              <w:rPr>
                <w:rFonts w:ascii="Arial" w:hAnsi="Arial" w:cs="Arial"/>
                <w:color w:val="000000"/>
                <w:sz w:val="18"/>
                <w:szCs w:val="18"/>
              </w:rPr>
              <w:t xml:space="preserve"> in Clinical Trials has been updated. The total number of patients raised from 1719 (2433.58 subject/year) to 2090 (2612.92). All the concerned table have been updated: exposure by Indication and Duration, by age group and gender, by indication and race.</w:t>
            </w:r>
            <w:r>
              <w:rPr>
                <w:rFonts w:ascii="Arial" w:hAnsi="Arial" w:cs="Arial"/>
                <w:color w:val="000000"/>
                <w:sz w:val="18"/>
                <w:szCs w:val="18"/>
              </w:rPr>
              <w:br/>
              <w:t>Part II SIV</w:t>
            </w:r>
            <w:r>
              <w:rPr>
                <w:rFonts w:ascii="Arial" w:hAnsi="Arial" w:cs="Arial"/>
                <w:color w:val="000000"/>
                <w:sz w:val="18"/>
                <w:szCs w:val="18"/>
              </w:rPr>
              <w:br/>
              <w:t>Regarding patients with hepatic impairment it has been reported that no dedicated studies have been performed in these patients, although the clinical development program included subjects with a reported medical history of hepatic impairment.</w:t>
            </w:r>
            <w:r>
              <w:rPr>
                <w:rFonts w:ascii="Arial" w:hAnsi="Arial" w:cs="Arial"/>
                <w:color w:val="000000"/>
                <w:sz w:val="18"/>
                <w:szCs w:val="18"/>
              </w:rPr>
              <w:br/>
              <w:t xml:space="preserve">Exposure of population with relevant different ethnic origin has been updated, as well as </w:t>
            </w:r>
            <w:proofErr w:type="spellStart"/>
            <w:r>
              <w:rPr>
                <w:rFonts w:ascii="Arial" w:hAnsi="Arial" w:cs="Arial"/>
                <w:color w:val="000000"/>
                <w:sz w:val="18"/>
                <w:szCs w:val="18"/>
              </w:rPr>
              <w:t>paediatric</w:t>
            </w:r>
            <w:proofErr w:type="spellEnd"/>
            <w:r>
              <w:rPr>
                <w:rFonts w:ascii="Arial" w:hAnsi="Arial" w:cs="Arial"/>
                <w:color w:val="000000"/>
                <w:sz w:val="18"/>
                <w:szCs w:val="18"/>
              </w:rPr>
              <w:t xml:space="preserve"> patients (from 38 of RMP </w:t>
            </w:r>
            <w:proofErr w:type="spellStart"/>
            <w:r>
              <w:rPr>
                <w:rFonts w:ascii="Arial" w:hAnsi="Arial" w:cs="Arial"/>
                <w:color w:val="000000"/>
                <w:sz w:val="18"/>
                <w:szCs w:val="18"/>
              </w:rPr>
              <w:t>ver</w:t>
            </w:r>
            <w:proofErr w:type="spellEnd"/>
            <w:r>
              <w:rPr>
                <w:rFonts w:ascii="Arial" w:hAnsi="Arial" w:cs="Arial"/>
                <w:color w:val="000000"/>
                <w:sz w:val="18"/>
                <w:szCs w:val="18"/>
              </w:rPr>
              <w:t xml:space="preserve"> 3.0 to 38) and elderly (from 520 of RMP </w:t>
            </w:r>
            <w:proofErr w:type="spellStart"/>
            <w:r>
              <w:rPr>
                <w:rFonts w:ascii="Arial" w:hAnsi="Arial" w:cs="Arial"/>
                <w:color w:val="000000"/>
                <w:sz w:val="18"/>
                <w:szCs w:val="18"/>
              </w:rPr>
              <w:t>ver</w:t>
            </w:r>
            <w:proofErr w:type="spellEnd"/>
            <w:r>
              <w:rPr>
                <w:rFonts w:ascii="Arial" w:hAnsi="Arial" w:cs="Arial"/>
                <w:color w:val="000000"/>
                <w:sz w:val="18"/>
                <w:szCs w:val="18"/>
              </w:rPr>
              <w:t xml:space="preserve"> 3.0 to 577).</w:t>
            </w:r>
            <w:r>
              <w:rPr>
                <w:rFonts w:ascii="Arial" w:hAnsi="Arial" w:cs="Arial"/>
                <w:color w:val="000000"/>
                <w:sz w:val="18"/>
                <w:szCs w:val="18"/>
              </w:rPr>
              <w:br/>
              <w:t>Part II SIV</w:t>
            </w:r>
            <w:r>
              <w:rPr>
                <w:rFonts w:ascii="Arial" w:hAnsi="Arial" w:cs="Arial"/>
                <w:color w:val="000000"/>
                <w:sz w:val="18"/>
                <w:szCs w:val="18"/>
              </w:rPr>
              <w:br/>
              <w:t xml:space="preserve">Estimated Number of Patient-years of Exposure to </w:t>
            </w:r>
            <w:proofErr w:type="spellStart"/>
            <w:r>
              <w:rPr>
                <w:rFonts w:ascii="Arial" w:hAnsi="Arial" w:cs="Arial"/>
                <w:color w:val="000000"/>
                <w:sz w:val="18"/>
                <w:szCs w:val="18"/>
              </w:rPr>
              <w:t>Etelcalcetide</w:t>
            </w:r>
            <w:proofErr w:type="spellEnd"/>
            <w:r>
              <w:rPr>
                <w:rFonts w:ascii="Arial" w:hAnsi="Arial" w:cs="Arial"/>
                <w:color w:val="000000"/>
                <w:sz w:val="18"/>
                <w:szCs w:val="18"/>
              </w:rPr>
              <w:t xml:space="preserve">, by Region, in the </w:t>
            </w:r>
            <w:proofErr w:type="spellStart"/>
            <w:r>
              <w:rPr>
                <w:rFonts w:ascii="Arial" w:hAnsi="Arial" w:cs="Arial"/>
                <w:color w:val="000000"/>
                <w:sz w:val="18"/>
                <w:szCs w:val="18"/>
              </w:rPr>
              <w:t>Postmarketing</w:t>
            </w:r>
            <w:proofErr w:type="spellEnd"/>
            <w:r>
              <w:rPr>
                <w:rFonts w:ascii="Arial" w:hAnsi="Arial" w:cs="Arial"/>
                <w:color w:val="000000"/>
                <w:sz w:val="18"/>
                <w:szCs w:val="18"/>
              </w:rPr>
              <w:t xml:space="preserve"> Setting changed from 134 916 to 373 473. Patients exposure estimated from business partners changed from 109 594 patient-years to 305 058.</w:t>
            </w:r>
            <w:r>
              <w:rPr>
                <w:rFonts w:ascii="Arial" w:hAnsi="Arial" w:cs="Arial"/>
                <w:color w:val="000000"/>
                <w:sz w:val="18"/>
                <w:szCs w:val="18"/>
              </w:rPr>
              <w:br/>
              <w:t>Part II SVII</w:t>
            </w:r>
            <w:r>
              <w:rPr>
                <w:rFonts w:ascii="Arial" w:hAnsi="Arial" w:cs="Arial"/>
                <w:color w:val="000000"/>
                <w:sz w:val="18"/>
                <w:szCs w:val="18"/>
              </w:rPr>
              <w:br/>
              <w:t xml:space="preserve">Section "New Safety Concerns and Reclassification With a Submission of an Updated RMP" has been updated. Gastrointestinal hemorrhage, previously classified as an important potential risk, has been removed from the list of safety concerns in the EU RMP, as per PRAC request in the procedure EMEA/H/C/003995/II/0021. The RMP has been updated with the information that the findings from Study 20170561 do not suggest an elevated risk of gastrointestinal bleeding for hemodialysis patients exposed to </w:t>
            </w:r>
            <w:proofErr w:type="spellStart"/>
            <w:r>
              <w:rPr>
                <w:rFonts w:ascii="Arial" w:hAnsi="Arial" w:cs="Arial"/>
                <w:color w:val="000000"/>
                <w:sz w:val="18"/>
                <w:szCs w:val="18"/>
              </w:rPr>
              <w:t>etelcalcetide</w:t>
            </w:r>
            <w:proofErr w:type="spellEnd"/>
            <w:r>
              <w:rPr>
                <w:rFonts w:ascii="Arial" w:hAnsi="Arial" w:cs="Arial"/>
                <w:color w:val="000000"/>
                <w:sz w:val="18"/>
                <w:szCs w:val="18"/>
              </w:rPr>
              <w:t xml:space="preserve">. The EMA requested to "remove from the RMP the category 3 PASS study 20170561 as additional pharmacovigilance activity and the risk of "Gastrointestinal </w:t>
            </w:r>
            <w:proofErr w:type="spellStart"/>
            <w:r>
              <w:rPr>
                <w:rFonts w:ascii="Arial" w:hAnsi="Arial" w:cs="Arial"/>
                <w:color w:val="000000"/>
                <w:sz w:val="18"/>
                <w:szCs w:val="18"/>
              </w:rPr>
              <w:t>haemorrhage</w:t>
            </w:r>
            <w:proofErr w:type="spellEnd"/>
            <w:r>
              <w:rPr>
                <w:rFonts w:ascii="Arial" w:hAnsi="Arial" w:cs="Arial"/>
                <w:color w:val="000000"/>
                <w:sz w:val="18"/>
                <w:szCs w:val="18"/>
              </w:rPr>
              <w:t xml:space="preserve">" as important potential risk, at the first regulatory opportunity. In consideration of the limitations of study results (e.g. scarce sample size), the MAH is requested to maintain "Gastrointestinal </w:t>
            </w:r>
            <w:proofErr w:type="spellStart"/>
            <w:r>
              <w:rPr>
                <w:rFonts w:ascii="Arial" w:hAnsi="Arial" w:cs="Arial"/>
                <w:color w:val="000000"/>
                <w:sz w:val="18"/>
                <w:szCs w:val="18"/>
              </w:rPr>
              <w:t>haemorrhage</w:t>
            </w:r>
            <w:proofErr w:type="spellEnd"/>
            <w:r>
              <w:rPr>
                <w:rFonts w:ascii="Arial" w:hAnsi="Arial" w:cs="Arial"/>
                <w:color w:val="000000"/>
                <w:sz w:val="18"/>
                <w:szCs w:val="18"/>
              </w:rPr>
              <w:t>" as important potential risk for the scope of the PSURs, and provide cumulative reviews in the context of the PSURs submitted in the future."</w:t>
            </w:r>
            <w:r>
              <w:rPr>
                <w:rFonts w:ascii="Arial" w:hAnsi="Arial" w:cs="Arial"/>
                <w:color w:val="000000"/>
                <w:sz w:val="18"/>
                <w:szCs w:val="18"/>
              </w:rPr>
              <w:br/>
              <w:t>Part III</w:t>
            </w:r>
            <w:r>
              <w:rPr>
                <w:rFonts w:ascii="Arial" w:hAnsi="Arial" w:cs="Arial"/>
                <w:color w:val="000000"/>
                <w:sz w:val="18"/>
                <w:szCs w:val="18"/>
              </w:rPr>
              <w:br/>
              <w:t>Study 20170561 has been removed from the table of ongoing and planned additional pharmacovigilance activities.</w:t>
            </w:r>
            <w:r>
              <w:rPr>
                <w:rFonts w:ascii="Arial" w:hAnsi="Arial" w:cs="Arial"/>
                <w:color w:val="000000"/>
                <w:sz w:val="18"/>
                <w:szCs w:val="18"/>
              </w:rPr>
              <w:br/>
              <w:t>Part V</w:t>
            </w:r>
            <w:r>
              <w:rPr>
                <w:rFonts w:ascii="Arial" w:hAnsi="Arial" w:cs="Arial"/>
                <w:color w:val="000000"/>
                <w:sz w:val="18"/>
                <w:szCs w:val="18"/>
              </w:rPr>
              <w:br/>
              <w:t>Gastrointestinal hemorrhage has been removed as safety concern from the table of Description of Routine Risk Minimization Measures by Safety Concern, as well as from Summary Table of Pharmacovigilance Activities and Risk Minimization Activities by Safety Concern.</w:t>
            </w:r>
            <w:r>
              <w:rPr>
                <w:rFonts w:ascii="Arial" w:hAnsi="Arial" w:cs="Arial"/>
                <w:color w:val="000000"/>
                <w:sz w:val="18"/>
                <w:szCs w:val="18"/>
              </w:rPr>
              <w:br/>
              <w:t>Part VI</w:t>
            </w:r>
            <w:r>
              <w:rPr>
                <w:rFonts w:ascii="Arial" w:hAnsi="Arial" w:cs="Arial"/>
                <w:color w:val="000000"/>
                <w:sz w:val="18"/>
                <w:szCs w:val="18"/>
              </w:rPr>
              <w:br/>
              <w:t>References to the important potential risk Gastrointestinal hemorrhage and to the Study 20170561 have been removed from the concerned parts of the RMP summary.</w:t>
            </w:r>
            <w:r>
              <w:rPr>
                <w:rFonts w:ascii="Arial" w:hAnsi="Arial" w:cs="Arial"/>
                <w:color w:val="000000"/>
                <w:sz w:val="18"/>
                <w:szCs w:val="18"/>
              </w:rPr>
              <w:br/>
              <w:t xml:space="preserve">Annex 2 </w:t>
            </w:r>
            <w:r>
              <w:rPr>
                <w:rFonts w:ascii="Arial" w:hAnsi="Arial" w:cs="Arial"/>
                <w:color w:val="000000"/>
                <w:sz w:val="18"/>
                <w:szCs w:val="18"/>
              </w:rPr>
              <w:br/>
              <w:t>Study 20170561 has been reported as completed study.</w:t>
            </w:r>
            <w:r>
              <w:rPr>
                <w:rFonts w:ascii="Arial" w:hAnsi="Arial" w:cs="Arial"/>
                <w:color w:val="000000"/>
                <w:sz w:val="18"/>
                <w:szCs w:val="18"/>
              </w:rPr>
              <w:br/>
              <w:t xml:space="preserve">Annex 3 </w:t>
            </w:r>
            <w:r>
              <w:rPr>
                <w:rFonts w:ascii="Arial" w:hAnsi="Arial" w:cs="Arial"/>
                <w:color w:val="000000"/>
                <w:sz w:val="18"/>
                <w:szCs w:val="18"/>
              </w:rPr>
              <w:br/>
              <w:t>Protocol of Study 20170561 has been removed.</w:t>
            </w:r>
            <w:r>
              <w:rPr>
                <w:rFonts w:ascii="Arial" w:hAnsi="Arial" w:cs="Arial"/>
                <w:color w:val="000000"/>
                <w:sz w:val="18"/>
                <w:szCs w:val="18"/>
              </w:rPr>
              <w:br/>
              <w:t>The editorial changes are acceptable.</w:t>
            </w:r>
            <w:r>
              <w:rPr>
                <w:rFonts w:ascii="Arial" w:hAnsi="Arial" w:cs="Arial"/>
                <w:color w:val="000000"/>
                <w:sz w:val="18"/>
                <w:szCs w:val="18"/>
              </w:rPr>
              <w:br/>
              <w:t>Conclusion:</w:t>
            </w:r>
            <w:r>
              <w:rPr>
                <w:rFonts w:ascii="Arial" w:hAnsi="Arial" w:cs="Arial"/>
                <w:color w:val="000000"/>
                <w:sz w:val="18"/>
                <w:szCs w:val="18"/>
              </w:rPr>
              <w:br/>
              <w:t>The issue of gastrointestinal bleeding and ulceration is closely monitored in EU since the first PSUR. In the procedure EMEA/H/C/003995/II/0021the FSR of the case-control observational PASS study 20170561 was evaluated.</w:t>
            </w:r>
            <w:r>
              <w:rPr>
                <w:rFonts w:ascii="Arial" w:hAnsi="Arial" w:cs="Arial"/>
                <w:color w:val="000000"/>
                <w:sz w:val="18"/>
                <w:szCs w:val="18"/>
              </w:rPr>
              <w:br/>
              <w:t>In general, data emerged from this study does not raise safety concerns, though several limitations (i.e. limited sample size) may have impacted the results.</w:t>
            </w:r>
            <w:r>
              <w:rPr>
                <w:rFonts w:ascii="Arial" w:hAnsi="Arial" w:cs="Arial"/>
                <w:color w:val="000000"/>
                <w:sz w:val="18"/>
                <w:szCs w:val="18"/>
              </w:rPr>
              <w:br/>
              <w:t xml:space="preserve">The MAH was requested to remove from the RMP the category 3 PASS study 20170561 as additional pharmacovigilance activity and the risk of "Gastrointestinal </w:t>
            </w:r>
            <w:proofErr w:type="spellStart"/>
            <w:r>
              <w:rPr>
                <w:rFonts w:ascii="Arial" w:hAnsi="Arial" w:cs="Arial"/>
                <w:color w:val="000000"/>
                <w:sz w:val="18"/>
                <w:szCs w:val="18"/>
              </w:rPr>
              <w:t>haemorrhage</w:t>
            </w:r>
            <w:proofErr w:type="spellEnd"/>
            <w:r>
              <w:rPr>
                <w:rFonts w:ascii="Arial" w:hAnsi="Arial" w:cs="Arial"/>
                <w:color w:val="000000"/>
                <w:sz w:val="18"/>
                <w:szCs w:val="18"/>
              </w:rPr>
              <w:t xml:space="preserve">" as important potential risk, at the first regulatory opportunity. The MAH was requested to maintain "Gastrointestinal </w:t>
            </w:r>
            <w:proofErr w:type="spellStart"/>
            <w:r>
              <w:rPr>
                <w:rFonts w:ascii="Arial" w:hAnsi="Arial" w:cs="Arial"/>
                <w:color w:val="000000"/>
                <w:sz w:val="18"/>
                <w:szCs w:val="18"/>
              </w:rPr>
              <w:t>haemorrhage</w:t>
            </w:r>
            <w:proofErr w:type="spellEnd"/>
            <w:r>
              <w:rPr>
                <w:rFonts w:ascii="Arial" w:hAnsi="Arial" w:cs="Arial"/>
                <w:color w:val="000000"/>
                <w:sz w:val="18"/>
                <w:szCs w:val="18"/>
              </w:rPr>
              <w:t>" as important potential risk for the scope of the PSURs, and provide cumulative reviews in the context of the PSURs submitted in the future.</w:t>
            </w:r>
          </w:p>
        </w:tc>
        <w:tc>
          <w:tcPr>
            <w:tcW w:w="1046" w:type="dxa"/>
            <w:shd w:val="clear" w:color="auto" w:fill="FFFFFF"/>
          </w:tcPr>
          <w:p w:rsidR="00F57D66" w:rsidRDefault="00F57D66" w:rsidP="00F57D66">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F57D66" w:rsidRDefault="00F57D66" w:rsidP="00F57D66">
            <w:pPr>
              <w:pStyle w:val="a3"/>
              <w:tabs>
                <w:tab w:val="left" w:pos="12600"/>
              </w:tabs>
              <w:jc w:val="center"/>
              <w:rPr>
                <w:rFonts w:ascii="Arial" w:hAnsi="Arial" w:cs="Arial"/>
                <w:sz w:val="18"/>
                <w:szCs w:val="18"/>
              </w:rPr>
            </w:pPr>
            <w:r>
              <w:rPr>
                <w:rFonts w:ascii="Arial" w:hAnsi="Arial" w:cs="Arial"/>
                <w:sz w:val="18"/>
                <w:szCs w:val="18"/>
              </w:rPr>
              <w:t>UA/17068/01/01</w:t>
            </w:r>
          </w:p>
        </w:tc>
      </w:tr>
    </w:tbl>
    <w:p w:rsidR="00D642BA" w:rsidRPr="00FE0145" w:rsidRDefault="00D642BA" w:rsidP="00403480">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E9F"/>
    <w:rsid w:val="000526B1"/>
    <w:rsid w:val="0005387A"/>
    <w:rsid w:val="000539DA"/>
    <w:rsid w:val="00056B16"/>
    <w:rsid w:val="00057475"/>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189"/>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6DC1"/>
    <w:rsid w:val="00311565"/>
    <w:rsid w:val="00311575"/>
    <w:rsid w:val="00314717"/>
    <w:rsid w:val="00317729"/>
    <w:rsid w:val="0032674C"/>
    <w:rsid w:val="0032724B"/>
    <w:rsid w:val="00327708"/>
    <w:rsid w:val="003301C7"/>
    <w:rsid w:val="00331176"/>
    <w:rsid w:val="0033166C"/>
    <w:rsid w:val="00331DA8"/>
    <w:rsid w:val="00334B77"/>
    <w:rsid w:val="00335D53"/>
    <w:rsid w:val="003365A0"/>
    <w:rsid w:val="00336772"/>
    <w:rsid w:val="003374E3"/>
    <w:rsid w:val="00340F81"/>
    <w:rsid w:val="00341504"/>
    <w:rsid w:val="00342D49"/>
    <w:rsid w:val="003437FC"/>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86D"/>
    <w:rsid w:val="00C00FB8"/>
    <w:rsid w:val="00C02991"/>
    <w:rsid w:val="00C0496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75CE3"/>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4B79E1-2FB3-468D-B722-C74566E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8135-3C09-4099-B2BC-53962580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4919</Words>
  <Characters>2804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2024-11-07T15:00:00Z</dcterms:created>
  <dcterms:modified xsi:type="dcterms:W3CDTF">2024-11-07T15:00:00Z</dcterms:modified>
</cp:coreProperties>
</file>