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8E" w:rsidRDefault="00922D0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04D09">
        <w:t>1</w:t>
      </w:r>
    </w:p>
    <w:p w:rsidR="002B238E" w:rsidRDefault="00922D09" w:rsidP="003959C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3959C7">
        <w:rPr>
          <w:lang w:val="uk-UA"/>
        </w:rPr>
        <w:t>«</w:t>
      </w:r>
      <w:r w:rsidR="003959C7" w:rsidRPr="003959C7">
        <w:rPr>
          <w:lang w:val="uk-UA"/>
        </w:rPr>
        <w:t>Про затвердження суттєвих</w:t>
      </w:r>
      <w:r w:rsidR="003959C7">
        <w:rPr>
          <w:lang w:val="uk-UA"/>
        </w:rPr>
        <w:t xml:space="preserve"> </w:t>
      </w:r>
      <w:r w:rsidR="003959C7" w:rsidRPr="003959C7">
        <w:rPr>
          <w:lang w:val="uk-UA"/>
        </w:rPr>
        <w:t>поправок до протоколів</w:t>
      </w:r>
      <w:r w:rsidR="003959C7">
        <w:rPr>
          <w:lang w:val="uk-UA"/>
        </w:rPr>
        <w:t xml:space="preserve"> </w:t>
      </w:r>
      <w:r w:rsidR="003959C7" w:rsidRPr="003959C7">
        <w:rPr>
          <w:lang w:val="uk-UA"/>
        </w:rPr>
        <w:t>клінічних випробувань</w:t>
      </w:r>
      <w:r w:rsidR="003959C7"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 w:rsidR="00922D09"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Оновлений протокол клінічного випробування ACE-LY-312 (D8227C00001), версія 7.0 від </w:t>
            </w:r>
            <w:r w:rsidR="008508F7">
              <w:rPr>
                <w:lang w:val="uk-UA"/>
              </w:rPr>
              <w:t xml:space="preserve">               </w:t>
            </w:r>
            <w:r w:rsidRPr="00393BBC">
              <w:t xml:space="preserve">29 травня 2024 року; Оновлена Брошура Дослідника щодо Acalabrutinib (ACP-196), видання 13.0 від 14 березня 2024 р.; Стисла характеристика лікарського засобу Rituximab (MabThera) концентрат 500 mg для розчину для інфузій від 27 вересня 2023 року англійською мовою; Інформація про дослідження та форма інформованої згоди, місцева версія для України, </w:t>
            </w:r>
            <w:r w:rsidR="008508F7">
              <w:rPr>
                <w:lang w:val="uk-UA"/>
              </w:rPr>
              <w:t xml:space="preserve">                   </w:t>
            </w:r>
            <w:r w:rsidRPr="00393BBC">
              <w:t>8.0 від 6 серпня 2024 року англійською мовою; Інформація про дослідження та форма інформованої згоди, місцева версія для України, 8.0 від 6 серпня 2024 року, перекладено українською мовою для України 21 серпня 2024 року; Інформація про дослідження та форма інформованої згоди, місцева версія для України, 8.0 від 6 серпня 2024 року, перекладено російською мовою для України 21 серпня 2024 року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2674 від 18.11.2020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</w:t>
            </w:r>
            <w:r w:rsidR="008508F7">
              <w:t xml:space="preserve">ne — </w:t>
            </w:r>
            <w:r w:rsidR="00EC660B">
              <w:rPr>
                <w:lang w:val="uk-UA"/>
              </w:rPr>
              <w:t xml:space="preserve">                        </w:t>
            </w:r>
            <w:r w:rsidR="008508F7">
              <w:t xml:space="preserve">R-CHOP) у пацієнтів віком </w:t>
            </w:r>
            <w:r w:rsidR="008508F7">
              <w:rPr>
                <w:rFonts w:cs="Times New Roman"/>
              </w:rPr>
              <w:t>≤</w:t>
            </w:r>
            <w:r w:rsidR="00922D09" w:rsidRPr="00393BBC">
              <w:t>75 років із раніше нелікованою дифузною В-великоклітинною лімфомою, що виникла з клітин негермінального центру</w:t>
            </w:r>
            <w:r w:rsidRPr="00393BBC">
              <w:rPr>
                <w:color w:val="000000"/>
              </w:rPr>
              <w:t>»</w:t>
            </w:r>
            <w:r w:rsidR="00922D09" w:rsidRPr="00393BBC">
              <w:t>, ACE-LY-312 (D8227C00001), версія 6.0 від 22 листопада 2022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ФОРТРІА ДЕВЕЛОПМЕНТ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8346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en-US"/>
              </w:rPr>
            </w:pPr>
            <w:r w:rsidRPr="00393BBC">
              <w:rPr>
                <w:lang w:val="en-US"/>
              </w:rPr>
              <w:t>Acerta Pharma B.V., (A Member of the AstraZeneca Group), Netherlands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93BBC" w:rsidRPr="008346DD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93BBC" w:rsidRPr="00393BBC" w:rsidRDefault="00393BBC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93BBC" w:rsidRPr="00393BBC" w:rsidRDefault="00393BBC">
            <w:r w:rsidRPr="00393BBC">
              <w:t>Зміна назви місця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93BBC" w:rsidRPr="00393BBC" w:rsidTr="0076740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2e86d3a6"/>
                  </w:pP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2e86d3a6"/>
                  </w:pP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393BBC" w:rsidRPr="008346DD" w:rsidTr="0076740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Шнайдерман П.Ю.</w:t>
                  </w:r>
                </w:p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«Подільський регіональний центр онкології Вінницької обласної ради», </w:t>
                  </w:r>
                  <w:r w:rsidRPr="00393BBC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хіміотерапевтичне відділення</w:t>
                  </w: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f06cd379"/>
                  </w:pP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Шнайдерман П.Ю.</w:t>
                  </w:r>
                </w:p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«Подільський регіональний центр онкології Вінницької обласної ради», </w:t>
                  </w:r>
                  <w:r w:rsidRPr="00393BBC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хіміотерапевтичне відділення з ліжками денного перебування пацієнтів</w:t>
                  </w:r>
                  <w:r w:rsidRPr="00393BBC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м. Вінниця</w:t>
                  </w:r>
                </w:p>
              </w:tc>
            </w:tr>
          </w:tbl>
          <w:p w:rsidR="00393BBC" w:rsidRPr="00393BBC" w:rsidRDefault="00393BBC" w:rsidP="00C5319E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1326 від 02.07.2021 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пембролізумаб</w:t>
            </w:r>
            <w:r w:rsidRPr="00393BBC">
              <w:rPr>
                <w:color w:val="000000"/>
              </w:rPr>
              <w:t>»</w:t>
            </w:r>
            <w:r w:rsidR="00922D09" w:rsidRPr="00393BBC">
              <w:t>, MK-3475-587, з інкорпорованою поправкою 04 від 15 грудня 2022 року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Товариство з обмеженою відповідальністю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МСД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 Мерк Шарп енд Доум, США (Merck Sharp &amp; Dohme LLC, USA)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922D09">
        <w:rPr>
          <w:lang w:val="uk-UA"/>
        </w:rPr>
        <w:t xml:space="preserve"> 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>Інформаційна картка учасника дослідження, версія 4.0 від 31 травня 2024 року, українською та російською мовами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1896 від 27.08.2019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Рандомізоване, подвійне сліпе, плацебо-контрольоване дослідження Фази 3 для оцінки препарату упадацитиніб у підлітків та дорослих пацієнтів з помірним та тяжким атопічним дерматитом</w:t>
            </w:r>
            <w:r w:rsidRPr="00393BBC">
              <w:rPr>
                <w:color w:val="000000"/>
              </w:rPr>
              <w:t>»</w:t>
            </w:r>
            <w:r w:rsidR="00922D09" w:rsidRPr="00393BBC">
              <w:t>, M16-045, версія 7.1 від 18 серпня 2023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ЕббВі Біофармасьютікалз ГмбХ</w:t>
            </w:r>
            <w:r w:rsidRPr="00393BBC">
              <w:rPr>
                <w:color w:val="000000"/>
              </w:rPr>
              <w:t>»</w:t>
            </w:r>
            <w:r w:rsidR="00922D09" w:rsidRPr="00393BBC">
              <w:t>, Швейцарія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AbbVie Inc., USA/ ЕббВі Інк., США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Брошура дослідника для досліджуваного лікарського засобу Рісанкізумаб, версія 11 від </w:t>
            </w:r>
            <w:r w:rsidR="00945C64">
              <w:rPr>
                <w:lang w:val="uk-UA"/>
              </w:rPr>
              <w:t xml:space="preserve">                    </w:t>
            </w:r>
            <w:r w:rsidRPr="00393BBC">
              <w:t>17 червня 2024 року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64" w:rsidRDefault="00945C64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>№ 341 від 26.02.2018</w:t>
            </w:r>
          </w:p>
          <w:p w:rsidR="00945C64" w:rsidRDefault="00945C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2030 від 07.11.2018</w:t>
            </w:r>
          </w:p>
          <w:p w:rsidR="002B238E" w:rsidRPr="00393BBC" w:rsidRDefault="00922D09" w:rsidP="00945C64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>№ 1896 від 27.08.2</w:t>
            </w:r>
            <w:r w:rsidR="00945C64">
              <w:rPr>
                <w:lang w:val="uk-UA"/>
              </w:rPr>
              <w:t>019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64" w:rsidRDefault="00393BBC">
            <w:pPr>
              <w:jc w:val="both"/>
              <w:rPr>
                <w:color w:val="000000"/>
              </w:rPr>
            </w:pPr>
            <w:r w:rsidRPr="00393BBC">
              <w:rPr>
                <w:color w:val="000000"/>
              </w:rPr>
              <w:t>«</w:t>
            </w:r>
            <w:r w:rsidR="00922D09" w:rsidRPr="00393BBC">
              <w:t>Багатоцентрове, рандомізоване, подвійне сліпе, плацебо-контрольоване 52-тижневе дослідження підтримуючої та відкритої продовженої терапії для оцінки ефективності та безпечності рісанкізумабу у пацієнтів з хворобою Крона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, M16-000, з інкорпорованими адміністративними змінами 1, 2, 4, 6, 7, 8, 9 та поправками 1, 2, 3, 4, 5, 6, 7, 8, 9 та 10 від </w:t>
            </w:r>
            <w:r w:rsidR="00945C64">
              <w:rPr>
                <w:lang w:val="uk-UA"/>
              </w:rPr>
              <w:t xml:space="preserve">                   </w:t>
            </w:r>
            <w:r w:rsidR="00922D09" w:rsidRPr="00393BBC">
              <w:t>16 грудня 2022 року;</w:t>
            </w:r>
            <w:r w:rsidRPr="00393BBC">
              <w:rPr>
                <w:color w:val="000000"/>
              </w:rPr>
              <w:t xml:space="preserve"> </w:t>
            </w:r>
          </w:p>
          <w:p w:rsidR="00945C64" w:rsidRDefault="00393BBC">
            <w:pPr>
              <w:jc w:val="both"/>
              <w:rPr>
                <w:color w:val="000000"/>
              </w:rPr>
            </w:pPr>
            <w:r w:rsidRPr="00393BBC">
              <w:rPr>
                <w:color w:val="000000"/>
              </w:rPr>
              <w:t>«</w:t>
            </w:r>
            <w:r w:rsidR="00922D09" w:rsidRPr="00393BBC">
              <w:t>Багатоцентрове, рандомізоване, подвійне сліпе, плацебо-контрольоване 52-тижневе підтримуюче лікування і відкрите продовжене дослідження для вивчення ефективності та безпечності Рісанкізумабу у пацієнтів з виразковим колітом</w:t>
            </w:r>
            <w:r w:rsidRPr="00393BBC">
              <w:rPr>
                <w:color w:val="000000"/>
              </w:rPr>
              <w:t>»</w:t>
            </w:r>
            <w:r w:rsidR="00922D09" w:rsidRPr="00393BBC">
              <w:t>, M16-066, інкорпорований Поправками 1, 2, 2.01 (тільки для Китаю), 3, 3.01 (тільки для Німеччини), 4, 4.01 (тільки для Японії), 4.02 (для України та прилеглих задіяних країн), 5 і Адміністративними змінами 1, 2, 3, 4 від 16 грудня 2022 року;</w:t>
            </w:r>
            <w:r w:rsidRPr="00393BBC">
              <w:rPr>
                <w:color w:val="000000"/>
              </w:rPr>
              <w:t xml:space="preserve"> </w:t>
            </w:r>
          </w:p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 подвійне сліпе дослідження III фази, для порівняння препарату Рісанкізумаб з плацебо у пацієнтів з активним псоріатичним артритом (ПсА), які мають в анамнезі неадекватну відповідь принаймні на один хворобомодифікуючий протиревматичний препарат (ХМПРП) або його непереносимість (KEEPsAKE 1)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, M16-011, версія 6.0 від </w:t>
            </w:r>
            <w:r w:rsidR="00945C64">
              <w:rPr>
                <w:lang w:val="uk-UA"/>
              </w:rPr>
              <w:t xml:space="preserve">                   </w:t>
            </w:r>
            <w:r w:rsidR="00922D09" w:rsidRPr="00393BBC">
              <w:t>13 березня 2023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ЕббВі Біофармасьютікалз ГмбХ</w:t>
            </w:r>
            <w:r w:rsidRPr="00393BBC">
              <w:rPr>
                <w:color w:val="000000"/>
              </w:rPr>
              <w:t>»</w:t>
            </w:r>
            <w:r w:rsidR="00922D09" w:rsidRPr="00393BBC">
              <w:t>, Швейцарія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AbbVie Inc., USA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922D09">
        <w:rPr>
          <w:lang w:val="uk-UA"/>
        </w:rPr>
        <w:t xml:space="preserve"> 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>Резюме результатів клінічного випробування, версія від червня 2024 р. українською мовою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2147 від 04.10.2021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Рандомізоване, відкрите, контрольоване активним препаратом,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(ПНГ), які раніше не отримували лікування інгібіторами комплементу</w:t>
            </w:r>
            <w:r w:rsidRPr="00393BBC">
              <w:rPr>
                <w:color w:val="000000"/>
              </w:rPr>
              <w:t>»</w:t>
            </w:r>
            <w:r w:rsidR="00922D09" w:rsidRPr="00393BBC">
              <w:t>, BO42162, версія 7 від 15 вересня 2023 р.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Товариство з обмеженою відповідальністю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Рош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Ф.Хоффманн-Ля Рош Лтд, Швейцарія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Оновлений протокол клінічного дослідження BGB-3111-306, версія з поправкою 4.0 від </w:t>
            </w:r>
            <w:r w:rsidR="00945C64">
              <w:rPr>
                <w:lang w:val="uk-UA"/>
              </w:rPr>
              <w:t xml:space="preserve">                   </w:t>
            </w:r>
            <w:r w:rsidRPr="00393BBC">
              <w:t>12 лютого 2024 року; Оновлена Брошура дослідника з препарату Занубрутініб (BGB-3111), видання 12.0 від 06 лютого 2024 року; Основний інформаційний листок пацієнта та Форма інформованої згоди для України, версія 7.0 від 23 липня 2024 року, англійською мовою; Основний інформаційний листок пацієнта та Форма інформованої згоди для України, версія 7.0 від 23 липня 2024 року. Перекладено українською мовою для України 29 липня 2024 року; Основний інформаційний листок пацієнта та Форма інформованої згоди для України, версія 7.0 від 23 липня 2024 року. Перекладено російською мовою для України 26 липня 2024 року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1246 від 26.05.2020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Рандомізоване, відкрите, багатоцентрове дослідження фази 3 для вивчення комбінації занубрутінібу (BGB-3111)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, BGB-3111-306, версія з поправкою 3.0 від </w:t>
            </w:r>
            <w:r w:rsidR="00945C64">
              <w:rPr>
                <w:lang w:val="uk-UA"/>
              </w:rPr>
              <w:t xml:space="preserve">                </w:t>
            </w:r>
            <w:r w:rsidR="00922D09" w:rsidRPr="00393BBC">
              <w:t>17 серпня 2022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ФОРТРІА ДЕВЕЛОПМЕНТ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БейДжен Лтд [BeiGene Ltd], США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>Оновлений Протокол клінічного випробування OMS906-PNH-002, Поправка 03 від 19 серпня 2024 року, англійською мовою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2239 від 13.12.2022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Фаза 1b дослідження з метою перевірки концепції, для оцінки безпечності, переносимості, фармакокінетики, фармакодинаміки та попередньої оцінки ефективності препарату OMS906 у пацієнтів із пароксизмальною нічною гемоглобінурією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, OMS906-PNH-002, Поправка </w:t>
            </w:r>
            <w:r w:rsidR="00DF6D82">
              <w:rPr>
                <w:lang w:val="uk-UA"/>
              </w:rPr>
              <w:t xml:space="preserve">                  </w:t>
            </w:r>
            <w:r w:rsidR="00922D09" w:rsidRPr="00393BBC">
              <w:t>02 від 27 жовтня 2023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АРЕНСІЯ ЕКСПЛОРАТОРІ МЕДІСІН</w:t>
            </w:r>
            <w:r w:rsidR="00393BBC" w:rsidRPr="00393BBC">
              <w:rPr>
                <w:color w:val="000000"/>
              </w:rPr>
              <w:t>»</w:t>
            </w:r>
            <w:r w:rsidRPr="00393BBC">
              <w:t>, Україна</w:t>
            </w:r>
          </w:p>
        </w:tc>
      </w:tr>
      <w:tr w:rsidR="002B238E" w:rsidRPr="008346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  <w:rPr>
                <w:lang w:val="en-US"/>
              </w:rPr>
            </w:pPr>
            <w:r w:rsidRPr="00393BBC">
              <w:rPr>
                <w:color w:val="000000"/>
                <w:lang w:val="en-US"/>
              </w:rPr>
              <w:t>«</w:t>
            </w:r>
            <w:r w:rsidR="00922D09" w:rsidRPr="00393BBC">
              <w:t>Омерос</w:t>
            </w:r>
            <w:r w:rsidR="00922D09" w:rsidRPr="00393BBC">
              <w:rPr>
                <w:lang w:val="en-US"/>
              </w:rPr>
              <w:t xml:space="preserve"> </w:t>
            </w:r>
            <w:r w:rsidR="00922D09" w:rsidRPr="00393BBC">
              <w:t>Корпорейшн</w:t>
            </w:r>
            <w:r w:rsidRPr="00393BBC">
              <w:rPr>
                <w:color w:val="000000"/>
                <w:lang w:val="en-US"/>
              </w:rPr>
              <w:t>»</w:t>
            </w:r>
            <w:r w:rsidR="00922D09" w:rsidRPr="00393BBC">
              <w:rPr>
                <w:lang w:val="en-US"/>
              </w:rPr>
              <w:t xml:space="preserve"> [Omeros Corporation], </w:t>
            </w:r>
            <w:r w:rsidR="00922D09" w:rsidRPr="00393BBC">
              <w:t>США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922D09">
        <w:rPr>
          <w:lang w:val="uk-UA"/>
        </w:rPr>
        <w:t xml:space="preserve"> 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Оновлений протокол клінічного випробування BJT-778-001, версія 4.0, поправка 3, від </w:t>
            </w:r>
            <w:r w:rsidR="00DF6D82">
              <w:rPr>
                <w:lang w:val="uk-UA"/>
              </w:rPr>
              <w:t xml:space="preserve">                      </w:t>
            </w:r>
            <w:r w:rsidRPr="00393BBC">
              <w:t>29 липня 2024 року, англійською мовою; Інформація для учасника дослідження /Форма інформованої згоди, Основне дослідження – Когорта Е і Когорта F, для України, версія 5.0 від 28 серпня 2024 року, на основі Майстер-версії ІУД/ФІЗ, Основне дослідження, Когорта Е і когорта F, версія 5.0 від 01 серпня 2024 року, англійською та українською мовами; Інформація для учасника дослідження /Форма інформованої згоди, Основне дослідження – Когорта G, для України, версія 2.0 від 28 серпня 2024 року, на основі Майстер-версії ІУД/ФІЗ, Основне дослідження, Когорта G, версія 2.0 від 01 серпня 2024 року, англійською та українською мовами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742 від 17.04.2023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Фаза 1/2a, рандомізоване, плацебо-контрольоване дослідження для оцінки безпеки, переносимості, фармакокінетики та противірусної активності препарату BJT-778 у здорових добровольців та пацієнтів із хронічною інфекцією вірусу гепатиту В, включаючи пацієнтів із хронічною інфекцією вірусу гепатиту D</w:t>
            </w:r>
            <w:r w:rsidRPr="00393BBC">
              <w:rPr>
                <w:color w:val="000000"/>
              </w:rPr>
              <w:t>»</w:t>
            </w:r>
            <w:r w:rsidR="00922D09" w:rsidRPr="00393BBC">
              <w:t>, BJT-778-001, версія 3.0, поправка 2, від 22 лютого 2024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АРЕНСІЯ ЕКСПЛОРАТОРІ МЕДІСІН</w:t>
            </w:r>
            <w:r w:rsidR="00393BBC" w:rsidRPr="00393BBC">
              <w:rPr>
                <w:color w:val="000000"/>
              </w:rPr>
              <w:t>»</w:t>
            </w:r>
            <w:r w:rsidRPr="00393BBC">
              <w:t>, Україна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Блюджей Терапьютікс, Інк. [Bluejay Therapeutics, Inc.], США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922D09">
        <w:rPr>
          <w:lang w:val="uk-UA"/>
        </w:rPr>
        <w:t xml:space="preserve"> 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p w:rsidR="00141E0C" w:rsidRDefault="00141E0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93BBC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93BBC" w:rsidRPr="00393BBC" w:rsidRDefault="00393BBC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93BBC" w:rsidRPr="00393BBC" w:rsidRDefault="00393BBC">
            <w:r w:rsidRPr="00393BBC">
              <w:t>Залучення додаткових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393BBC" w:rsidRPr="00393BBC" w:rsidTr="009B2814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2e86d3a6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202b20ac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393BBC" w:rsidRPr="00393BBC" w:rsidRDefault="002E076E" w:rsidP="00393BBC">
                  <w:pPr>
                    <w:pStyle w:val="cs2e86d3a6"/>
                  </w:pPr>
                  <w:r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Н</w:t>
                  </w:r>
                  <w:r w:rsidR="00393BBC"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азва місця проведення клінічного випробування</w:t>
                  </w:r>
                </w:p>
              </w:tc>
            </w:tr>
            <w:tr w:rsidR="00393BBC" w:rsidRPr="00393BBC" w:rsidTr="009B2814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CE4F1A">
                  <w:pPr>
                    <w:pStyle w:val="cs2e86d3a6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f06cd379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д.м.н., проф. Демчук А.В.</w:t>
                  </w:r>
                </w:p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Приватне мале підприємство, медичний центр «Пульс», терапевтичне відділення, </w:t>
                  </w:r>
                  <w:r w:rsidR="009B281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 </w:t>
                  </w: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</w:tr>
            <w:tr w:rsidR="00393BBC" w:rsidRPr="008346DD" w:rsidTr="009B2814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CE4F1A">
                  <w:pPr>
                    <w:pStyle w:val="cs2e86d3a6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f06cd379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к.м.н., доцент Тхоровський М.А.</w:t>
                  </w:r>
                </w:p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«Медичний центр Хелс Клінік», Медичний клінічний дослідницький центр, відділ загальної терапії, м. Вінниця</w:t>
                  </w:r>
                </w:p>
              </w:tc>
            </w:tr>
            <w:tr w:rsidR="00393BBC" w:rsidRPr="008346DD" w:rsidTr="009B2814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CE4F1A">
                  <w:pPr>
                    <w:pStyle w:val="cs2e86d3a6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f06cd379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к.м.н. Жованик Н.В.</w:t>
                  </w:r>
                </w:p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«Закарпатська обласна клінічна лікарня                                   імені Андрія Новака» Закарпатської обласної ради, пульмонологічне відділення, </w:t>
                  </w:r>
                  <w:r w:rsidR="009B281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</w:t>
                  </w: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Ужгород</w:t>
                  </w:r>
                </w:p>
              </w:tc>
            </w:tr>
            <w:tr w:rsidR="00393BBC" w:rsidRPr="00393BBC" w:rsidTr="009B2814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CE4F1A">
                  <w:pPr>
                    <w:pStyle w:val="cs2e86d3a6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BBC" w:rsidRPr="00393BBC" w:rsidRDefault="00393BBC" w:rsidP="00393BBC">
                  <w:pPr>
                    <w:pStyle w:val="csf06cd379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д.м.н., проф. Ступницька Г.Я.</w:t>
                  </w:r>
                </w:p>
                <w:p w:rsidR="00393BBC" w:rsidRPr="00393BBC" w:rsidRDefault="00393BBC" w:rsidP="00393BBC">
                  <w:pPr>
                    <w:pStyle w:val="cs80d9435b"/>
                  </w:pP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Медичний центр товариства з обмеженою відповідальністю «Євромедсервіс», </w:t>
                  </w:r>
                  <w:r w:rsidR="009B281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Pr="00393BBC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Чернівці</w:t>
                  </w:r>
                </w:p>
              </w:tc>
            </w:tr>
          </w:tbl>
          <w:p w:rsidR="00393BBC" w:rsidRPr="00393BBC" w:rsidRDefault="00393BBC" w:rsidP="005F66D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1397 від 08.08.2024 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Рандомізоване, подвійне сліпе, багатоцентрове дослідження фази III у паралельних групах для оцінки ефективності дозованого інгалятору будесоніду, глікопіронію та формотеролу фумарату відносно дозованого інгалятору глікопіронію і формотеролу фумарату на серцево-легеневі наслідки у хворих на хронічне обструктивне захворювання легень (THARROS)</w:t>
            </w:r>
            <w:r w:rsidRPr="00393BBC">
              <w:rPr>
                <w:color w:val="000000"/>
              </w:rPr>
              <w:t>»</w:t>
            </w:r>
            <w:r w:rsidR="00922D09" w:rsidRPr="00393BBC">
              <w:t>, D5989C00001, версія 2.0 від 28 січня 2024 року</w:t>
            </w:r>
          </w:p>
        </w:tc>
      </w:tr>
    </w:tbl>
    <w:p w:rsidR="00141E0C" w:rsidRDefault="00141E0C">
      <w:r>
        <w:br w:type="page"/>
      </w:r>
    </w:p>
    <w:p w:rsidR="00141E0C" w:rsidRPr="00F14EAD" w:rsidRDefault="00F14EA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продовження додатка 9</w:t>
      </w:r>
    </w:p>
    <w:p w:rsidR="00141E0C" w:rsidRDefault="00141E0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АСТРАЗЕНЕКА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AstraZeneca AB, Sweden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Брошура дослідника MK-7684/MK-7684A (Vibostolimab), видання 13 від 07 серпня 2024 року, англійською мовою; Зразки маркування досліджуваного лікарського засобу MK-7684A </w:t>
            </w:r>
            <w:r w:rsidR="009B2814">
              <w:rPr>
                <w:lang w:val="uk-UA"/>
              </w:rPr>
              <w:t xml:space="preserve">              </w:t>
            </w:r>
            <w:proofErr w:type="gramStart"/>
            <w:r w:rsidR="009B2814">
              <w:rPr>
                <w:lang w:val="uk-UA"/>
              </w:rPr>
              <w:t xml:space="preserve">   </w:t>
            </w:r>
            <w:r w:rsidRPr="00393BBC">
              <w:t>(</w:t>
            </w:r>
            <w:proofErr w:type="gramEnd"/>
            <w:r w:rsidRPr="00393BBC">
              <w:t>MK-7684 + MK-3475) (Kit, Vial), версія 2.0 від 03 травня 2024 р., англійською та українською мовами; Зразки маркування досліджуваного лікарського засобу Дурвалумаб (Kit, Vial), версія 2.0 від 29 квітня 2024 р., англійською та українською мовами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475 від 13.03.2022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Відкрите дослідження III фази MK-7684A (комбінація препаратів вібостолімабу та пембролізумабу) у комбінації з конкурентною хіміопроменевою терапією та подальшою терапією препаратом MK-7684A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(НДРЛ) III стадії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 (KEYVIBE-006), MK-7684A-006, з інкорпорованою поправкою 01 від 15 вересня 2022 року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Товариство з обмеженою відповідальністю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МСД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 Мерк Шарп енд Доум, США (Merck Sharp &amp; Dohme LLC, USA)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>Брошура дослідника MK-1308A, видання 6 від 08 серп</w:t>
            </w:r>
            <w:r w:rsidR="009B2814">
              <w:t>ня 2024 року, англійською мовою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762 від 20.04.2021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 xml:space="preserve">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</w:t>
            </w:r>
            <w:r w:rsidR="009B2814">
              <w:rPr>
                <w:lang w:val="uk-UA"/>
              </w:rPr>
              <w:t xml:space="preserve">                   </w:t>
            </w:r>
            <w:r w:rsidR="00922D09" w:rsidRPr="00393BBC">
              <w:t>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, MK-6482-012, з інкорпорованою поправкою 05 від </w:t>
            </w:r>
            <w:r w:rsidR="009B2814">
              <w:rPr>
                <w:lang w:val="uk-UA"/>
              </w:rPr>
              <w:t xml:space="preserve">                       </w:t>
            </w:r>
            <w:r w:rsidR="00922D09" w:rsidRPr="00393BBC">
              <w:t>04 червня 2024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Товариство з обмеженою відповідальністю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МСД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 Мерк Шарп енд Доум, США (Merck Sharp &amp; Dohme LLC, USA)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Брошура дослідника Кавротолімод, видання 1.1, від 29 липня 2024 року, англійською мовою; Інформація для учасника дослідження /Форма інформованої згоди, Основне дослідження – Частина А, версія 2.0 від 02 вересня 2024 року для України, на основі глобальної майстер-версії ІУД/ФІЗ, для Частини А основного дослідження, версія 1.1 від 27 серпня 2024 року, англійською та українською мовами; Інформація для учасника дослідження /Форма інформованої згоди, Основне дослідження – Частина В, версія 2.0 від 02 вересня 2024 року для України, на основі глобальної майстер-версії ІУД/ФІЗ, для Частини В основного дослідження, версія 1.1 від 27 серпня 2024 року, англійською та українською мовами; </w:t>
            </w:r>
            <w:r w:rsidR="009B2814">
              <w:rPr>
                <w:lang w:val="uk-UA"/>
              </w:rPr>
              <w:t xml:space="preserve">                   </w:t>
            </w:r>
            <w:r w:rsidRPr="00393BBC">
              <w:t>BJT-008-001 Лист роз'яснення до Протоколу стосовно участі у дослідженні більше ніж в одній групі, від 12 червня 2024 р., англійською; BJT-008-001 Лист роз'яснення до Протоколу стосовно вікна забору ФСГ (FSH) та ФК (РК) для Частини A, від 16 серпня 2024 року, англійською мовою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1268 від 19.07.2024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Дослідження фази 1b для оцінки безпечності, фармакокінетики, фармакодинаміки та ефективності кавротолімоду у вигляді монотерапії та у комбінаціях з іншими препаратами у пацієнтів з хронічною інфекцією вірусу гепатиту B</w:t>
            </w:r>
            <w:r w:rsidRPr="00393BBC">
              <w:rPr>
                <w:color w:val="000000"/>
              </w:rPr>
              <w:t>»</w:t>
            </w:r>
            <w:r w:rsidR="00922D09" w:rsidRPr="00393BBC">
              <w:t xml:space="preserve">, BJT-008-001, версія 1.0 від 08 травня 2024 року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АРЕНСІЯ ЕКСПЛОРАТОРІ МЕДІСІН</w:t>
            </w:r>
            <w:r w:rsidR="00393BBC" w:rsidRPr="00393BBC">
              <w:rPr>
                <w:color w:val="000000"/>
              </w:rPr>
              <w:t>»</w:t>
            </w:r>
            <w:r w:rsidRPr="00393BBC">
              <w:t>, Україна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Блюджей Терапьютікс, Інк., США [Bluejay Therapeutics, Inc., USA]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Брошура дослідника на досліджуваний лікарський засіб Декспраміпексол, версія 8.0 від </w:t>
            </w:r>
            <w:r w:rsidR="009B2814">
              <w:rPr>
                <w:lang w:val="uk-UA"/>
              </w:rPr>
              <w:t xml:space="preserve">                    </w:t>
            </w:r>
            <w:r w:rsidRPr="00393BBC">
              <w:t>14 серпня 2024 р., англійською мовою; Збільшення кількості досліджуваних в Україні з 160 до 300 осіб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1973 від 17.11.2023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Рандомізоване, подвійне сліпе, плацебо-контрольоване дослідження в паралельних групах для оцінки ефективності, безпечності та переносимості декспраміпексолу для перорального застосування протягом 24 тижнів у пацієнтів з еозинофільною астмою (EXHALE-4)</w:t>
            </w:r>
            <w:proofErr w:type="gramStart"/>
            <w:r w:rsidRPr="00393BBC">
              <w:rPr>
                <w:color w:val="000000"/>
              </w:rPr>
              <w:t>»</w:t>
            </w:r>
            <w:r w:rsidR="00922D09" w:rsidRPr="00393BBC">
              <w:t xml:space="preserve">, </w:t>
            </w:r>
            <w:r w:rsidR="009B2814">
              <w:rPr>
                <w:lang w:val="uk-UA"/>
              </w:rPr>
              <w:t xml:space="preserve">  </w:t>
            </w:r>
            <w:proofErr w:type="gramEnd"/>
            <w:r w:rsidR="009B2814">
              <w:rPr>
                <w:lang w:val="uk-UA"/>
              </w:rPr>
              <w:t xml:space="preserve">                   </w:t>
            </w:r>
            <w:r w:rsidR="00922D09" w:rsidRPr="00393BBC">
              <w:t>AR-DEX-22-03, поправка 3 від 25 серпня 2023 р.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ВОРЛДВАЙД КЛІНІКАЛ ТРАІЛС УКР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Аретея Терап'ютікс Інк. (Areteia Therapeutics, Inc.), США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B238E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2B238E" w:rsidRDefault="00141E0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</w:p>
    <w:p w:rsidR="002B238E" w:rsidRDefault="002B238E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B238E" w:rsidRPr="00393BBC" w:rsidRDefault="00922D09">
            <w:pPr>
              <w:jc w:val="both"/>
              <w:rPr>
                <w:rFonts w:asciiTheme="minorHAnsi" w:hAnsiTheme="minorHAnsi"/>
                <w:sz w:val="22"/>
              </w:rPr>
            </w:pPr>
            <w:r w:rsidRPr="00393BBC">
              <w:t xml:space="preserve">Зразок Буклету маркування досліджуваного лікарського засобу Ібрутиніб, капсули 140 мг від 29 травня 2024 року, включаючи зразок маркування українською мовою, ревізія 3 від </w:t>
            </w:r>
            <w:r w:rsidR="009B2814">
              <w:rPr>
                <w:lang w:val="uk-UA"/>
              </w:rPr>
              <w:t xml:space="preserve">                         </w:t>
            </w:r>
            <w:r w:rsidRPr="00393BBC">
              <w:t>21 травня 2024 року; Пам'ятка з аналітичної хімії_Обґрунтування умов зберігання Ібрутинібу, капсули 140 мг, версія 1.0 від 20 лютого 2024 року, англійською мовою</w:t>
            </w:r>
            <w:r w:rsidRPr="00393BBC">
              <w:rPr>
                <w:lang w:val="uk-UA"/>
              </w:rPr>
              <w:t xml:space="preserve">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939 від 23.05.2023 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>Протокол продовження лікування пацієнтів, які продовжують отримувати користь від терапії ібрутинібом після завершення участі у клінічних дослідженнях ібрутинібу</w:t>
            </w:r>
            <w:proofErr w:type="gramStart"/>
            <w:r w:rsidRPr="00393BBC">
              <w:rPr>
                <w:color w:val="000000"/>
              </w:rPr>
              <w:t>»</w:t>
            </w:r>
            <w:r w:rsidR="00922D09" w:rsidRPr="00393BBC">
              <w:t xml:space="preserve">, </w:t>
            </w:r>
            <w:r w:rsidR="009B2814">
              <w:rPr>
                <w:lang w:val="uk-UA"/>
              </w:rPr>
              <w:t xml:space="preserve">  </w:t>
            </w:r>
            <w:proofErr w:type="gramEnd"/>
            <w:r w:rsidR="009B2814">
              <w:rPr>
                <w:lang w:val="uk-UA"/>
              </w:rPr>
              <w:t xml:space="preserve">                 </w:t>
            </w:r>
            <w:r w:rsidR="00922D09" w:rsidRPr="00393BBC">
              <w:t>PCYC-1145-LT, інкорпорований поправкою 3 від 21 вересня 2023 року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Підприємство з 100% іноземною інвестицією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АЙК’ЮВІА РДС Україна</w:t>
            </w:r>
            <w:r w:rsidR="00393BBC" w:rsidRPr="00393BBC">
              <w:rPr>
                <w:color w:val="000000"/>
              </w:rPr>
              <w:t>»</w:t>
            </w:r>
          </w:p>
        </w:tc>
      </w:tr>
      <w:tr w:rsidR="002B238E" w:rsidRPr="00393BB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 xml:space="preserve">Pharmacyclics Switzerland GmbH, Швейцарія </w:t>
            </w:r>
          </w:p>
        </w:tc>
      </w:tr>
    </w:tbl>
    <w:p w:rsidR="002B238E" w:rsidRDefault="002B238E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>
      <w:pPr>
        <w:tabs>
          <w:tab w:val="clear" w:pos="708"/>
        </w:tabs>
        <w:rPr>
          <w:lang w:eastAsia="en-US"/>
        </w:rPr>
        <w:sectPr w:rsidR="002B238E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04D09" w:rsidRDefault="00922D0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2B238E" w:rsidRDefault="00704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="00922D09">
        <w:rPr>
          <w:lang w:val="uk-UA"/>
        </w:rPr>
        <w:t xml:space="preserve">Додаток </w:t>
      </w:r>
      <w:r w:rsidR="00922D09" w:rsidRPr="00704D09">
        <w:t>15</w:t>
      </w:r>
    </w:p>
    <w:p w:rsidR="00704D09" w:rsidRDefault="00141E0C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3959C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3959C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3959C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B238E" w:rsidRDefault="008346DD">
      <w:pPr>
        <w:ind w:left="9072"/>
        <w:rPr>
          <w:lang w:val="uk-UA"/>
        </w:rPr>
      </w:pPr>
      <w:r w:rsidRPr="008346DD">
        <w:rPr>
          <w:u w:val="single"/>
          <w:lang w:val="uk-UA"/>
        </w:rPr>
        <w:t>7</w:t>
      </w:r>
      <w:r>
        <w:rPr>
          <w:u w:val="single"/>
          <w:lang w:val="uk-UA"/>
        </w:rPr>
        <w:t>.10.</w:t>
      </w:r>
      <w:r w:rsidRPr="008346DD">
        <w:rPr>
          <w:u w:val="single"/>
          <w:lang w:val="uk-UA"/>
        </w:rPr>
        <w:t>2024 року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1711</w:t>
      </w:r>
      <w:bookmarkStart w:id="0" w:name="_GoBack"/>
      <w:bookmarkEnd w:id="0"/>
    </w:p>
    <w:p w:rsidR="002B238E" w:rsidRPr="00DD0394" w:rsidRDefault="002B238E">
      <w:pPr>
        <w:rPr>
          <w:sz w:val="6"/>
          <w:szCs w:val="6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93BBC" w:rsidRPr="008346DD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93BBC" w:rsidRPr="00393BBC" w:rsidRDefault="00393BBC">
            <w:pPr>
              <w:rPr>
                <w:szCs w:val="24"/>
              </w:rPr>
            </w:pPr>
            <w:r w:rsidRPr="00393BBC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93BBC" w:rsidRPr="00393BBC" w:rsidRDefault="00393BBC">
            <w:r w:rsidRPr="00393BBC">
              <w:t>Залучення нових місць проведення клінічного випробування:</w:t>
            </w:r>
          </w:p>
          <w:tbl>
            <w:tblPr>
              <w:tblW w:w="95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8789"/>
            </w:tblGrid>
            <w:tr w:rsidR="009B2814" w:rsidRPr="00393BBC" w:rsidTr="009B2814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2e86d3a6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2e86d3a6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9B2814" w:rsidRPr="00393BBC" w:rsidRDefault="009B2814" w:rsidP="00393BBC">
                  <w:pPr>
                    <w:pStyle w:val="cs2e86d3a6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9B2814" w:rsidRPr="00393BBC" w:rsidTr="009B2814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ED5342">
                  <w:pPr>
                    <w:jc w:val="center"/>
                    <w:rPr>
                      <w:rFonts w:cs="Times New Roman"/>
                    </w:rPr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к.м.н. Ярош В.В.</w:t>
                  </w:r>
                </w:p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«Міська клінічна лікарня №8» Харківської міської ради, ревматологічне відділення, м. Харків</w:t>
                  </w:r>
                </w:p>
              </w:tc>
            </w:tr>
            <w:tr w:rsidR="009B2814" w:rsidRPr="003B67E9" w:rsidTr="009B2814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ED534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2</w:t>
                  </w: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лікар Гончар О.В.</w:t>
                  </w:r>
                </w:p>
                <w:p w:rsidR="009B2814" w:rsidRPr="00393BBC" w:rsidRDefault="009B2814" w:rsidP="003B67E9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некомерційне медичне підприємство «Лікарня інтенсивного лікування «Кременчуцька»</w:t>
                  </w:r>
                  <w:r w:rsidR="003B67E9"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 xml:space="preserve"> »</w:t>
                  </w: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, терапевтичне відділення з ліжками для учасників ЛНА на ЧАЕС, м. Кременчук</w:t>
                  </w:r>
                </w:p>
              </w:tc>
            </w:tr>
            <w:tr w:rsidR="009B2814" w:rsidRPr="00393BBC" w:rsidTr="009B2814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ED534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3</w:t>
                  </w: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к.м.н. Ружанська В.О.</w:t>
                  </w:r>
                </w:p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 xml:space="preserve">Медичний центр «Нейромед» товариства з обмеженою відповідальністю </w:t>
                  </w:r>
                  <w:r w:rsidR="00ED5342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 xml:space="preserve">                     </w:t>
                  </w: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«Скан Лайт», терапевтичне відділення, м. Вінниця</w:t>
                  </w:r>
                </w:p>
              </w:tc>
            </w:tr>
            <w:tr w:rsidR="009B2814" w:rsidRPr="00393BBC" w:rsidTr="009B2814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ED534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4</w:t>
                  </w: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лікар Вацеба М.О.</w:t>
                  </w:r>
                </w:p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«Міська клінічна лікарні №1 Івано-Франківської міської ради», відділення спеціалізованої консультативної допомоги, м. Івано-Франківськ</w:t>
                  </w:r>
                </w:p>
              </w:tc>
            </w:tr>
            <w:tr w:rsidR="009B2814" w:rsidRPr="008346DD" w:rsidTr="009B2814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ED534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5</w:t>
                  </w: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д.м.н., проф. Сміян С.І.</w:t>
                  </w:r>
                </w:p>
                <w:p w:rsidR="009B2814" w:rsidRPr="00393BBC" w:rsidRDefault="009B2814" w:rsidP="00393BBC">
                  <w:pPr>
                    <w:pStyle w:val="cs80d9435b"/>
                  </w:pPr>
                  <w:r w:rsidRPr="00393BBC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«Тернопільська обласна клінічна лікарня»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      </w:r>
                </w:p>
              </w:tc>
            </w:tr>
          </w:tbl>
          <w:p w:rsidR="00393BBC" w:rsidRPr="00393BBC" w:rsidRDefault="00393BBC" w:rsidP="00C13814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 xml:space="preserve">Номер та дата наказу МОЗ </w:t>
            </w:r>
            <w:r w:rsidRPr="00393BBC">
              <w:rPr>
                <w:szCs w:val="24"/>
                <w:lang w:val="uk-UA"/>
              </w:rPr>
              <w:t>про</w:t>
            </w:r>
            <w:r w:rsidRPr="00393BBC">
              <w:rPr>
                <w:szCs w:val="24"/>
              </w:rPr>
              <w:t xml:space="preserve"> </w:t>
            </w:r>
            <w:r w:rsidRPr="00393BBC">
              <w:rPr>
                <w:szCs w:val="24"/>
                <w:lang w:val="uk-UA"/>
              </w:rPr>
              <w:t>проведення</w:t>
            </w:r>
            <w:r w:rsidRPr="00393BBC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  <w:rPr>
                <w:lang w:val="uk-UA"/>
              </w:rPr>
            </w:pPr>
            <w:r w:rsidRPr="00393BBC">
              <w:rPr>
                <w:lang w:val="uk-UA"/>
              </w:rPr>
              <w:t xml:space="preserve">№ 1598 від 17.09.2024 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393BBC">
            <w:pPr>
              <w:jc w:val="both"/>
            </w:pPr>
            <w:r w:rsidRPr="00393BBC">
              <w:rPr>
                <w:color w:val="000000"/>
              </w:rPr>
              <w:t>«</w:t>
            </w:r>
            <w:r w:rsidR="00922D09" w:rsidRPr="00393BBC">
              <w:t xml:space="preserve">Фаза 1 Дослідження ADI-001 Анти-CD20 CAR-інженерних Алогенних Гамма-Дельта </w:t>
            </w:r>
            <w:r w:rsidR="00ED5342">
              <w:t>(</w:t>
            </w:r>
            <w:proofErr w:type="gramStart"/>
            <w:r w:rsidR="00ED5342">
              <w:rPr>
                <w:rFonts w:cs="Times New Roman"/>
              </w:rPr>
              <w:t>γδ</w:t>
            </w:r>
            <w:r w:rsidR="00922D09" w:rsidRPr="00393BBC">
              <w:t xml:space="preserve">) </w:t>
            </w:r>
            <w:r w:rsidR="00EC660B">
              <w:rPr>
                <w:lang w:val="uk-UA"/>
              </w:rPr>
              <w:t xml:space="preserve">  </w:t>
            </w:r>
            <w:proofErr w:type="gramEnd"/>
            <w:r w:rsidR="00EC660B">
              <w:rPr>
                <w:lang w:val="uk-UA"/>
              </w:rPr>
              <w:t xml:space="preserve">             </w:t>
            </w:r>
            <w:r w:rsidR="00922D09" w:rsidRPr="00393BBC">
              <w:t>Т Клітин у Дорослих з Вовчаковим Нефритом</w:t>
            </w:r>
            <w:r w:rsidRPr="00393BBC">
              <w:rPr>
                <w:color w:val="000000"/>
              </w:rPr>
              <w:t>»</w:t>
            </w:r>
            <w:r w:rsidR="00922D09" w:rsidRPr="00393BBC">
              <w:t>, ADI-202300103, версія 1.2 від 07 березня 2024</w:t>
            </w:r>
          </w:p>
        </w:tc>
      </w:tr>
    </w:tbl>
    <w:p w:rsidR="00141E0C" w:rsidRDefault="00141E0C">
      <w:r>
        <w:br w:type="page"/>
      </w:r>
    </w:p>
    <w:p w:rsidR="00141E0C" w:rsidRPr="00141E0C" w:rsidRDefault="00141E0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  продовження додатка 15</w:t>
      </w:r>
    </w:p>
    <w:p w:rsidR="00141E0C" w:rsidRDefault="00141E0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Товариство з обмеженою відповідальністю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ПВР УКРАЇНА</w:t>
            </w:r>
            <w:r w:rsidR="00393BBC" w:rsidRPr="00393BBC">
              <w:rPr>
                <w:color w:val="000000"/>
              </w:rPr>
              <w:t>»</w:t>
            </w:r>
            <w:r w:rsidRPr="00393BBC">
              <w:t xml:space="preserve"> </w:t>
            </w:r>
          </w:p>
        </w:tc>
      </w:tr>
      <w:tr w:rsidR="002B238E" w:rsidRPr="00393BBC" w:rsidTr="00393BBC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rPr>
                <w:szCs w:val="24"/>
              </w:rPr>
            </w:pPr>
            <w:r w:rsidRPr="00393BBC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E" w:rsidRPr="00393BBC" w:rsidRDefault="00922D09">
            <w:pPr>
              <w:jc w:val="both"/>
            </w:pPr>
            <w:r w:rsidRPr="00393BBC">
              <w:t>Adicet Therapeutics, Inc., USA</w:t>
            </w:r>
            <w:r w:rsidR="00393BBC" w:rsidRPr="00393BBC">
              <w:rPr>
                <w:color w:val="000000"/>
              </w:rPr>
              <w:t xml:space="preserve"> «</w:t>
            </w:r>
            <w:r w:rsidRPr="00393BBC">
              <w:t>Адісет Терапьютікс, Інк.</w:t>
            </w:r>
            <w:r w:rsidR="00393BBC" w:rsidRPr="00393BBC">
              <w:rPr>
                <w:color w:val="000000"/>
              </w:rPr>
              <w:t>»</w:t>
            </w:r>
            <w:r w:rsidRPr="00393BBC">
              <w:t xml:space="preserve">, Сполучені штати Америки 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B238E" w:rsidTr="00141E0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E0C" w:rsidRDefault="00141E0C">
            <w:pPr>
              <w:rPr>
                <w:b/>
                <w:color w:val="000000"/>
                <w:szCs w:val="24"/>
              </w:rPr>
            </w:pPr>
          </w:p>
          <w:p w:rsidR="002B238E" w:rsidRDefault="00922D0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38E" w:rsidRDefault="00922D0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B238E" w:rsidTr="00141E0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8E" w:rsidRDefault="002B238E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8E" w:rsidRDefault="00922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B238E" w:rsidRDefault="002B238E" w:rsidP="00DD0394">
      <w:pPr>
        <w:rPr>
          <w:lang w:val="en-US"/>
        </w:rPr>
      </w:pPr>
    </w:p>
    <w:sectPr w:rsidR="002B238E" w:rsidSect="00DD0394">
      <w:pgSz w:w="16838" w:h="11906" w:orient="landscape"/>
      <w:pgMar w:top="0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09" w:rsidRDefault="00922D0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922D09" w:rsidRDefault="00922D0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09" w:rsidRDefault="00922D0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922D09" w:rsidRDefault="00922D0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8E" w:rsidRDefault="00922D09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16"/>
    <w:rsid w:val="00141E0C"/>
    <w:rsid w:val="00252617"/>
    <w:rsid w:val="002B238E"/>
    <w:rsid w:val="002E076E"/>
    <w:rsid w:val="00344916"/>
    <w:rsid w:val="003801C7"/>
    <w:rsid w:val="00393BBC"/>
    <w:rsid w:val="003959C7"/>
    <w:rsid w:val="003B67E9"/>
    <w:rsid w:val="00640E37"/>
    <w:rsid w:val="00703FD9"/>
    <w:rsid w:val="00704D09"/>
    <w:rsid w:val="00771DB0"/>
    <w:rsid w:val="008346DD"/>
    <w:rsid w:val="008508F7"/>
    <w:rsid w:val="00922D09"/>
    <w:rsid w:val="00945C64"/>
    <w:rsid w:val="009B2814"/>
    <w:rsid w:val="00B7003B"/>
    <w:rsid w:val="00B903E4"/>
    <w:rsid w:val="00CE4F1A"/>
    <w:rsid w:val="00D1491B"/>
    <w:rsid w:val="00DD0394"/>
    <w:rsid w:val="00DF6D82"/>
    <w:rsid w:val="00EC660B"/>
    <w:rsid w:val="00ED5342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800397"/>
  <w15:chartTrackingRefBased/>
  <w15:docId w15:val="{79633D19-BF1D-4944-BB1C-5769E12F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393BBC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393BBC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393BBC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2">
    <w:name w:val="cs5e98e9302"/>
    <w:basedOn w:val="a0"/>
    <w:rsid w:val="00393BB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393BB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393BBC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a16174ba9">
    <w:name w:val="csa16174ba9"/>
    <w:basedOn w:val="a0"/>
    <w:rsid w:val="00393BB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393BB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D7B6-42DA-4F60-A591-7D2B216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2675</Words>
  <Characters>21680</Characters>
  <Application>Microsoft Office Word</Application>
  <DocSecurity>0</DocSecurity>
  <Lines>180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2024-10-08T05:57:00Z</dcterms:created>
  <dcterms:modified xsi:type="dcterms:W3CDTF">2024-10-08T05:59:00Z</dcterms:modified>
</cp:coreProperties>
</file>