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 закупівлі: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285D" w:rsidRPr="008A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Медичні матеріали </w:t>
            </w:r>
            <w:proofErr w:type="gramStart"/>
            <w:r w:rsidR="008A285D" w:rsidRPr="008A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тесту</w:t>
            </w:r>
            <w:proofErr w:type="gramEnd"/>
            <w:r w:rsidR="008A285D" w:rsidRPr="008A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«Стерильність»</w:t>
            </w:r>
          </w:p>
          <w:p w:rsidR="008A285D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8A285D" w:rsidRPr="008A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33140000-3 Медичні матеріали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8A285D" w:rsidRPr="008A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</w:t>
            </w:r>
            <w:r w:rsidR="008A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8A285D" w:rsidRPr="008A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911</w:t>
            </w:r>
            <w:r w:rsidR="008A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>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8A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28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B7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трав</w:t>
            </w:r>
            <w:r w:rsidR="00AF7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ня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592E4A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Детальна інформація за посиланням:</w:t>
            </w:r>
            <w:r w:rsidR="001B7CC5">
              <w:t xml:space="preserve"> </w:t>
            </w:r>
            <w:hyperlink r:id="rId5" w:history="1">
              <w:r w:rsidR="008A285D" w:rsidRPr="00AE084F">
                <w:rPr>
                  <w:rStyle w:val="a3"/>
                </w:rPr>
                <w:t>https://prozorro.gov.ua/tender/UA-2024-05-28-009554-a</w:t>
              </w:r>
            </w:hyperlink>
          </w:p>
          <w:p w:rsidR="008A285D" w:rsidRDefault="008A285D" w:rsidP="00036E99">
            <w:pPr>
              <w:spacing w:after="0" w:line="240" w:lineRule="auto"/>
            </w:pPr>
          </w:p>
          <w:p w:rsidR="001F4346" w:rsidRPr="00592E4A" w:rsidRDefault="001F4346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4A" w:rsidRPr="008A285D" w:rsidRDefault="00592E4A" w:rsidP="00592E4A">
      <w:pPr>
        <w:spacing w:line="240" w:lineRule="auto"/>
        <w:ind w:left="291" w:right="-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8A2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</w:p>
    <w:p w:rsidR="008A285D" w:rsidRPr="008A285D" w:rsidRDefault="008A285D" w:rsidP="008A285D">
      <w:pPr>
        <w:tabs>
          <w:tab w:val="left" w:pos="-216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114495189"/>
      <w:r w:rsidRPr="008A285D">
        <w:rPr>
          <w:rFonts w:ascii="Times New Roman" w:hAnsi="Times New Roman" w:cs="Times New Roman"/>
          <w:sz w:val="24"/>
          <w:szCs w:val="24"/>
          <w:lang w:eastAsia="x-none"/>
        </w:rPr>
        <w:t>1.  Якість т</w:t>
      </w:r>
      <w:r w:rsidRPr="008A285D">
        <w:rPr>
          <w:rFonts w:ascii="Times New Roman" w:hAnsi="Times New Roman" w:cs="Times New Roman"/>
          <w:sz w:val="24"/>
          <w:szCs w:val="24"/>
        </w:rPr>
        <w:t xml:space="preserve">овару має відповідати національним та/або міжнародним стандартам. </w:t>
      </w:r>
    </w:p>
    <w:p w:rsidR="008A285D" w:rsidRPr="008A285D" w:rsidRDefault="008A285D" w:rsidP="008A285D">
      <w:pPr>
        <w:tabs>
          <w:tab w:val="left" w:pos="-2160"/>
        </w:tabs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28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Учасники процедури закупівлі повинні надати в складі тендерних пропозицій інформацію та </w:t>
      </w:r>
      <w:proofErr w:type="gramStart"/>
      <w:r w:rsidRPr="008A285D">
        <w:rPr>
          <w:rFonts w:ascii="Times New Roman" w:hAnsi="Times New Roman" w:cs="Times New Roman"/>
          <w:i/>
          <w:color w:val="000000"/>
          <w:sz w:val="24"/>
          <w:szCs w:val="24"/>
        </w:rPr>
        <w:t>документи,  що</w:t>
      </w:r>
      <w:proofErr w:type="gramEnd"/>
      <w:r w:rsidRPr="008A28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підтверджують відповідніст</w:t>
      </w:r>
      <w:bookmarkStart w:id="1" w:name="_GoBack"/>
      <w:bookmarkEnd w:id="1"/>
      <w:r w:rsidRPr="008A28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ь товару тендерної пропозиції учасника технічним, якісним, кількісним та іншим вимогам до предмета закупівлі, які офіційно підтверджують якість товару (надати </w:t>
      </w:r>
      <w:r w:rsidRPr="008A285D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C</w:t>
      </w:r>
      <w:r w:rsidRPr="008A285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ертифікат якості від виробника</w:t>
      </w:r>
      <w:r w:rsidRPr="008A285D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8A285D" w:rsidRPr="008A285D" w:rsidRDefault="008A285D" w:rsidP="008A285D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5D">
        <w:rPr>
          <w:rFonts w:ascii="Times New Roman" w:hAnsi="Times New Roman" w:cs="Times New Roman"/>
          <w:sz w:val="24"/>
          <w:szCs w:val="24"/>
          <w:lang w:eastAsia="x-none"/>
        </w:rPr>
        <w:t xml:space="preserve">2. </w:t>
      </w:r>
      <w:r w:rsidRPr="008A285D">
        <w:rPr>
          <w:rFonts w:ascii="Times New Roman" w:hAnsi="Times New Roman" w:cs="Times New Roman"/>
          <w:sz w:val="24"/>
          <w:szCs w:val="24"/>
        </w:rPr>
        <w:t>Відповідність якості товару запропонованого Учасником, повинна бути обов’язково підтверджена, учасник повинен надати інформацію про предмет закупівлі заповнивши</w:t>
      </w:r>
      <w:r w:rsidRPr="008A2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85D">
        <w:rPr>
          <w:rFonts w:ascii="Times New Roman" w:hAnsi="Times New Roman" w:cs="Times New Roman"/>
          <w:sz w:val="24"/>
          <w:szCs w:val="24"/>
        </w:rPr>
        <w:t>вільні поля</w:t>
      </w:r>
      <w:r w:rsidRPr="008A2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85D">
        <w:rPr>
          <w:rFonts w:ascii="Times New Roman" w:hAnsi="Times New Roman" w:cs="Times New Roman"/>
          <w:b/>
          <w:sz w:val="24"/>
          <w:szCs w:val="24"/>
          <w:u w:val="single"/>
        </w:rPr>
        <w:t>Таблиці 1</w:t>
      </w:r>
      <w:r w:rsidRPr="008A28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285D">
        <w:rPr>
          <w:rFonts w:ascii="Times New Roman" w:hAnsi="Times New Roman" w:cs="Times New Roman"/>
          <w:i/>
          <w:sz w:val="24"/>
          <w:szCs w:val="24"/>
        </w:rPr>
        <w:t>(так/ні, вказати назву запропонованого товару/виробник (країна походження) товару).</w:t>
      </w:r>
    </w:p>
    <w:p w:rsidR="008A285D" w:rsidRPr="008A285D" w:rsidRDefault="008A285D" w:rsidP="008A285D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5D">
        <w:rPr>
          <w:rFonts w:ascii="Times New Roman" w:hAnsi="Times New Roman" w:cs="Times New Roman"/>
          <w:sz w:val="24"/>
          <w:szCs w:val="24"/>
        </w:rPr>
        <w:t>3. Учасники – переможець процедури закупівлі повинен надати на момент поставки товару документи, які офіційно підтверджують якість товару, зокрема надати копії сертифікатів якості від виробника та/або інструкції та/або інші документи. У разі надання сертифікату іноземною мовою, він повинен мати переклад українською мовою, завірений Учасником.</w:t>
      </w:r>
    </w:p>
    <w:p w:rsidR="008A285D" w:rsidRPr="008A285D" w:rsidRDefault="008A285D" w:rsidP="008A2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5D">
        <w:rPr>
          <w:rFonts w:ascii="Times New Roman" w:hAnsi="Times New Roman" w:cs="Times New Roman"/>
          <w:sz w:val="24"/>
          <w:szCs w:val="24"/>
        </w:rPr>
        <w:t xml:space="preserve">4. Технічні, якісні характеристики предмета закупівлі, повинні передбачати необхідність застосування заходів із захисту довкілля, відповідати вимогам </w:t>
      </w:r>
      <w:r w:rsidRPr="008A285D">
        <w:rPr>
          <w:rFonts w:ascii="Times New Roman" w:hAnsi="Times New Roman" w:cs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8A285D">
        <w:rPr>
          <w:rFonts w:ascii="Times New Roman" w:hAnsi="Times New Roman" w:cs="Times New Roman"/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8A285D">
        <w:rPr>
          <w:rFonts w:ascii="Times New Roman" w:hAnsi="Times New Roman" w:cs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8A285D">
        <w:rPr>
          <w:rFonts w:ascii="Times New Roman" w:hAnsi="Times New Roman" w:cs="Times New Roman"/>
          <w:sz w:val="24"/>
          <w:szCs w:val="24"/>
        </w:rPr>
        <w:t>, пожежної та техногенної безпеки, охорони праці та виробничої санітарії (надати довідку у довільній формі).</w:t>
      </w:r>
    </w:p>
    <w:p w:rsidR="008A285D" w:rsidRPr="008A285D" w:rsidRDefault="008A285D" w:rsidP="008A285D">
      <w:pPr>
        <w:ind w:left="-426"/>
        <w:jc w:val="both"/>
        <w:rPr>
          <w:rFonts w:ascii="Times New Roman" w:eastAsia="Tahoma" w:hAnsi="Times New Roman" w:cs="Times New Roman"/>
          <w:b/>
          <w:bCs/>
          <w:i/>
          <w:color w:val="00000A"/>
          <w:sz w:val="24"/>
          <w:szCs w:val="24"/>
          <w:lang w:bidi="hi-IN"/>
        </w:rPr>
      </w:pPr>
    </w:p>
    <w:bookmarkEnd w:id="0"/>
    <w:p w:rsidR="008A285D" w:rsidRPr="008A285D" w:rsidRDefault="008A285D" w:rsidP="008A28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285D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8A285D" w:rsidRPr="008A285D" w:rsidRDefault="008A285D" w:rsidP="008A285D">
      <w:pPr>
        <w:tabs>
          <w:tab w:val="left" w:pos="284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285D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Таблиця 1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835"/>
        <w:gridCol w:w="567"/>
        <w:gridCol w:w="709"/>
        <w:gridCol w:w="1559"/>
        <w:gridCol w:w="709"/>
        <w:gridCol w:w="851"/>
        <w:gridCol w:w="2126"/>
      </w:tblGrid>
      <w:tr w:rsidR="008A285D" w:rsidRPr="008A285D" w:rsidTr="008A285D">
        <w:trPr>
          <w:trHeight w:val="38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103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8A285D">
              <w:rPr>
                <w:rFonts w:eastAsia="Calibri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8A285D">
              <w:rPr>
                <w:rFonts w:eastAsia="Calibri"/>
                <w:bCs/>
                <w:sz w:val="24"/>
                <w:szCs w:val="24"/>
                <w:lang w:val="uk-UA"/>
              </w:rPr>
              <w:t>Найменування товару  відповідно до вимог замовника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8A285D">
              <w:rPr>
                <w:rFonts w:eastAsia="Calibri"/>
                <w:color w:val="000000"/>
                <w:sz w:val="24"/>
                <w:szCs w:val="24"/>
                <w:lang w:val="uk-UA" w:eastAsia="ru-RU"/>
              </w:rPr>
              <w:t>Найменування запропонованого учасником товару</w:t>
            </w:r>
            <w:r w:rsidRPr="008A285D">
              <w:rPr>
                <w:rFonts w:eastAsia="Calibri"/>
                <w:bCs/>
                <w:sz w:val="24"/>
                <w:szCs w:val="24"/>
                <w:lang w:val="uk-UA"/>
              </w:rPr>
              <w:t xml:space="preserve"> **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ind w:left="77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8A285D">
              <w:rPr>
                <w:rFonts w:eastAsia="Calibri"/>
                <w:noProof/>
                <w:sz w:val="24"/>
                <w:szCs w:val="24"/>
                <w:lang w:val="uk-UA" w:eastAsia="uk-UA"/>
              </w:rPr>
              <w:t>Відповідність («так» або «ні»)</w:t>
            </w:r>
          </w:p>
        </w:tc>
      </w:tr>
      <w:tr w:rsidR="008A285D" w:rsidRPr="008A285D" w:rsidTr="008A285D">
        <w:trPr>
          <w:trHeight w:val="21"/>
        </w:trPr>
        <w:tc>
          <w:tcPr>
            <w:tcW w:w="426" w:type="dxa"/>
            <w:vMerge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103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4" w:lineRule="exact"/>
              <w:ind w:left="180" w:right="158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8A285D">
              <w:rPr>
                <w:rFonts w:eastAsia="Calibri"/>
                <w:sz w:val="24"/>
                <w:szCs w:val="24"/>
                <w:lang w:val="uk-UA"/>
              </w:rPr>
              <w:t>Характеристики предмета закупівлі (опис предмета закупівлі)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4" w:lineRule="exact"/>
              <w:ind w:left="15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8A285D">
              <w:rPr>
                <w:rFonts w:eastAsia="Calibri"/>
                <w:bCs/>
                <w:sz w:val="24"/>
                <w:szCs w:val="24"/>
                <w:lang w:val="uk-UA"/>
              </w:rPr>
              <w:t>Од.</w:t>
            </w:r>
            <w:r w:rsidRPr="008A285D">
              <w:rPr>
                <w:rFonts w:eastAsia="Calibri"/>
                <w:bCs/>
                <w:spacing w:val="-52"/>
                <w:sz w:val="24"/>
                <w:szCs w:val="24"/>
                <w:lang w:val="uk-UA"/>
              </w:rPr>
              <w:t xml:space="preserve"> </w:t>
            </w:r>
            <w:r w:rsidRPr="008A285D">
              <w:rPr>
                <w:rFonts w:eastAsia="Calibri"/>
                <w:bCs/>
                <w:sz w:val="24"/>
                <w:szCs w:val="24"/>
                <w:lang w:val="uk-UA"/>
              </w:rPr>
              <w:t>вим.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8A285D">
              <w:rPr>
                <w:rFonts w:eastAsia="Calibri"/>
                <w:bCs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8A285D">
              <w:rPr>
                <w:rFonts w:eastAsia="Calibri"/>
                <w:color w:val="000000"/>
                <w:sz w:val="24"/>
                <w:szCs w:val="24"/>
                <w:lang w:val="uk-UA" w:eastAsia="ru-RU"/>
              </w:rPr>
              <w:t>Назва запропонованого товару/Виробник (Країна походження) товару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-14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8A285D">
              <w:rPr>
                <w:rFonts w:eastAsia="Calibri"/>
                <w:bCs/>
                <w:sz w:val="24"/>
                <w:szCs w:val="24"/>
                <w:lang w:val="uk-UA"/>
              </w:rPr>
              <w:t xml:space="preserve">Одиниця </w:t>
            </w:r>
            <w:r w:rsidRPr="008A285D">
              <w:rPr>
                <w:rFonts w:eastAsia="Calibri"/>
                <w:bCs/>
                <w:spacing w:val="-52"/>
                <w:sz w:val="24"/>
                <w:szCs w:val="24"/>
                <w:lang w:val="uk-UA"/>
              </w:rPr>
              <w:t xml:space="preserve"> </w:t>
            </w:r>
            <w:r w:rsidRPr="008A285D">
              <w:rPr>
                <w:rFonts w:eastAsia="Calibri"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8A285D">
              <w:rPr>
                <w:rFonts w:eastAsia="Calibri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8A285D" w:rsidRPr="008A285D" w:rsidTr="008A285D">
        <w:trPr>
          <w:trHeight w:val="183"/>
        </w:trPr>
        <w:tc>
          <w:tcPr>
            <w:tcW w:w="426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Рулон для стерилізації плоский </w:t>
            </w:r>
          </w:p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250 мм х 200 м (кат. </w:t>
            </w: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FL 25200)</w:t>
            </w:r>
          </w:p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Виробник</w:t>
            </w:r>
            <w:r w:rsidRPr="008A28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PMS TIP TEKNOLOJILERI</w:t>
            </w:r>
          </w:p>
        </w:tc>
        <w:tc>
          <w:tcPr>
            <w:tcW w:w="567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-14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8A285D" w:rsidRPr="008A285D" w:rsidTr="008A285D">
        <w:trPr>
          <w:trHeight w:val="337"/>
        </w:trPr>
        <w:tc>
          <w:tcPr>
            <w:tcW w:w="426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Рулон для стерилізації плоский STERIKING 100 мм х 200 м (кат. R41-3Р)</w:t>
            </w:r>
          </w:p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Виробник:  Wipak Oy</w:t>
            </w:r>
          </w:p>
        </w:tc>
        <w:tc>
          <w:tcPr>
            <w:tcW w:w="567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-14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0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8A285D" w:rsidRPr="008A285D" w:rsidTr="008A285D">
        <w:trPr>
          <w:trHeight w:val="177"/>
        </w:trPr>
        <w:tc>
          <w:tcPr>
            <w:tcW w:w="426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Пакет самогерметизуючий STERIKING 130х270 мм (кат. SS4-2Р) </w:t>
            </w:r>
          </w:p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Виробник:  Wipak Oy</w:t>
            </w:r>
          </w:p>
        </w:tc>
        <w:tc>
          <w:tcPr>
            <w:tcW w:w="567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-14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8A285D" w:rsidRPr="008A285D" w:rsidTr="008A285D">
        <w:trPr>
          <w:trHeight w:val="337"/>
        </w:trPr>
        <w:tc>
          <w:tcPr>
            <w:tcW w:w="426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Пакет самогерметизуючий STERIKING 300х450 мм (кат. SS7-2Р) </w:t>
            </w:r>
          </w:p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Виробник:  Wipak Oy</w:t>
            </w: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-14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8A285D" w:rsidRPr="008A285D" w:rsidTr="008A285D">
        <w:trPr>
          <w:trHeight w:val="99"/>
        </w:trPr>
        <w:tc>
          <w:tcPr>
            <w:tcW w:w="426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Пакети для автоклавування 400 х 600мм, </w:t>
            </w:r>
          </w:p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 л (кат. SA14-01), </w:t>
            </w:r>
            <w:proofErr w:type="gramStart"/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паков./</w:t>
            </w:r>
            <w:proofErr w:type="gramEnd"/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 шт.</w:t>
            </w:r>
          </w:p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Виробник:  </w:t>
            </w:r>
            <w:r w:rsidRPr="008A2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Plastiques Gosselin</w:t>
            </w: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паков</w:t>
            </w:r>
          </w:p>
        </w:tc>
        <w:tc>
          <w:tcPr>
            <w:tcW w:w="70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-14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8A285D" w:rsidRPr="008A285D" w:rsidTr="008A285D">
        <w:trPr>
          <w:trHeight w:val="140"/>
        </w:trPr>
        <w:tc>
          <w:tcPr>
            <w:tcW w:w="426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Рукавички латексні ProFeel Platinum стерильні хірургічні </w:t>
            </w: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неопудрені, р 6.5</w:t>
            </w:r>
          </w:p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Виробник: WRP</w:t>
            </w:r>
          </w:p>
        </w:tc>
        <w:tc>
          <w:tcPr>
            <w:tcW w:w="567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70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-14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8A285D" w:rsidRPr="008A285D" w:rsidTr="008A285D">
        <w:trPr>
          <w:trHeight w:val="144"/>
        </w:trPr>
        <w:tc>
          <w:tcPr>
            <w:tcW w:w="426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Рукавички латексні ProFeel Platinum стерильні хірургічні неопудрені, р 7</w:t>
            </w:r>
          </w:p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Виробник: WRP</w:t>
            </w:r>
          </w:p>
        </w:tc>
        <w:tc>
          <w:tcPr>
            <w:tcW w:w="567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0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-14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8A285D" w:rsidRPr="008A285D" w:rsidTr="008A285D">
        <w:trPr>
          <w:trHeight w:val="136"/>
        </w:trPr>
        <w:tc>
          <w:tcPr>
            <w:tcW w:w="426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Рукавички латексні ProFeel Platinum стерильні хірургічні неопудрені, р 8</w:t>
            </w:r>
          </w:p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Виробник: WRP</w:t>
            </w:r>
          </w:p>
        </w:tc>
        <w:tc>
          <w:tcPr>
            <w:tcW w:w="567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0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-14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8A285D" w:rsidRPr="008A285D" w:rsidTr="008A285D">
        <w:trPr>
          <w:trHeight w:val="184"/>
        </w:trPr>
        <w:tc>
          <w:tcPr>
            <w:tcW w:w="426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Фільтри мембранні Typ 111 з ацетат целюлози 0,2 мкм, 47 мм, білі, стерильні, в інд. уп. (кат. 11107--47----ACN), </w:t>
            </w:r>
            <w:proofErr w:type="gramStart"/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паков./</w:t>
            </w:r>
            <w:proofErr w:type="gramEnd"/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шт.</w:t>
            </w:r>
          </w:p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Виробник: Sartorius Lab Instruments</w:t>
            </w:r>
          </w:p>
        </w:tc>
        <w:tc>
          <w:tcPr>
            <w:tcW w:w="567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паков</w:t>
            </w:r>
          </w:p>
        </w:tc>
        <w:tc>
          <w:tcPr>
            <w:tcW w:w="70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-14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8A285D" w:rsidRPr="008A285D" w:rsidTr="008A285D">
        <w:trPr>
          <w:trHeight w:val="269"/>
        </w:trPr>
        <w:tc>
          <w:tcPr>
            <w:tcW w:w="426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Фільтри мембранні S-Pak 0,45 мкм, 47 мм, білі, стерильні, сітчасті (кат. HAWG047S6), </w:t>
            </w:r>
            <w:proofErr w:type="gramStart"/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паков./</w:t>
            </w:r>
            <w:proofErr w:type="gramEnd"/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 шт.</w:t>
            </w:r>
          </w:p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Виробник: Millipore GmbH</w:t>
            </w:r>
          </w:p>
        </w:tc>
        <w:tc>
          <w:tcPr>
            <w:tcW w:w="567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паков</w:t>
            </w:r>
          </w:p>
        </w:tc>
        <w:tc>
          <w:tcPr>
            <w:tcW w:w="70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-14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8A285D" w:rsidRPr="008A285D" w:rsidTr="008A285D">
        <w:trPr>
          <w:trHeight w:val="203"/>
        </w:trPr>
        <w:tc>
          <w:tcPr>
            <w:tcW w:w="426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Фільтри гідрофобні Durapore PVDF, 0,22 мкм, 13 мм (кат. GVHP01300), </w:t>
            </w:r>
            <w:proofErr w:type="gramStart"/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паков./</w:t>
            </w:r>
            <w:proofErr w:type="gramEnd"/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100 шт.</w:t>
            </w:r>
          </w:p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Виробник: Millipore GmbH</w:t>
            </w:r>
          </w:p>
        </w:tc>
        <w:tc>
          <w:tcPr>
            <w:tcW w:w="567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паков</w:t>
            </w:r>
          </w:p>
        </w:tc>
        <w:tc>
          <w:tcPr>
            <w:tcW w:w="70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-14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8A285D" w:rsidRPr="008A285D" w:rsidTr="008A285D">
        <w:trPr>
          <w:trHeight w:val="760"/>
        </w:trPr>
        <w:tc>
          <w:tcPr>
            <w:tcW w:w="426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Фільтри мембранні Typ 131 з нітроцелюлози 0,45 мкм, 47 мм, білі з чорною сіткою, стерильні, в інд. уп. з гідрофобним краєм 6 мм (кат. 13106--47----HEN), паков./100 шт. </w:t>
            </w: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Виробник: Sartorius Lab Instruments</w:t>
            </w:r>
          </w:p>
        </w:tc>
        <w:tc>
          <w:tcPr>
            <w:tcW w:w="567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паков</w:t>
            </w:r>
          </w:p>
        </w:tc>
        <w:tc>
          <w:tcPr>
            <w:tcW w:w="70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5D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A285D" w:rsidRPr="008A285D" w:rsidRDefault="008A285D" w:rsidP="00302CB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-14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85D" w:rsidRPr="008A285D" w:rsidRDefault="008A285D" w:rsidP="00302CBE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</w:tbl>
    <w:p w:rsidR="008A285D" w:rsidRPr="008A285D" w:rsidRDefault="008A285D" w:rsidP="008A285D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ind w:left="-426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</w:pPr>
    </w:p>
    <w:p w:rsidR="008A285D" w:rsidRPr="008A285D" w:rsidRDefault="008A285D" w:rsidP="008A285D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ind w:left="-426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</w:pPr>
      <w:r w:rsidRPr="008A285D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lastRenderedPageBreak/>
        <w:t>**</w:t>
      </w:r>
      <w:r w:rsidRPr="008A285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 складі тендерної пропозиції Учасник вказує назву товару, що пропонується Учасником до постачання, у тому вигляді, як буде зазначатися у специфікації до майбутнього договору про закупівлю та у видаткових накладних Учасника.</w:t>
      </w:r>
      <w:r w:rsidRPr="008A285D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</w:p>
    <w:p w:rsidR="004E3F4B" w:rsidRPr="008A285D" w:rsidRDefault="004E3F4B" w:rsidP="001B7CC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3F4B" w:rsidRPr="008A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811"/>
    <w:multiLevelType w:val="hybridMultilevel"/>
    <w:tmpl w:val="6DF6FE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647D"/>
    <w:multiLevelType w:val="hybridMultilevel"/>
    <w:tmpl w:val="DD84AF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0780"/>
    <w:multiLevelType w:val="hybridMultilevel"/>
    <w:tmpl w:val="C5642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7B42"/>
    <w:multiLevelType w:val="hybridMultilevel"/>
    <w:tmpl w:val="F11A2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610F"/>
    <w:multiLevelType w:val="hybridMultilevel"/>
    <w:tmpl w:val="ED1CF2C6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276F98"/>
    <w:multiLevelType w:val="hybridMultilevel"/>
    <w:tmpl w:val="A0BE2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63896"/>
    <w:multiLevelType w:val="hybridMultilevel"/>
    <w:tmpl w:val="0B60AD7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C380C"/>
    <w:multiLevelType w:val="hybridMultilevel"/>
    <w:tmpl w:val="A964F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484"/>
    <w:multiLevelType w:val="hybridMultilevel"/>
    <w:tmpl w:val="00B45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D02B3"/>
    <w:multiLevelType w:val="hybridMultilevel"/>
    <w:tmpl w:val="41E0B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B20B8"/>
    <w:multiLevelType w:val="hybridMultilevel"/>
    <w:tmpl w:val="BBE035CA"/>
    <w:lvl w:ilvl="0" w:tplc="BA7C9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71447D"/>
    <w:multiLevelType w:val="hybridMultilevel"/>
    <w:tmpl w:val="23141F7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0B0FC0"/>
    <w:multiLevelType w:val="hybridMultilevel"/>
    <w:tmpl w:val="4C608C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A00DE"/>
    <w:multiLevelType w:val="hybridMultilevel"/>
    <w:tmpl w:val="63C63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D30DF"/>
    <w:multiLevelType w:val="hybridMultilevel"/>
    <w:tmpl w:val="8EE0A3BC"/>
    <w:lvl w:ilvl="0" w:tplc="E97CF4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162323"/>
    <w:multiLevelType w:val="hybridMultilevel"/>
    <w:tmpl w:val="4D4E1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0C655E"/>
    <w:multiLevelType w:val="hybridMultilevel"/>
    <w:tmpl w:val="5B82010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8D0707"/>
    <w:multiLevelType w:val="hybridMultilevel"/>
    <w:tmpl w:val="D9D67F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7"/>
  </w:num>
  <w:num w:numId="13">
    <w:abstractNumId w:val="13"/>
  </w:num>
  <w:num w:numId="14">
    <w:abstractNumId w:val="1"/>
  </w:num>
  <w:num w:numId="15">
    <w:abstractNumId w:val="9"/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B7CC5"/>
    <w:rsid w:val="001F4346"/>
    <w:rsid w:val="004E3F4B"/>
    <w:rsid w:val="00592E4A"/>
    <w:rsid w:val="00723898"/>
    <w:rsid w:val="008A285D"/>
    <w:rsid w:val="008C4C0B"/>
    <w:rsid w:val="00A762B4"/>
    <w:rsid w:val="00AA4950"/>
    <w:rsid w:val="00AF79FB"/>
    <w:rsid w:val="00E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E802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1B7C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B7C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Numbered List,Список уровня 2,CA bullets,EBRD List,Chapter10,название табл/рис,Elenco Normale,Number Bullets,заголовок 1.1,Литература,Bullet Number,Bullet 1,Use Case List Paragraph,lp1,lp11,List Paragraph11,Bullet List,FooterText,numbered"/>
    <w:basedOn w:val="a"/>
    <w:link w:val="a7"/>
    <w:uiPriority w:val="34"/>
    <w:qFormat/>
    <w:rsid w:val="001B7CC5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7">
    <w:name w:val="Абзац списка Знак"/>
    <w:aliases w:val="Numbered List Знак,Список уровня 2 Знак,CA bullets Знак,EBRD List Знак,Chapter10 Знак,название табл/рис Знак,Elenco Normale Знак,Number Bullets Знак,заголовок 1.1 Знак,Литература Знак,Bullet Number Знак,Bullet 1 Знак,lp1 Знак,lp11 Знак"/>
    <w:link w:val="a6"/>
    <w:uiPriority w:val="34"/>
    <w:qFormat/>
    <w:rsid w:val="001B7CC5"/>
    <w:rPr>
      <w:rFonts w:ascii="Times New Roman" w:eastAsia="SimSu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285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5-28-00955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9</cp:revision>
  <dcterms:created xsi:type="dcterms:W3CDTF">2024-03-27T08:35:00Z</dcterms:created>
  <dcterms:modified xsi:type="dcterms:W3CDTF">2024-06-11T11:27:00Z</dcterms:modified>
</cp:coreProperties>
</file>