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ED3" w:rsidRDefault="002D491F">
      <w:pPr>
        <w:rPr>
          <w:lang w:val="uk-UA"/>
        </w:rPr>
      </w:pPr>
      <w:r>
        <w:rPr>
          <w:lang w:val="uk-UA"/>
        </w:rPr>
        <w:t xml:space="preserve">                                                                                                                                                         Додаток </w:t>
      </w:r>
      <w:r w:rsidRPr="00F80E7F">
        <w:t>1</w:t>
      </w:r>
    </w:p>
    <w:p w:rsidR="00206ED3" w:rsidRDefault="002D49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A12057">
        <w:rPr>
          <w:rFonts w:eastAsia="Times New Roman"/>
          <w:szCs w:val="24"/>
          <w:lang w:val="uk-UA" w:eastAsia="uk-UA"/>
        </w:rPr>
        <w:t xml:space="preserve"> «</w:t>
      </w:r>
      <w:r w:rsidR="00A12057" w:rsidRPr="00A12057">
        <w:rPr>
          <w:rFonts w:eastAsia="Times New Roman"/>
          <w:szCs w:val="24"/>
          <w:lang w:val="uk-UA" w:eastAsia="uk-UA"/>
        </w:rPr>
        <w:t>Про проведення клінічного</w:t>
      </w:r>
      <w:r w:rsidR="00A12057">
        <w:rPr>
          <w:rFonts w:eastAsia="Times New Roman"/>
          <w:szCs w:val="24"/>
          <w:lang w:val="uk-UA" w:eastAsia="uk-UA"/>
        </w:rPr>
        <w:t xml:space="preserve"> </w:t>
      </w:r>
      <w:r w:rsidR="00A12057" w:rsidRPr="00A12057">
        <w:rPr>
          <w:rFonts w:eastAsia="Times New Roman"/>
          <w:szCs w:val="24"/>
          <w:lang w:val="uk-UA" w:eastAsia="uk-UA"/>
        </w:rPr>
        <w:t>випробування лікарського засобу</w:t>
      </w:r>
      <w:r w:rsidR="00A12057">
        <w:rPr>
          <w:rFonts w:eastAsia="Times New Roman"/>
          <w:szCs w:val="24"/>
          <w:lang w:val="uk-UA" w:eastAsia="uk-UA"/>
        </w:rPr>
        <w:t xml:space="preserve"> </w:t>
      </w:r>
      <w:r w:rsidR="00A12057" w:rsidRPr="00A12057">
        <w:rPr>
          <w:rFonts w:eastAsia="Times New Roman"/>
          <w:szCs w:val="24"/>
          <w:lang w:val="uk-UA" w:eastAsia="uk-UA"/>
        </w:rPr>
        <w:t>та затвердження суттєвих поправок</w:t>
      </w:r>
      <w:r w:rsidR="00A12057">
        <w:rPr>
          <w:rFonts w:eastAsia="Times New Roman"/>
          <w:szCs w:val="24"/>
          <w:lang w:val="uk-UA" w:eastAsia="uk-UA"/>
        </w:rPr>
        <w:t xml:space="preserve">» </w:t>
      </w:r>
      <w:r w:rsidR="005B00A3" w:rsidRPr="005B00A3">
        <w:rPr>
          <w:u w:val="single"/>
          <w:lang w:val="uk-UA"/>
        </w:rPr>
        <w:t>23.05.2024</w:t>
      </w:r>
      <w:r>
        <w:rPr>
          <w:lang w:val="uk-UA"/>
        </w:rPr>
        <w:t xml:space="preserve"> № </w:t>
      </w:r>
      <w:r w:rsidR="005B00A3" w:rsidRPr="005B00A3">
        <w:rPr>
          <w:u w:val="single"/>
          <w:lang w:val="uk-UA"/>
        </w:rPr>
        <w:t>874</w:t>
      </w:r>
    </w:p>
    <w:p w:rsidR="00206ED3" w:rsidRDefault="00206ED3"/>
    <w:tbl>
      <w:tblPr>
        <w:tblStyle w:val="af0"/>
        <w:tblW w:w="0" w:type="auto"/>
        <w:tblInd w:w="0" w:type="dxa"/>
        <w:tblLook w:val="04A0" w:firstRow="1" w:lastRow="0" w:firstColumn="1" w:lastColumn="0" w:noHBand="0" w:noVBand="1"/>
      </w:tblPr>
      <w:tblGrid>
        <w:gridCol w:w="3823"/>
        <w:gridCol w:w="9633"/>
      </w:tblGrid>
      <w:tr w:rsidR="00206ED3">
        <w:tc>
          <w:tcPr>
            <w:tcW w:w="3823" w:type="dxa"/>
            <w:tcBorders>
              <w:top w:val="single" w:sz="4" w:space="0" w:color="auto"/>
              <w:left w:val="single" w:sz="4" w:space="0" w:color="auto"/>
              <w:bottom w:val="single" w:sz="4" w:space="0" w:color="auto"/>
              <w:right w:val="single" w:sz="4" w:space="0" w:color="auto"/>
            </w:tcBorders>
            <w:hideMark/>
          </w:tcPr>
          <w:p w:rsidR="00206ED3" w:rsidRDefault="002D491F">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206ED3" w:rsidRDefault="00F80E7F">
            <w:pPr>
              <w:jc w:val="both"/>
            </w:pPr>
            <w:r w:rsidRPr="00F80E7F">
              <w:rPr>
                <w:color w:val="000000"/>
              </w:rPr>
              <w:t>«</w:t>
            </w:r>
            <w:r w:rsidR="002D491F">
              <w:t>Багатоцентрове, рандомізоване, сліпе клінічне дослідження фази ІІ для оцінки ефективності, безпеки та переносимості разової інтратимпанальної дози препарату AC102 у порівнянні з пероральними стероїдами для лікування ідіопатичної раптової сенсоневральної втрати слуху</w:t>
            </w:r>
            <w:r w:rsidRPr="00F80E7F">
              <w:rPr>
                <w:color w:val="000000"/>
              </w:rPr>
              <w:t>»</w:t>
            </w:r>
            <w:r w:rsidR="002D491F">
              <w:t xml:space="preserve">, код дослідження AC102-201, версія 3.0 від 23.08.2023 </w:t>
            </w:r>
          </w:p>
        </w:tc>
      </w:tr>
      <w:tr w:rsidR="00206ED3">
        <w:tc>
          <w:tcPr>
            <w:tcW w:w="3823" w:type="dxa"/>
            <w:tcBorders>
              <w:top w:val="single" w:sz="4" w:space="0" w:color="auto"/>
              <w:left w:val="single" w:sz="4" w:space="0" w:color="auto"/>
              <w:bottom w:val="single" w:sz="4" w:space="0" w:color="auto"/>
              <w:right w:val="single" w:sz="4" w:space="0" w:color="auto"/>
            </w:tcBorders>
            <w:hideMark/>
          </w:tcPr>
          <w:p w:rsidR="00206ED3" w:rsidRDefault="002D491F">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206ED3" w:rsidRDefault="002D491F">
            <w:pPr>
              <w:jc w:val="both"/>
            </w:pPr>
            <w:r>
              <w:t>ІстХОРН Клінікал Сервісес Ін СІІ Лімітед, Кіпр</w:t>
            </w:r>
          </w:p>
        </w:tc>
      </w:tr>
      <w:tr w:rsidR="00206ED3">
        <w:tc>
          <w:tcPr>
            <w:tcW w:w="3823" w:type="dxa"/>
            <w:tcBorders>
              <w:top w:val="single" w:sz="4" w:space="0" w:color="auto"/>
              <w:left w:val="single" w:sz="4" w:space="0" w:color="auto"/>
              <w:bottom w:val="single" w:sz="4" w:space="0" w:color="auto"/>
              <w:right w:val="single" w:sz="4" w:space="0" w:color="auto"/>
            </w:tcBorders>
            <w:hideMark/>
          </w:tcPr>
          <w:p w:rsidR="00206ED3" w:rsidRDefault="002D491F">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206ED3" w:rsidRDefault="002D491F">
            <w:pPr>
              <w:jc w:val="both"/>
            </w:pPr>
            <w:r>
              <w:t>АудіоК'юр Фарма ГмбХ (AudioCure Pharma GmbH), Німеччина</w:t>
            </w:r>
          </w:p>
        </w:tc>
      </w:tr>
      <w:tr w:rsidR="001B6C44">
        <w:tc>
          <w:tcPr>
            <w:tcW w:w="3823" w:type="dxa"/>
            <w:tcBorders>
              <w:top w:val="single" w:sz="4" w:space="0" w:color="auto"/>
              <w:left w:val="single" w:sz="4" w:space="0" w:color="auto"/>
              <w:bottom w:val="single" w:sz="4" w:space="0" w:color="auto"/>
              <w:right w:val="single" w:sz="4" w:space="0" w:color="auto"/>
            </w:tcBorders>
            <w:hideMark/>
          </w:tcPr>
          <w:p w:rsidR="001B6C44" w:rsidRDefault="001B6C44" w:rsidP="001B6C44">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1B6C44" w:rsidRPr="001770CF" w:rsidRDefault="001B6C44" w:rsidP="001B6C44">
            <w:pPr>
              <w:jc w:val="both"/>
              <w:rPr>
                <w:rFonts w:eastAsia="Times New Roman" w:cs="Times New Roman"/>
                <w:szCs w:val="24"/>
              </w:rPr>
            </w:pPr>
            <w:r>
              <w:rPr>
                <w:rFonts w:eastAsia="Times New Roman" w:cs="Times New Roman"/>
                <w:szCs w:val="24"/>
              </w:rPr>
              <w:t>AC</w:t>
            </w:r>
            <w:r w:rsidRPr="001770CF">
              <w:rPr>
                <w:rFonts w:eastAsia="Times New Roman" w:cs="Times New Roman"/>
                <w:szCs w:val="24"/>
              </w:rPr>
              <w:t>102</w:t>
            </w:r>
            <w:r>
              <w:rPr>
                <w:rFonts w:eastAsia="Times New Roman" w:cs="Times New Roman"/>
                <w:szCs w:val="24"/>
              </w:rPr>
              <w:t xml:space="preserve"> (АС102)</w:t>
            </w:r>
            <w:r w:rsidRPr="001770CF">
              <w:rPr>
                <w:rFonts w:eastAsia="Times New Roman" w:cs="Times New Roman"/>
                <w:szCs w:val="24"/>
              </w:rPr>
              <w:t>; хімічно синтез</w:t>
            </w:r>
            <w:r>
              <w:rPr>
                <w:rFonts w:eastAsia="Times New Roman" w:cs="Times New Roman"/>
                <w:szCs w:val="24"/>
              </w:rPr>
              <w:t>ований і мікронізований кристал</w:t>
            </w:r>
            <w:r w:rsidRPr="001770CF">
              <w:rPr>
                <w:rFonts w:eastAsia="Times New Roman" w:cs="Times New Roman"/>
                <w:szCs w:val="24"/>
              </w:rPr>
              <w:t xml:space="preserve">; Гель для </w:t>
            </w:r>
            <w:r>
              <w:rPr>
                <w:rFonts w:eastAsia="Times New Roman" w:cs="Times New Roman"/>
                <w:szCs w:val="24"/>
              </w:rPr>
              <w:t>ін’єкцій 12 мг/мл міліграм(и)/мілілітр</w:t>
            </w:r>
            <w:r w:rsidRPr="001770CF">
              <w:rPr>
                <w:rFonts w:eastAsia="Times New Roman" w:cs="Times New Roman"/>
                <w:szCs w:val="24"/>
              </w:rPr>
              <w:t xml:space="preserve">; </w:t>
            </w:r>
            <w:r>
              <w:rPr>
                <w:rFonts w:eastAsia="Times New Roman" w:cs="Times New Roman"/>
                <w:szCs w:val="24"/>
              </w:rPr>
              <w:t>Basic</w:t>
            </w:r>
            <w:r w:rsidRPr="001770CF">
              <w:rPr>
                <w:rFonts w:eastAsia="Times New Roman" w:cs="Times New Roman"/>
                <w:szCs w:val="24"/>
              </w:rPr>
              <w:t xml:space="preserve"> </w:t>
            </w:r>
            <w:r>
              <w:rPr>
                <w:rFonts w:eastAsia="Times New Roman" w:cs="Times New Roman"/>
                <w:szCs w:val="24"/>
              </w:rPr>
              <w:t>Pharma</w:t>
            </w:r>
            <w:r w:rsidRPr="001770CF">
              <w:rPr>
                <w:rFonts w:eastAsia="Times New Roman" w:cs="Times New Roman"/>
                <w:szCs w:val="24"/>
              </w:rPr>
              <w:t xml:space="preserve"> </w:t>
            </w:r>
            <w:r>
              <w:rPr>
                <w:rFonts w:eastAsia="Times New Roman" w:cs="Times New Roman"/>
                <w:szCs w:val="24"/>
              </w:rPr>
              <w:t>Manufacturing</w:t>
            </w:r>
            <w:r w:rsidRPr="001770CF">
              <w:rPr>
                <w:rFonts w:eastAsia="Times New Roman" w:cs="Times New Roman"/>
                <w:szCs w:val="24"/>
              </w:rPr>
              <w:t xml:space="preserve"> </w:t>
            </w:r>
            <w:r>
              <w:rPr>
                <w:rFonts w:eastAsia="Times New Roman" w:cs="Times New Roman"/>
                <w:szCs w:val="24"/>
              </w:rPr>
              <w:t>B</w:t>
            </w:r>
            <w:r w:rsidRPr="001770CF">
              <w:rPr>
                <w:rFonts w:eastAsia="Times New Roman" w:cs="Times New Roman"/>
                <w:szCs w:val="24"/>
              </w:rPr>
              <w:t>.</w:t>
            </w:r>
            <w:r>
              <w:rPr>
                <w:rFonts w:eastAsia="Times New Roman" w:cs="Times New Roman"/>
                <w:szCs w:val="24"/>
              </w:rPr>
              <w:t>V., Нідерланди;</w:t>
            </w:r>
          </w:p>
          <w:p w:rsidR="001B6C44" w:rsidRPr="001770CF" w:rsidRDefault="001B6C44" w:rsidP="001B6C44">
            <w:pPr>
              <w:jc w:val="both"/>
              <w:rPr>
                <w:rFonts w:eastAsia="Times New Roman" w:cs="Times New Roman"/>
                <w:szCs w:val="24"/>
              </w:rPr>
            </w:pPr>
            <w:r w:rsidRPr="001770CF">
              <w:rPr>
                <w:rFonts w:eastAsia="Times New Roman" w:cs="Times New Roman"/>
                <w:szCs w:val="24"/>
              </w:rPr>
              <w:t xml:space="preserve">Плацебо до </w:t>
            </w:r>
            <w:r>
              <w:rPr>
                <w:rFonts w:eastAsia="Times New Roman" w:cs="Times New Roman"/>
                <w:szCs w:val="24"/>
              </w:rPr>
              <w:t>AC</w:t>
            </w:r>
            <w:r w:rsidRPr="001770CF">
              <w:rPr>
                <w:rFonts w:eastAsia="Times New Roman" w:cs="Times New Roman"/>
                <w:szCs w:val="24"/>
              </w:rPr>
              <w:t xml:space="preserve">102, Гель для ін’єкцій; </w:t>
            </w:r>
            <w:r>
              <w:rPr>
                <w:rFonts w:eastAsia="Times New Roman" w:cs="Times New Roman"/>
                <w:szCs w:val="24"/>
              </w:rPr>
              <w:t>Basic</w:t>
            </w:r>
            <w:r w:rsidRPr="001770CF">
              <w:rPr>
                <w:rFonts w:eastAsia="Times New Roman" w:cs="Times New Roman"/>
                <w:szCs w:val="24"/>
              </w:rPr>
              <w:t xml:space="preserve"> </w:t>
            </w:r>
            <w:r>
              <w:rPr>
                <w:rFonts w:eastAsia="Times New Roman" w:cs="Times New Roman"/>
                <w:szCs w:val="24"/>
              </w:rPr>
              <w:t>Pharma</w:t>
            </w:r>
            <w:r w:rsidRPr="001770CF">
              <w:rPr>
                <w:rFonts w:eastAsia="Times New Roman" w:cs="Times New Roman"/>
                <w:szCs w:val="24"/>
              </w:rPr>
              <w:t xml:space="preserve"> </w:t>
            </w:r>
            <w:r>
              <w:rPr>
                <w:rFonts w:eastAsia="Times New Roman" w:cs="Times New Roman"/>
                <w:szCs w:val="24"/>
              </w:rPr>
              <w:t>Manufacturing</w:t>
            </w:r>
            <w:r w:rsidRPr="001770CF">
              <w:rPr>
                <w:rFonts w:eastAsia="Times New Roman" w:cs="Times New Roman"/>
                <w:szCs w:val="24"/>
              </w:rPr>
              <w:t xml:space="preserve"> </w:t>
            </w:r>
            <w:r>
              <w:rPr>
                <w:rFonts w:eastAsia="Times New Roman" w:cs="Times New Roman"/>
                <w:szCs w:val="24"/>
              </w:rPr>
              <w:t>B</w:t>
            </w:r>
            <w:r w:rsidRPr="001770CF">
              <w:rPr>
                <w:rFonts w:eastAsia="Times New Roman" w:cs="Times New Roman"/>
                <w:szCs w:val="24"/>
              </w:rPr>
              <w:t>.</w:t>
            </w:r>
            <w:r>
              <w:rPr>
                <w:rFonts w:eastAsia="Times New Roman" w:cs="Times New Roman"/>
                <w:szCs w:val="24"/>
              </w:rPr>
              <w:t>V., Нідерланди</w:t>
            </w:r>
          </w:p>
        </w:tc>
      </w:tr>
      <w:tr w:rsidR="001B6C44">
        <w:tc>
          <w:tcPr>
            <w:tcW w:w="3823" w:type="dxa"/>
            <w:tcBorders>
              <w:top w:val="single" w:sz="4" w:space="0" w:color="auto"/>
              <w:left w:val="single" w:sz="4" w:space="0" w:color="auto"/>
              <w:bottom w:val="single" w:sz="4" w:space="0" w:color="auto"/>
              <w:right w:val="single" w:sz="4" w:space="0" w:color="auto"/>
            </w:tcBorders>
            <w:hideMark/>
          </w:tcPr>
          <w:p w:rsidR="001B6C44" w:rsidRDefault="001B6C44" w:rsidP="001B6C4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1B6C44" w:rsidRPr="001770CF" w:rsidRDefault="001B6C44" w:rsidP="001B6C44">
            <w:pPr>
              <w:jc w:val="both"/>
              <w:rPr>
                <w:rFonts w:eastAsia="Times New Roman" w:cs="Times New Roman"/>
                <w:szCs w:val="24"/>
              </w:rPr>
            </w:pPr>
            <w:r w:rsidRPr="001770CF">
              <w:rPr>
                <w:rFonts w:eastAsia="Times New Roman" w:cs="Times New Roman"/>
                <w:szCs w:val="24"/>
              </w:rPr>
              <w:t>1</w:t>
            </w:r>
            <w:r>
              <w:rPr>
                <w:rFonts w:eastAsia="Times New Roman" w:cs="Times New Roman"/>
                <w:szCs w:val="24"/>
              </w:rPr>
              <w:t>)</w:t>
            </w:r>
            <w:r w:rsidRPr="001770CF">
              <w:rPr>
                <w:rFonts w:eastAsia="Times New Roman" w:cs="Times New Roman"/>
                <w:szCs w:val="24"/>
              </w:rPr>
              <w:t xml:space="preserve"> лікар Фіщук Р.М.</w:t>
            </w:r>
          </w:p>
          <w:p w:rsidR="001B6C44" w:rsidRPr="001770CF" w:rsidRDefault="001B6C44" w:rsidP="001B6C44">
            <w:pPr>
              <w:jc w:val="both"/>
              <w:rPr>
                <w:rFonts w:eastAsia="Times New Roman" w:cs="Times New Roman"/>
                <w:szCs w:val="24"/>
              </w:rPr>
            </w:pPr>
            <w:r w:rsidRPr="001770CF">
              <w:rPr>
                <w:rFonts w:eastAsia="Times New Roman" w:cs="Times New Roman"/>
                <w:szCs w:val="24"/>
              </w:rPr>
              <w:t>Комуна</w:t>
            </w:r>
            <w:r>
              <w:rPr>
                <w:rFonts w:eastAsia="Times New Roman" w:cs="Times New Roman"/>
                <w:szCs w:val="24"/>
              </w:rPr>
              <w:t>льне некомерційне підприємство «</w:t>
            </w:r>
            <w:r w:rsidRPr="001770CF">
              <w:rPr>
                <w:rFonts w:eastAsia="Times New Roman" w:cs="Times New Roman"/>
                <w:szCs w:val="24"/>
              </w:rPr>
              <w:t xml:space="preserve">Центральна міська клінічна лікарня </w:t>
            </w:r>
            <w:r>
              <w:rPr>
                <w:rFonts w:eastAsia="Times New Roman" w:cs="Times New Roman"/>
                <w:szCs w:val="24"/>
              </w:rPr>
              <w:t>Івано-Франківської міської ради»</w:t>
            </w:r>
            <w:r w:rsidRPr="001770CF">
              <w:rPr>
                <w:rFonts w:eastAsia="Times New Roman" w:cs="Times New Roman"/>
                <w:szCs w:val="24"/>
              </w:rPr>
              <w:t>, відділення хірургії голови та шиї, м. Івано-Франківськ</w:t>
            </w:r>
          </w:p>
          <w:p w:rsidR="001B6C44" w:rsidRPr="001770CF" w:rsidRDefault="001B6C44" w:rsidP="001B6C44">
            <w:pPr>
              <w:jc w:val="both"/>
              <w:rPr>
                <w:rFonts w:eastAsia="Times New Roman" w:cs="Times New Roman"/>
                <w:szCs w:val="24"/>
              </w:rPr>
            </w:pPr>
            <w:r>
              <w:rPr>
                <w:rFonts w:eastAsia="Times New Roman" w:cs="Times New Roman"/>
                <w:szCs w:val="24"/>
              </w:rPr>
              <w:t>2)</w:t>
            </w:r>
            <w:r w:rsidRPr="001770CF">
              <w:rPr>
                <w:rFonts w:eastAsia="Times New Roman" w:cs="Times New Roman"/>
                <w:szCs w:val="24"/>
              </w:rPr>
              <w:t xml:space="preserve"> к.м.н. Комашко Н.А.</w:t>
            </w:r>
          </w:p>
          <w:p w:rsidR="001B6C44" w:rsidRPr="001770CF" w:rsidRDefault="001B6C44" w:rsidP="001B6C44">
            <w:pPr>
              <w:jc w:val="both"/>
              <w:rPr>
                <w:rFonts w:eastAsia="Times New Roman" w:cs="Times New Roman"/>
                <w:szCs w:val="24"/>
              </w:rPr>
            </w:pPr>
            <w:r w:rsidRPr="001770CF">
              <w:rPr>
                <w:rFonts w:eastAsia="Times New Roman" w:cs="Times New Roman"/>
                <w:szCs w:val="24"/>
              </w:rPr>
              <w:t>Комунальне некомерційне підприємство «Обласна клінічна лікарня Івано-Франківської обласної ради», відділення мікрохірургії ЛОР-органів, м. Івано-Франківськ</w:t>
            </w:r>
          </w:p>
          <w:p w:rsidR="001B6C44" w:rsidRPr="001770CF" w:rsidRDefault="001B6C44" w:rsidP="001B6C44">
            <w:pPr>
              <w:jc w:val="both"/>
              <w:rPr>
                <w:rFonts w:eastAsia="Times New Roman" w:cs="Times New Roman"/>
                <w:szCs w:val="24"/>
              </w:rPr>
            </w:pPr>
            <w:r>
              <w:rPr>
                <w:rFonts w:eastAsia="Times New Roman" w:cs="Times New Roman"/>
                <w:szCs w:val="24"/>
              </w:rPr>
              <w:t>3)</w:t>
            </w:r>
            <w:r w:rsidRPr="001770CF">
              <w:rPr>
                <w:rFonts w:eastAsia="Times New Roman" w:cs="Times New Roman"/>
                <w:szCs w:val="24"/>
              </w:rPr>
              <w:t xml:space="preserve"> д.м.н., проф. Дєєва Ю.В.</w:t>
            </w:r>
          </w:p>
          <w:p w:rsidR="001B6C44" w:rsidRPr="001770CF" w:rsidRDefault="001B6C44" w:rsidP="001B6C44">
            <w:pPr>
              <w:jc w:val="both"/>
              <w:rPr>
                <w:rFonts w:eastAsia="Times New Roman" w:cs="Times New Roman"/>
                <w:szCs w:val="24"/>
              </w:rPr>
            </w:pPr>
            <w:r w:rsidRPr="001770CF">
              <w:rPr>
                <w:rFonts w:eastAsia="Times New Roman" w:cs="Times New Roman"/>
                <w:szCs w:val="24"/>
              </w:rPr>
              <w:t>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відділення отоларингології для дорослих та дітей, м. Київ</w:t>
            </w:r>
          </w:p>
          <w:p w:rsidR="001B6C44" w:rsidRPr="001770CF" w:rsidRDefault="001B6C44" w:rsidP="001B6C44">
            <w:pPr>
              <w:jc w:val="both"/>
              <w:rPr>
                <w:rFonts w:eastAsia="Times New Roman" w:cs="Times New Roman"/>
                <w:szCs w:val="24"/>
              </w:rPr>
            </w:pPr>
            <w:r>
              <w:rPr>
                <w:rFonts w:eastAsia="Times New Roman" w:cs="Times New Roman"/>
                <w:szCs w:val="24"/>
              </w:rPr>
              <w:t>4)</w:t>
            </w:r>
            <w:r w:rsidRPr="001770CF">
              <w:rPr>
                <w:rFonts w:eastAsia="Times New Roman" w:cs="Times New Roman"/>
                <w:szCs w:val="24"/>
              </w:rPr>
              <w:t xml:space="preserve"> лікар Куліненко М.Г.</w:t>
            </w:r>
          </w:p>
          <w:p w:rsidR="001B6C44" w:rsidRPr="001770CF" w:rsidRDefault="001B6C44" w:rsidP="001B6C44">
            <w:pPr>
              <w:jc w:val="both"/>
              <w:rPr>
                <w:rFonts w:eastAsia="Times New Roman" w:cs="Times New Roman"/>
                <w:szCs w:val="24"/>
              </w:rPr>
            </w:pPr>
            <w:r>
              <w:rPr>
                <w:rFonts w:eastAsia="Times New Roman" w:cs="Times New Roman"/>
                <w:szCs w:val="24"/>
              </w:rPr>
              <w:t>Медичний центр «Універсальна клініка «Оберіг»</w:t>
            </w:r>
            <w:r w:rsidRPr="001770CF">
              <w:rPr>
                <w:rFonts w:eastAsia="Times New Roman" w:cs="Times New Roman"/>
                <w:szCs w:val="24"/>
              </w:rPr>
              <w:t xml:space="preserve"> товариств</w:t>
            </w:r>
            <w:r>
              <w:rPr>
                <w:rFonts w:eastAsia="Times New Roman" w:cs="Times New Roman"/>
                <w:szCs w:val="24"/>
              </w:rPr>
              <w:t>а з обмеженою відповідальністю «Капитал»</w:t>
            </w:r>
            <w:r w:rsidRPr="001770CF">
              <w:rPr>
                <w:rFonts w:eastAsia="Times New Roman" w:cs="Times New Roman"/>
                <w:szCs w:val="24"/>
              </w:rPr>
              <w:t>, клініко-консультативне відділення, м. Київ</w:t>
            </w:r>
          </w:p>
          <w:p w:rsidR="001B6C44" w:rsidRPr="001770CF" w:rsidRDefault="001B6C44" w:rsidP="001B6C44">
            <w:pPr>
              <w:jc w:val="both"/>
              <w:rPr>
                <w:rFonts w:eastAsia="Times New Roman" w:cs="Times New Roman"/>
                <w:szCs w:val="24"/>
              </w:rPr>
            </w:pPr>
            <w:r>
              <w:rPr>
                <w:rFonts w:eastAsia="Times New Roman" w:cs="Times New Roman"/>
                <w:szCs w:val="24"/>
              </w:rPr>
              <w:t>5)</w:t>
            </w:r>
            <w:r w:rsidRPr="001770CF">
              <w:rPr>
                <w:rFonts w:eastAsia="Times New Roman" w:cs="Times New Roman"/>
                <w:szCs w:val="24"/>
              </w:rPr>
              <w:t xml:space="preserve"> к.м.н. Лешак В.І.</w:t>
            </w:r>
          </w:p>
          <w:p w:rsidR="001B6C44" w:rsidRPr="001770CF" w:rsidRDefault="001B6C44" w:rsidP="001B6C44">
            <w:pPr>
              <w:jc w:val="both"/>
              <w:rPr>
                <w:rFonts w:eastAsia="Times New Roman" w:cs="Times New Roman"/>
                <w:szCs w:val="24"/>
              </w:rPr>
            </w:pPr>
            <w:r w:rsidRPr="001770CF">
              <w:rPr>
                <w:rFonts w:eastAsia="Times New Roman" w:cs="Times New Roman"/>
                <w:szCs w:val="24"/>
              </w:rPr>
              <w:t xml:space="preserve">Товариство з обмеженою відповідальністю «Клініка здорової родини Астрамед», лікувально-діагностичний центр «Закарпатський центр хірургічних інновацій Астрамед», </w:t>
            </w:r>
            <w:r>
              <w:rPr>
                <w:rFonts w:eastAsia="Times New Roman" w:cs="Times New Roman"/>
                <w:szCs w:val="24"/>
                <w:lang w:val="uk-UA"/>
              </w:rPr>
              <w:t xml:space="preserve"> </w:t>
            </w:r>
            <w:r w:rsidRPr="001770CF">
              <w:rPr>
                <w:rFonts w:eastAsia="Times New Roman" w:cs="Times New Roman"/>
                <w:szCs w:val="24"/>
              </w:rPr>
              <w:t>м. Ужгород</w:t>
            </w:r>
          </w:p>
        </w:tc>
      </w:tr>
    </w:tbl>
    <w:p w:rsidR="002E2F61" w:rsidRDefault="002E2F61">
      <w:r>
        <w:br w:type="page"/>
      </w:r>
    </w:p>
    <w:p w:rsidR="002E2F61" w:rsidRPr="002E2F61" w:rsidRDefault="002E2F61">
      <w:pPr>
        <w:rPr>
          <w:lang w:val="uk-UA"/>
        </w:rPr>
      </w:pPr>
      <w:r>
        <w:rPr>
          <w:lang w:val="uk-UA"/>
        </w:rPr>
        <w:lastRenderedPageBreak/>
        <w:t xml:space="preserve">                                                                                                               2                                                                     продовження додатка 1</w:t>
      </w:r>
    </w:p>
    <w:p w:rsidR="002E2F61" w:rsidRDefault="002E2F61"/>
    <w:tbl>
      <w:tblPr>
        <w:tblStyle w:val="af0"/>
        <w:tblW w:w="0" w:type="auto"/>
        <w:tblInd w:w="0" w:type="dxa"/>
        <w:tblLook w:val="04A0" w:firstRow="1" w:lastRow="0" w:firstColumn="1" w:lastColumn="0" w:noHBand="0" w:noVBand="1"/>
      </w:tblPr>
      <w:tblGrid>
        <w:gridCol w:w="3823"/>
        <w:gridCol w:w="9633"/>
      </w:tblGrid>
      <w:tr w:rsidR="001B6C44">
        <w:tc>
          <w:tcPr>
            <w:tcW w:w="3823" w:type="dxa"/>
            <w:tcBorders>
              <w:top w:val="single" w:sz="4" w:space="0" w:color="auto"/>
              <w:left w:val="single" w:sz="4" w:space="0" w:color="auto"/>
              <w:bottom w:val="single" w:sz="4" w:space="0" w:color="auto"/>
              <w:right w:val="single" w:sz="4" w:space="0" w:color="auto"/>
            </w:tcBorders>
            <w:hideMark/>
          </w:tcPr>
          <w:p w:rsidR="001B6C44" w:rsidRDefault="001B6C44" w:rsidP="001B6C44">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1B6C44" w:rsidRPr="001770CF" w:rsidRDefault="001B6C44" w:rsidP="001B6C44">
            <w:pPr>
              <w:jc w:val="both"/>
              <w:rPr>
                <w:rFonts w:eastAsia="Times New Roman" w:cs="Times New Roman"/>
                <w:szCs w:val="24"/>
              </w:rPr>
            </w:pPr>
            <w:r w:rsidRPr="001770CF">
              <w:rPr>
                <w:rFonts w:eastAsia="Times New Roman" w:cs="Times New Roman"/>
                <w:szCs w:val="24"/>
              </w:rPr>
              <w:t xml:space="preserve">Преднізолон 10 мг </w:t>
            </w:r>
            <w:r>
              <w:rPr>
                <w:rFonts w:eastAsia="Times New Roman" w:cs="Times New Roman"/>
                <w:szCs w:val="24"/>
              </w:rPr>
              <w:t>GALEN® таблетки; Таблетки 10 мг міліграм(и)</w:t>
            </w:r>
            <w:r w:rsidRPr="001770CF">
              <w:rPr>
                <w:rFonts w:eastAsia="Times New Roman" w:cs="Times New Roman"/>
                <w:szCs w:val="24"/>
              </w:rPr>
              <w:t xml:space="preserve">; </w:t>
            </w:r>
            <w:r>
              <w:rPr>
                <w:rFonts w:eastAsia="Times New Roman" w:cs="Times New Roman"/>
                <w:szCs w:val="24"/>
              </w:rPr>
              <w:t>HWI</w:t>
            </w:r>
            <w:r w:rsidRPr="001770CF">
              <w:rPr>
                <w:rFonts w:eastAsia="Times New Roman" w:cs="Times New Roman"/>
                <w:szCs w:val="24"/>
              </w:rPr>
              <w:t xml:space="preserve"> </w:t>
            </w:r>
            <w:r>
              <w:rPr>
                <w:rFonts w:eastAsia="Times New Roman" w:cs="Times New Roman"/>
                <w:szCs w:val="24"/>
              </w:rPr>
              <w:t>Pharma</w:t>
            </w:r>
            <w:r w:rsidRPr="001770CF">
              <w:rPr>
                <w:rFonts w:eastAsia="Times New Roman" w:cs="Times New Roman"/>
                <w:szCs w:val="24"/>
              </w:rPr>
              <w:t xml:space="preserve"> </w:t>
            </w:r>
            <w:r>
              <w:rPr>
                <w:rFonts w:eastAsia="Times New Roman" w:cs="Times New Roman"/>
                <w:szCs w:val="24"/>
              </w:rPr>
              <w:t>Services</w:t>
            </w:r>
            <w:r w:rsidRPr="001770CF">
              <w:rPr>
                <w:rFonts w:eastAsia="Times New Roman" w:cs="Times New Roman"/>
                <w:szCs w:val="24"/>
              </w:rPr>
              <w:t xml:space="preserve"> </w:t>
            </w:r>
            <w:r>
              <w:rPr>
                <w:rFonts w:eastAsia="Times New Roman" w:cs="Times New Roman"/>
                <w:szCs w:val="24"/>
              </w:rPr>
              <w:t>GmbH</w:t>
            </w:r>
            <w:r>
              <w:rPr>
                <w:rFonts w:eastAsia="Times New Roman" w:cs="Times New Roman"/>
                <w:szCs w:val="24"/>
                <w:lang w:val="uk-UA"/>
              </w:rPr>
              <w:t xml:space="preserve">, </w:t>
            </w:r>
            <w:r>
              <w:rPr>
                <w:rFonts w:eastAsia="Times New Roman" w:cs="Times New Roman"/>
                <w:szCs w:val="24"/>
              </w:rPr>
              <w:t>Німеччина</w:t>
            </w:r>
            <w:r w:rsidRPr="001770CF">
              <w:rPr>
                <w:rFonts w:eastAsia="Times New Roman" w:cs="Times New Roman"/>
                <w:szCs w:val="24"/>
              </w:rPr>
              <w:t xml:space="preserve">; </w:t>
            </w:r>
          </w:p>
          <w:p w:rsidR="001B6C44" w:rsidRPr="0009402F" w:rsidRDefault="001B6C44" w:rsidP="001B6C44">
            <w:pPr>
              <w:jc w:val="both"/>
              <w:rPr>
                <w:rFonts w:eastAsia="Times New Roman" w:cs="Times New Roman"/>
                <w:szCs w:val="24"/>
                <w:lang w:val="uk-UA"/>
              </w:rPr>
            </w:pPr>
            <w:r w:rsidRPr="001770CF">
              <w:rPr>
                <w:rFonts w:eastAsia="Times New Roman" w:cs="Times New Roman"/>
                <w:szCs w:val="24"/>
              </w:rPr>
              <w:t xml:space="preserve">Плацебо до Преднізолон 10 мг </w:t>
            </w:r>
            <w:r>
              <w:rPr>
                <w:rFonts w:eastAsia="Times New Roman" w:cs="Times New Roman"/>
                <w:szCs w:val="24"/>
              </w:rPr>
              <w:t>GALEN® таблетки</w:t>
            </w:r>
            <w:r w:rsidRPr="001770CF">
              <w:rPr>
                <w:rFonts w:eastAsia="Times New Roman" w:cs="Times New Roman"/>
                <w:szCs w:val="24"/>
              </w:rPr>
              <w:t xml:space="preserve">; </w:t>
            </w:r>
            <w:r>
              <w:rPr>
                <w:rFonts w:eastAsia="Times New Roman" w:cs="Times New Roman"/>
                <w:szCs w:val="24"/>
              </w:rPr>
              <w:t>HWI</w:t>
            </w:r>
            <w:r w:rsidRPr="001770CF">
              <w:rPr>
                <w:rFonts w:eastAsia="Times New Roman" w:cs="Times New Roman"/>
                <w:szCs w:val="24"/>
              </w:rPr>
              <w:t xml:space="preserve"> </w:t>
            </w:r>
            <w:r>
              <w:rPr>
                <w:rFonts w:eastAsia="Times New Roman" w:cs="Times New Roman"/>
                <w:szCs w:val="24"/>
              </w:rPr>
              <w:t>Pharma</w:t>
            </w:r>
            <w:r w:rsidRPr="001770CF">
              <w:rPr>
                <w:rFonts w:eastAsia="Times New Roman" w:cs="Times New Roman"/>
                <w:szCs w:val="24"/>
              </w:rPr>
              <w:t xml:space="preserve"> </w:t>
            </w:r>
            <w:r>
              <w:rPr>
                <w:rFonts w:eastAsia="Times New Roman" w:cs="Times New Roman"/>
                <w:szCs w:val="24"/>
              </w:rPr>
              <w:t>Services</w:t>
            </w:r>
            <w:r w:rsidRPr="001770CF">
              <w:rPr>
                <w:rFonts w:eastAsia="Times New Roman" w:cs="Times New Roman"/>
                <w:szCs w:val="24"/>
              </w:rPr>
              <w:t xml:space="preserve"> </w:t>
            </w:r>
            <w:r>
              <w:rPr>
                <w:rFonts w:eastAsia="Times New Roman" w:cs="Times New Roman"/>
                <w:szCs w:val="24"/>
              </w:rPr>
              <w:t>GmbH</w:t>
            </w:r>
            <w:r>
              <w:rPr>
                <w:rFonts w:eastAsia="Times New Roman" w:cs="Times New Roman"/>
                <w:szCs w:val="24"/>
                <w:lang w:val="uk-UA"/>
              </w:rPr>
              <w:t xml:space="preserve">, </w:t>
            </w:r>
            <w:r>
              <w:rPr>
                <w:rFonts w:eastAsia="Times New Roman" w:cs="Times New Roman"/>
                <w:szCs w:val="24"/>
              </w:rPr>
              <w:t>Німеччина</w:t>
            </w:r>
          </w:p>
        </w:tc>
      </w:tr>
      <w:tr w:rsidR="001B6C44" w:rsidRPr="005B00A3">
        <w:tc>
          <w:tcPr>
            <w:tcW w:w="3823" w:type="dxa"/>
            <w:tcBorders>
              <w:top w:val="single" w:sz="4" w:space="0" w:color="auto"/>
              <w:left w:val="single" w:sz="4" w:space="0" w:color="auto"/>
              <w:bottom w:val="single" w:sz="4" w:space="0" w:color="auto"/>
              <w:right w:val="single" w:sz="4" w:space="0" w:color="auto"/>
            </w:tcBorders>
            <w:hideMark/>
          </w:tcPr>
          <w:p w:rsidR="001B6C44" w:rsidRDefault="001B6C44" w:rsidP="001B6C44">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1B6C44" w:rsidRDefault="001B6C44" w:rsidP="001B6C44">
            <w:pPr>
              <w:jc w:val="both"/>
              <w:rPr>
                <w:rFonts w:eastAsia="Times New Roman" w:cs="Times New Roman"/>
                <w:szCs w:val="24"/>
              </w:rPr>
            </w:pPr>
            <w:r>
              <w:rPr>
                <w:rFonts w:eastAsia="Times New Roman" w:cs="Times New Roman"/>
                <w:szCs w:val="24"/>
              </w:rPr>
              <w:t>-</w:t>
            </w:r>
            <w:r>
              <w:rPr>
                <w:rFonts w:eastAsia="Times New Roman" w:cs="Times New Roman"/>
                <w:szCs w:val="24"/>
                <w:lang w:val="uk-UA"/>
              </w:rPr>
              <w:t xml:space="preserve"> </w:t>
            </w:r>
            <w:r w:rsidRPr="001770CF">
              <w:rPr>
                <w:rFonts w:eastAsia="Times New Roman" w:cs="Times New Roman"/>
                <w:szCs w:val="24"/>
              </w:rPr>
              <w:t xml:space="preserve">Окуляри Френзеля: </w:t>
            </w:r>
            <w:r>
              <w:rPr>
                <w:rFonts w:eastAsia="Times New Roman" w:cs="Times New Roman"/>
                <w:szCs w:val="24"/>
              </w:rPr>
              <w:t>goggles</w:t>
            </w:r>
            <w:r w:rsidRPr="001770CF">
              <w:rPr>
                <w:rFonts w:eastAsia="Times New Roman" w:cs="Times New Roman"/>
                <w:szCs w:val="24"/>
              </w:rPr>
              <w:t xml:space="preserve"> </w:t>
            </w:r>
            <w:r>
              <w:rPr>
                <w:rFonts w:eastAsia="Times New Roman" w:cs="Times New Roman"/>
                <w:szCs w:val="24"/>
              </w:rPr>
              <w:t>Nystagmus</w:t>
            </w:r>
            <w:r w:rsidRPr="001770CF">
              <w:rPr>
                <w:rFonts w:eastAsia="Times New Roman" w:cs="Times New Roman"/>
                <w:szCs w:val="24"/>
              </w:rPr>
              <w:t xml:space="preserve"> </w:t>
            </w:r>
            <w:r>
              <w:rPr>
                <w:rFonts w:eastAsia="Times New Roman" w:cs="Times New Roman"/>
                <w:szCs w:val="24"/>
              </w:rPr>
              <w:t>Type</w:t>
            </w:r>
            <w:r w:rsidRPr="001770CF">
              <w:rPr>
                <w:rFonts w:eastAsia="Times New Roman" w:cs="Times New Roman"/>
                <w:szCs w:val="24"/>
              </w:rPr>
              <w:t xml:space="preserve"> 503, </w:t>
            </w:r>
            <w:r>
              <w:rPr>
                <w:rFonts w:eastAsia="Times New Roman" w:cs="Times New Roman"/>
                <w:szCs w:val="24"/>
              </w:rPr>
              <w:t>DEHAG</w:t>
            </w:r>
            <w:r w:rsidRPr="001770CF">
              <w:rPr>
                <w:rFonts w:eastAsia="Times New Roman" w:cs="Times New Roman"/>
                <w:szCs w:val="24"/>
              </w:rPr>
              <w:t>;</w:t>
            </w:r>
          </w:p>
          <w:p w:rsidR="001B6C44" w:rsidRPr="001B6C44" w:rsidRDefault="001B6C44" w:rsidP="001B6C44">
            <w:pPr>
              <w:jc w:val="both"/>
              <w:rPr>
                <w:rFonts w:eastAsia="Times New Roman" w:cs="Times New Roman"/>
                <w:szCs w:val="24"/>
                <w:lang w:val="en-US"/>
              </w:rPr>
            </w:pPr>
            <w:r w:rsidRPr="001B6C44">
              <w:rPr>
                <w:rFonts w:eastAsia="Times New Roman" w:cs="Times New Roman"/>
                <w:szCs w:val="24"/>
                <w:lang w:val="en-US"/>
              </w:rPr>
              <w:t xml:space="preserve">- </w:t>
            </w:r>
            <w:r w:rsidRPr="001770CF">
              <w:rPr>
                <w:rFonts w:eastAsia="Times New Roman" w:cs="Times New Roman"/>
                <w:szCs w:val="24"/>
              </w:rPr>
              <w:t>Ваги</w:t>
            </w:r>
            <w:r w:rsidRPr="001B6C44">
              <w:rPr>
                <w:rFonts w:eastAsia="Times New Roman" w:cs="Times New Roman"/>
                <w:szCs w:val="24"/>
                <w:lang w:val="en-US"/>
              </w:rPr>
              <w:t>: EMB 500-1, KERN &amp; SOYN GmbH;</w:t>
            </w:r>
          </w:p>
          <w:p w:rsidR="001B6C44" w:rsidRDefault="001B6C44" w:rsidP="001B6C44">
            <w:pPr>
              <w:jc w:val="both"/>
              <w:rPr>
                <w:rFonts w:eastAsia="Times New Roman" w:cs="Times New Roman"/>
                <w:szCs w:val="24"/>
                <w:lang w:val="uk-UA"/>
              </w:rPr>
            </w:pPr>
            <w:r w:rsidRPr="001B6C44">
              <w:rPr>
                <w:rFonts w:eastAsia="Times New Roman" w:cs="Times New Roman"/>
                <w:szCs w:val="24"/>
                <w:lang w:val="en-US"/>
              </w:rPr>
              <w:t xml:space="preserve">- </w:t>
            </w:r>
            <w:r w:rsidRPr="001770CF">
              <w:rPr>
                <w:rFonts w:eastAsia="Times New Roman" w:cs="Times New Roman"/>
                <w:szCs w:val="24"/>
              </w:rPr>
              <w:t>Температурний</w:t>
            </w:r>
            <w:r w:rsidRPr="001B6C44">
              <w:rPr>
                <w:rFonts w:eastAsia="Times New Roman" w:cs="Times New Roman"/>
                <w:szCs w:val="24"/>
                <w:lang w:val="en-US"/>
              </w:rPr>
              <w:t xml:space="preserve"> </w:t>
            </w:r>
            <w:r w:rsidRPr="001770CF">
              <w:rPr>
                <w:rFonts w:eastAsia="Times New Roman" w:cs="Times New Roman"/>
                <w:szCs w:val="24"/>
              </w:rPr>
              <w:t>контролер</w:t>
            </w:r>
            <w:r w:rsidRPr="001B6C44">
              <w:rPr>
                <w:rFonts w:eastAsia="Times New Roman" w:cs="Times New Roman"/>
                <w:szCs w:val="24"/>
                <w:lang w:val="en-US"/>
              </w:rPr>
              <w:t>: LOG200 PDF data logger, DOSTMANN electronic GmbH</w:t>
            </w:r>
            <w:r>
              <w:rPr>
                <w:rFonts w:eastAsia="Times New Roman" w:cs="Times New Roman"/>
                <w:szCs w:val="24"/>
                <w:lang w:val="uk-UA"/>
              </w:rPr>
              <w:t>;</w:t>
            </w:r>
          </w:p>
          <w:p w:rsidR="001B6C44" w:rsidRDefault="001B6C44" w:rsidP="001B6C44">
            <w:pPr>
              <w:jc w:val="both"/>
              <w:rPr>
                <w:rFonts w:eastAsia="Times New Roman" w:cs="Times New Roman"/>
                <w:szCs w:val="24"/>
                <w:lang w:val="uk-UA"/>
              </w:rPr>
            </w:pPr>
            <w:r w:rsidRPr="00C81EFA">
              <w:rPr>
                <w:rFonts w:eastAsia="Times New Roman" w:cs="Times New Roman"/>
                <w:szCs w:val="24"/>
                <w:lang w:val="uk-UA"/>
              </w:rPr>
              <w:t xml:space="preserve">- Тести на вагітність у сечі (смужки): </w:t>
            </w:r>
            <w:r w:rsidRPr="001B6C44">
              <w:rPr>
                <w:rFonts w:eastAsia="Times New Roman" w:cs="Times New Roman"/>
                <w:szCs w:val="24"/>
                <w:lang w:val="en-US"/>
              </w:rPr>
              <w:t>viola</w:t>
            </w:r>
            <w:r w:rsidRPr="00C81EFA">
              <w:rPr>
                <w:rFonts w:eastAsia="Times New Roman" w:cs="Times New Roman"/>
                <w:szCs w:val="24"/>
                <w:lang w:val="uk-UA"/>
              </w:rPr>
              <w:t xml:space="preserve"> ® </w:t>
            </w:r>
            <w:r w:rsidRPr="001B6C44">
              <w:rPr>
                <w:rFonts w:eastAsia="Times New Roman" w:cs="Times New Roman"/>
                <w:szCs w:val="24"/>
                <w:lang w:val="en-US"/>
              </w:rPr>
              <w:t>Pregnancy</w:t>
            </w:r>
            <w:r w:rsidRPr="00C81EFA">
              <w:rPr>
                <w:rFonts w:eastAsia="Times New Roman" w:cs="Times New Roman"/>
                <w:szCs w:val="24"/>
                <w:lang w:val="uk-UA"/>
              </w:rPr>
              <w:t xml:space="preserve"> </w:t>
            </w:r>
            <w:r w:rsidRPr="001B6C44">
              <w:rPr>
                <w:rFonts w:eastAsia="Times New Roman" w:cs="Times New Roman"/>
                <w:szCs w:val="24"/>
                <w:lang w:val="en-US"/>
              </w:rPr>
              <w:t>test</w:t>
            </w:r>
            <w:r w:rsidRPr="00C81EFA">
              <w:rPr>
                <w:rFonts w:eastAsia="Times New Roman" w:cs="Times New Roman"/>
                <w:szCs w:val="24"/>
                <w:lang w:val="uk-UA"/>
              </w:rPr>
              <w:t xml:space="preserve">, </w:t>
            </w:r>
            <w:r w:rsidRPr="001B6C44">
              <w:rPr>
                <w:rFonts w:eastAsia="Times New Roman" w:cs="Times New Roman"/>
                <w:szCs w:val="24"/>
                <w:lang w:val="en-US"/>
              </w:rPr>
              <w:t>CARE</w:t>
            </w:r>
            <w:r w:rsidRPr="00C81EFA">
              <w:rPr>
                <w:rFonts w:eastAsia="Times New Roman" w:cs="Times New Roman"/>
                <w:szCs w:val="24"/>
                <w:lang w:val="uk-UA"/>
              </w:rPr>
              <w:t xml:space="preserve"> </w:t>
            </w:r>
            <w:r w:rsidRPr="001B6C44">
              <w:rPr>
                <w:rFonts w:eastAsia="Times New Roman" w:cs="Times New Roman"/>
                <w:szCs w:val="24"/>
                <w:lang w:val="en-US"/>
              </w:rPr>
              <w:t>diagnostica</w:t>
            </w:r>
            <w:r w:rsidRPr="00C81EFA">
              <w:rPr>
                <w:rFonts w:eastAsia="Times New Roman" w:cs="Times New Roman"/>
                <w:szCs w:val="24"/>
                <w:lang w:val="uk-UA"/>
              </w:rPr>
              <w:t xml:space="preserve"> </w:t>
            </w:r>
            <w:r w:rsidRPr="001B6C44">
              <w:rPr>
                <w:rFonts w:eastAsia="Times New Roman" w:cs="Times New Roman"/>
                <w:szCs w:val="24"/>
                <w:lang w:val="en-US"/>
              </w:rPr>
              <w:t>Produktions</w:t>
            </w:r>
            <w:r w:rsidRPr="00C81EFA">
              <w:rPr>
                <w:rFonts w:eastAsia="Times New Roman" w:cs="Times New Roman"/>
                <w:szCs w:val="24"/>
                <w:lang w:val="uk-UA"/>
              </w:rPr>
              <w:t xml:space="preserve">- </w:t>
            </w:r>
            <w:r w:rsidRPr="001B6C44">
              <w:rPr>
                <w:rFonts w:eastAsia="Times New Roman" w:cs="Times New Roman"/>
                <w:szCs w:val="24"/>
                <w:lang w:val="en-US"/>
              </w:rPr>
              <w:t>und</w:t>
            </w:r>
            <w:r w:rsidRPr="00C81EFA">
              <w:rPr>
                <w:rFonts w:eastAsia="Times New Roman" w:cs="Times New Roman"/>
                <w:szCs w:val="24"/>
                <w:lang w:val="uk-UA"/>
              </w:rPr>
              <w:t xml:space="preserve"> </w:t>
            </w:r>
            <w:r w:rsidRPr="001B6C44">
              <w:rPr>
                <w:rFonts w:eastAsia="Times New Roman" w:cs="Times New Roman"/>
                <w:szCs w:val="24"/>
                <w:lang w:val="en-US"/>
              </w:rPr>
              <w:t>Vertiebsgesellschaft</w:t>
            </w:r>
            <w:r w:rsidRPr="00C81EFA">
              <w:rPr>
                <w:rFonts w:eastAsia="Times New Roman" w:cs="Times New Roman"/>
                <w:szCs w:val="24"/>
                <w:lang w:val="uk-UA"/>
              </w:rPr>
              <w:t xml:space="preserve"> </w:t>
            </w:r>
            <w:r w:rsidRPr="001B6C44">
              <w:rPr>
                <w:rFonts w:eastAsia="Times New Roman" w:cs="Times New Roman"/>
                <w:szCs w:val="24"/>
                <w:lang w:val="en-US"/>
              </w:rPr>
              <w:t>m</w:t>
            </w:r>
            <w:r w:rsidRPr="00C81EFA">
              <w:rPr>
                <w:rFonts w:eastAsia="Times New Roman" w:cs="Times New Roman"/>
                <w:szCs w:val="24"/>
                <w:lang w:val="uk-UA"/>
              </w:rPr>
              <w:t>.</w:t>
            </w:r>
            <w:r w:rsidRPr="001B6C44">
              <w:rPr>
                <w:rFonts w:eastAsia="Times New Roman" w:cs="Times New Roman"/>
                <w:szCs w:val="24"/>
                <w:lang w:val="en-US"/>
              </w:rPr>
              <w:t>b</w:t>
            </w:r>
            <w:r w:rsidRPr="00C81EFA">
              <w:rPr>
                <w:rFonts w:eastAsia="Times New Roman" w:cs="Times New Roman"/>
                <w:szCs w:val="24"/>
                <w:lang w:val="uk-UA"/>
              </w:rPr>
              <w:t>.</w:t>
            </w:r>
            <w:r w:rsidRPr="001B6C44">
              <w:rPr>
                <w:rFonts w:eastAsia="Times New Roman" w:cs="Times New Roman"/>
                <w:szCs w:val="24"/>
                <w:lang w:val="en-US"/>
              </w:rPr>
              <w:t>H</w:t>
            </w:r>
            <w:r w:rsidRPr="00C81EFA">
              <w:rPr>
                <w:rFonts w:eastAsia="Times New Roman" w:cs="Times New Roman"/>
                <w:szCs w:val="24"/>
                <w:lang w:val="uk-UA"/>
              </w:rPr>
              <w:t>.;</w:t>
            </w:r>
          </w:p>
          <w:p w:rsidR="001B6C44" w:rsidRPr="0009402F" w:rsidRDefault="001B6C44" w:rsidP="001B6C44">
            <w:pPr>
              <w:jc w:val="both"/>
              <w:rPr>
                <w:rFonts w:eastAsia="Times New Roman" w:cs="Times New Roman"/>
                <w:szCs w:val="24"/>
                <w:lang w:val="uk-UA"/>
              </w:rPr>
            </w:pPr>
            <w:r w:rsidRPr="00C81EFA">
              <w:rPr>
                <w:rFonts w:eastAsia="Times New Roman" w:cs="Times New Roman"/>
                <w:szCs w:val="24"/>
                <w:lang w:val="uk-UA"/>
              </w:rPr>
              <w:t xml:space="preserve">- Тест-смужки для аналізу сечі: </w:t>
            </w:r>
            <w:r>
              <w:rPr>
                <w:rFonts w:eastAsia="Times New Roman" w:cs="Times New Roman"/>
                <w:szCs w:val="24"/>
              </w:rPr>
              <w:t>test</w:t>
            </w:r>
            <w:r w:rsidRPr="00C81EFA">
              <w:rPr>
                <w:rFonts w:eastAsia="Times New Roman" w:cs="Times New Roman"/>
                <w:szCs w:val="24"/>
                <w:lang w:val="uk-UA"/>
              </w:rPr>
              <w:t xml:space="preserve"> </w:t>
            </w:r>
            <w:r>
              <w:rPr>
                <w:rFonts w:eastAsia="Times New Roman" w:cs="Times New Roman"/>
                <w:szCs w:val="24"/>
              </w:rPr>
              <w:t>Combur</w:t>
            </w:r>
            <w:r w:rsidRPr="00C81EFA">
              <w:rPr>
                <w:rFonts w:eastAsia="Times New Roman" w:cs="Times New Roman"/>
                <w:szCs w:val="24"/>
                <w:lang w:val="uk-UA"/>
              </w:rPr>
              <w:t xml:space="preserve">-10, </w:t>
            </w:r>
            <w:r>
              <w:rPr>
                <w:rFonts w:eastAsia="Times New Roman" w:cs="Times New Roman"/>
                <w:szCs w:val="24"/>
              </w:rPr>
              <w:t>Roche</w:t>
            </w:r>
            <w:r w:rsidRPr="00C81EFA">
              <w:rPr>
                <w:rFonts w:eastAsia="Times New Roman" w:cs="Times New Roman"/>
                <w:szCs w:val="24"/>
                <w:lang w:val="uk-UA"/>
              </w:rPr>
              <w:t xml:space="preserve"> </w:t>
            </w:r>
            <w:r>
              <w:rPr>
                <w:rFonts w:eastAsia="Times New Roman" w:cs="Times New Roman"/>
                <w:szCs w:val="24"/>
              </w:rPr>
              <w:t>Diagnostics</w:t>
            </w:r>
            <w:r w:rsidRPr="00C81EFA">
              <w:rPr>
                <w:rFonts w:eastAsia="Times New Roman" w:cs="Times New Roman"/>
                <w:szCs w:val="24"/>
                <w:lang w:val="uk-UA"/>
              </w:rPr>
              <w:t xml:space="preserve"> </w:t>
            </w:r>
            <w:r>
              <w:rPr>
                <w:rFonts w:eastAsia="Times New Roman" w:cs="Times New Roman"/>
                <w:szCs w:val="24"/>
              </w:rPr>
              <w:t>GmbH</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b/>
          <w:lang w:val="uk-UA" w:eastAsia="en-US"/>
        </w:rPr>
        <w:sectPr w:rsidR="00206ED3">
          <w:headerReference w:type="default" r:id="rId7"/>
          <w:pgSz w:w="16838" w:h="11906" w:orient="landscape"/>
          <w:pgMar w:top="851" w:right="1245" w:bottom="851" w:left="2127" w:header="709" w:footer="709" w:gutter="0"/>
          <w:cols w:space="708"/>
          <w:titlePg/>
          <w:docGrid w:linePitch="360"/>
        </w:sectPr>
      </w:pPr>
    </w:p>
    <w:p w:rsidR="00206ED3" w:rsidRDefault="002D491F">
      <w:pPr>
        <w:rPr>
          <w:lang w:val="uk-UA"/>
        </w:rPr>
      </w:pPr>
      <w:r>
        <w:rPr>
          <w:lang w:val="uk-UA"/>
        </w:rPr>
        <w:lastRenderedPageBreak/>
        <w:t xml:space="preserve">                                                                                                                                                       Додаток 2</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13462" w:type="dxa"/>
        <w:tblInd w:w="0" w:type="dxa"/>
        <w:tblLayout w:type="fixed"/>
        <w:tblLook w:val="04A0" w:firstRow="1" w:lastRow="0" w:firstColumn="1" w:lastColumn="0" w:noHBand="0" w:noVBand="1"/>
      </w:tblPr>
      <w:tblGrid>
        <w:gridCol w:w="3682"/>
        <w:gridCol w:w="9780"/>
      </w:tblGrid>
      <w:tr w:rsidR="00206ED3" w:rsidRPr="00F80E7F" w:rsidTr="002E2F6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 xml:space="preserve">Брошура дослідника для досліджуваного лікарського засобу frexalimab (SAR441344), видання 6 від 17 січня 2024 року; Оновлені зразки маркування вторинної та первинної упаковки досліджуваного лікарського засобу Frexalimab 1200 мг/8 мл розчину (150 мг/мл), розчин для ін’єкцій, версія 1.0 від 27.02.2024 року українською мовою; Оновлені розділи Досьє досліджуваного лікарського засобу: IMPD Quality Data A.2 Adventitious Agents Safety Evaluation, Frexalimab, solution for injection, 150mg/mL, від 01 грудня 2023 року; IMPD Quality Data, Drug Substance, frexalimab (150 mg/mL solution), від 29 лютого 2024 року; CTA Quality Data, Drug Substance, frexalimab (150 mg/mL solution), Appendix to S.2.6 Manufacturing process development, Description and evolution of the C1P1F1 drug substance manufacturing process, Analytical comparability assessment for the 500 L to 1000 L scale up, від 27 квітня 2023 року; CTA Quality Data, Drug Substance, frexalimab (150 mg/mL solution), Appendix to S.2.6 Manufacturing process development, Analytical comparability assessment for the change from C1P1F1 to C2F2P2 drug substance and drug product materials, 21 листопада 2023 року; </w:t>
            </w:r>
            <w:r w:rsidR="001B6C44">
              <w:rPr>
                <w:lang w:val="uk-UA"/>
              </w:rPr>
              <w:t xml:space="preserve">                   </w:t>
            </w:r>
            <w:r w:rsidRPr="00F80E7F">
              <w:t>IMPD Quality Data, Drug Product, Frexalimab solution for injection, Dosage strength: 1200 mg/</w:t>
            </w:r>
            <w:r w:rsidR="00E43F1C">
              <w:rPr>
                <w:lang w:val="uk-UA"/>
              </w:rPr>
              <w:t xml:space="preserve">       </w:t>
            </w:r>
            <w:r w:rsidRPr="00F80E7F">
              <w:t xml:space="preserve">8 mL (150 mg/mL), від 29 лютого 2024 року; Подовження терміну придатності досліджуваного лікарського засобу SAR441344, розчин для ін’єкцій (по 300 мг у флаконах об’ємом 2 мл), </w:t>
            </w:r>
            <w:r w:rsidR="001B6C44">
              <w:rPr>
                <w:lang w:val="uk-UA"/>
              </w:rPr>
              <w:t xml:space="preserve">                </w:t>
            </w:r>
            <w:r w:rsidRPr="00F80E7F">
              <w:t xml:space="preserve">до 24 місяців; Залучення додаткових виробників досліджуваного лікарського засобу SAR441344, розчин для ін’єкцій (по 1200 мг у флаконах об’ємом 8 мл): Almac Clinical Services Limited, Велика Британія; Creapharm Clinical Supplies, Франція; Almac Clinical Services Limited, США; Sanofi-Aventis Deutschland GmbH, Німеччина; Quality Assistance SA, Бельгія; Додання міжнародної непатентованої назви Frexalimab до досліджуваного лікарського засобу SAR441344, розчин для ін’єкцій (по 300 мг у флаконах об’ємом 2 мл); Додання форми випуску 1200 мг/8 мл до досліджуваного лікарського засобу SAR441344, розчин для ін’єкцій </w:t>
            </w:r>
          </w:p>
        </w:tc>
      </w:tr>
      <w:tr w:rsidR="00206ED3" w:rsidRPr="00F80E7F" w:rsidTr="002E2F61">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614 від 01.04.2021 </w:t>
            </w:r>
          </w:p>
        </w:tc>
      </w:tr>
    </w:tbl>
    <w:p w:rsidR="002E2F61" w:rsidRDefault="002E2F61">
      <w:r>
        <w:br w:type="page"/>
      </w:r>
    </w:p>
    <w:p w:rsidR="002E2F61" w:rsidRDefault="002E2F61">
      <w:r>
        <w:rPr>
          <w:lang w:val="uk-UA"/>
        </w:rPr>
        <w:lastRenderedPageBreak/>
        <w:t xml:space="preserve">                                                                                                               2                                                                     продовження додатка 2</w:t>
      </w:r>
    </w:p>
    <w:p w:rsidR="002E2F61" w:rsidRDefault="002E2F61"/>
    <w:tbl>
      <w:tblPr>
        <w:tblStyle w:val="af0"/>
        <w:tblW w:w="13462" w:type="dxa"/>
        <w:tblInd w:w="0" w:type="dxa"/>
        <w:tblLayout w:type="fixed"/>
        <w:tblLook w:val="04A0" w:firstRow="1" w:lastRow="0" w:firstColumn="1" w:lastColumn="0" w:noHBand="0" w:noVBand="1"/>
      </w:tblPr>
      <w:tblGrid>
        <w:gridCol w:w="3682"/>
        <w:gridCol w:w="9780"/>
      </w:tblGrid>
      <w:tr w:rsidR="00206ED3" w:rsidRPr="00F80E7F" w:rsidTr="002E2F61">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 xml:space="preserve">Рандомізоване, подвійне сліпе, плацебо-контрольоване дослідження фази 2 для оцінки ефективності та безпеки SAR441344, моноклонального антитіла до антагоніста CD40L, </w:t>
            </w:r>
            <w:r w:rsidR="001B0670">
              <w:rPr>
                <w:lang w:val="uk-UA"/>
              </w:rPr>
              <w:t xml:space="preserve">                      </w:t>
            </w:r>
            <w:r w:rsidR="002D491F" w:rsidRPr="00F80E7F">
              <w:t>у пацієнтів з рецидивуючим розсіяним склерозом</w:t>
            </w:r>
            <w:r w:rsidRPr="00F80E7F">
              <w:rPr>
                <w:color w:val="000000"/>
              </w:rPr>
              <w:t>»</w:t>
            </w:r>
            <w:r w:rsidR="002D491F" w:rsidRPr="00F80E7F">
              <w:t xml:space="preserve">, ACT16877, з поправкою 03, версія 1 від </w:t>
            </w:r>
            <w:r w:rsidR="001B0670">
              <w:rPr>
                <w:lang w:val="uk-UA"/>
              </w:rPr>
              <w:t xml:space="preserve">             </w:t>
            </w:r>
            <w:r w:rsidR="002D491F" w:rsidRPr="00F80E7F">
              <w:t>16 листопада 2023 року</w:t>
            </w:r>
          </w:p>
        </w:tc>
      </w:tr>
      <w:tr w:rsidR="00206ED3" w:rsidRPr="00F80E7F" w:rsidTr="002E2F61">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w:t>
            </w:r>
            <w:r w:rsidR="00F80E7F" w:rsidRPr="00F80E7F">
              <w:rPr>
                <w:color w:val="000000"/>
              </w:rPr>
              <w:t xml:space="preserve"> «</w:t>
            </w:r>
            <w:r w:rsidRPr="00F80E7F">
              <w:t>ПАРЕКСЕЛ Україна</w:t>
            </w:r>
            <w:r w:rsidR="00F80E7F" w:rsidRPr="00F80E7F">
              <w:rPr>
                <w:color w:val="000000"/>
              </w:rPr>
              <w:t>»</w:t>
            </w:r>
          </w:p>
        </w:tc>
      </w:tr>
      <w:tr w:rsidR="00206ED3" w:rsidRPr="00F80E7F" w:rsidTr="002E2F61">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sanofi-aventis recherche &amp; developpement, France (Санофі-Авентіс решерш е девелопман, Франція)</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3</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 xml:space="preserve">Оновлений протокол клінічного дослідження, версія 6.0 від 23 лютого 2024 року (англійською мовою); Інформація для пацієнта та форма інформованої згоди, версія 5.0 від 04 березня </w:t>
            </w:r>
            <w:r w:rsidR="001B0670">
              <w:rPr>
                <w:lang w:val="uk-UA"/>
              </w:rPr>
              <w:t xml:space="preserve">            </w:t>
            </w:r>
            <w:r w:rsidRPr="00F80E7F">
              <w:t xml:space="preserve">2024 (англійською, українською та російською мовами); Інформація про вагітну партнерку чи вагітну учасницю для збору даних про вагітність та пологи та Форма інформованої згоди на збирання даних про вагітність та пологи (для вагітної партнерки чи вагітної учасниці), версія 3.0 від 06 березня 2024 року (англійською, українською та російською мовами); Лист до пацієнта, версія 1.0 від 07 березня 2024 (англійською та українською мовами); Оновлена версія Досьє досліджуваного лікарського засобу IMU-838 таблетки, 5 мг / 15 мг / 22.5 мг / </w:t>
            </w:r>
            <w:r w:rsidR="00E43F1C">
              <w:rPr>
                <w:lang w:val="uk-UA"/>
              </w:rPr>
              <w:t xml:space="preserve">                  </w:t>
            </w:r>
            <w:r w:rsidRPr="00F80E7F">
              <w:t xml:space="preserve">30 мг / 45 мг, версія 14 від грудня 2023 року (IMPD IMU-838 Tablets 5 mg / 15 mg / 22,5 mg / 30 mg / 45 mg, version 14 dated December 2023); Оновлена версія Досьє досліджуваного лікарського засобу Плацебо для IMU-838 таблетки, версія 9 від грудня 2023 року </w:t>
            </w:r>
            <w:r w:rsidR="001B0670">
              <w:rPr>
                <w:lang w:val="uk-UA"/>
              </w:rPr>
              <w:t xml:space="preserve">                        </w:t>
            </w:r>
            <w:r w:rsidRPr="00F80E7F">
              <w:t>(IMPD Placebo For IMU-838 Tablets, version 9 dated December 2023); Брошура дослідника версії 9.0 від 13 березня 2024 року (англійською мовою)</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1773 від 20.08.2021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Багатоцентрове, рандомізоване, подвійне сліпе, плацебо-контрольоване дослідження для оцінки ефективності, безпечності i переносимості препарату IMU-838 у пацiєнтiв з прогресуючим розсіяним склерозом</w:t>
            </w:r>
            <w:r w:rsidRPr="00F80E7F">
              <w:rPr>
                <w:color w:val="000000"/>
              </w:rPr>
              <w:t>»</w:t>
            </w:r>
            <w:r w:rsidR="002D491F" w:rsidRPr="00F80E7F">
              <w:t xml:space="preserve">, P2-IMU-838-PMS, версія 5.1 від 3 лютого 2023 року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w:t>
            </w:r>
            <w:r w:rsidR="00F80E7F" w:rsidRPr="00F80E7F">
              <w:rPr>
                <w:color w:val="000000"/>
              </w:rPr>
              <w:t xml:space="preserve"> «</w:t>
            </w:r>
            <w:r w:rsidRPr="00F80E7F">
              <w:t>Верум Клінікал Рісерч</w:t>
            </w:r>
            <w:r w:rsidR="00F80E7F" w:rsidRPr="00F80E7F">
              <w:rPr>
                <w:color w:val="000000"/>
              </w:rPr>
              <w:t>»</w:t>
            </w:r>
            <w:r w:rsidRPr="00F80E7F">
              <w:t xml:space="preserve">, Україна </w:t>
            </w:r>
          </w:p>
        </w:tc>
      </w:tr>
      <w:tr w:rsidR="00206ED3" w:rsidRPr="005B00A3">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rPr>
                <w:lang w:val="en-US"/>
              </w:rPr>
            </w:pPr>
            <w:r w:rsidRPr="00F80E7F">
              <w:rPr>
                <w:color w:val="000000"/>
                <w:lang w:val="en-US"/>
              </w:rPr>
              <w:t>«</w:t>
            </w:r>
            <w:r w:rsidR="002D491F" w:rsidRPr="00F80E7F">
              <w:t>Іммунік</w:t>
            </w:r>
            <w:r w:rsidR="002D491F" w:rsidRPr="00F80E7F">
              <w:rPr>
                <w:lang w:val="en-US"/>
              </w:rPr>
              <w:t xml:space="preserve"> </w:t>
            </w:r>
            <w:r w:rsidR="002D491F" w:rsidRPr="00F80E7F">
              <w:t>АГ</w:t>
            </w:r>
            <w:r w:rsidRPr="00F80E7F">
              <w:rPr>
                <w:color w:val="000000"/>
                <w:lang w:val="en-US"/>
              </w:rPr>
              <w:t>»</w:t>
            </w:r>
            <w:r w:rsidR="002D491F" w:rsidRPr="00F80E7F">
              <w:rPr>
                <w:lang w:val="en-US"/>
              </w:rPr>
              <w:t xml:space="preserve">, </w:t>
            </w:r>
            <w:r w:rsidR="002D491F" w:rsidRPr="00F80E7F">
              <w:t>Німеччина</w:t>
            </w:r>
            <w:r w:rsidR="002D491F" w:rsidRPr="00F80E7F">
              <w:rPr>
                <w:lang w:val="en-US"/>
              </w:rPr>
              <w:t xml:space="preserve"> / Immunic AG, Germany</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4</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 xml:space="preserve">Інформація для учасника і форма інформованої згоди на визначення антитіл до MOG для потенційних учасників у дослідженні MOG001, шаблон для України, версія 1.0 від 15 березня 2024 року, українською та російською мовами; Зміна кількості досліджуваних в Україні до </w:t>
            </w:r>
            <w:r w:rsidR="001B0670">
              <w:rPr>
                <w:lang w:val="uk-UA"/>
              </w:rPr>
              <w:t xml:space="preserve">  </w:t>
            </w:r>
            <w:r w:rsidRPr="00F80E7F">
              <w:t>20 осіб</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254 від 08.02.2022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Рандомізоване, подвійне сліпе, плацебо-контрольоване, багатоцентрове дослідження фази 3 з продовженим відкритим періодом лікування для оцінки ефективності та безпечності препарату розаноліксізумаб у дорослих з мієлін-олігодендроцитарним глікопротеїн (MOG)-IgG-асоційованим демієлінізуючим захворюванням</w:t>
            </w:r>
            <w:r w:rsidRPr="00F80E7F">
              <w:rPr>
                <w:color w:val="000000"/>
              </w:rPr>
              <w:t>»</w:t>
            </w:r>
            <w:r w:rsidR="001B0670">
              <w:t>, MOG001</w:t>
            </w:r>
            <w:r w:rsidR="002D491F" w:rsidRPr="00F80E7F">
              <w:t>, з інкорпорованою поправкою 5 від 19 липня 2023 року</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w:t>
            </w:r>
            <w:r w:rsidR="00F80E7F" w:rsidRPr="00F80E7F">
              <w:rPr>
                <w:color w:val="000000"/>
              </w:rPr>
              <w:t xml:space="preserve"> «</w:t>
            </w:r>
            <w:r w:rsidRPr="00F80E7F">
              <w:t>ПАРЕКСЕЛ Україна</w:t>
            </w:r>
            <w:r w:rsidR="00F80E7F" w:rsidRPr="00F80E7F">
              <w:rPr>
                <w:color w:val="000000"/>
              </w:rPr>
              <w:t>»</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ЮСіБі Біофарма ЕсАрЕл, Бельгія / UCB Biopharma SRL, Belgium</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5</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Досьє досліджуваного лікарського засобу Аватромбопаг малеат (Avatrombopag maleate), лікарська речовина, версія 06 від 01 березня 2024 року англійською мовою</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422 від 10.03.2021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rsidP="001B0670">
            <w:pPr>
              <w:jc w:val="both"/>
            </w:pPr>
            <w:r w:rsidRPr="00F80E7F">
              <w:rPr>
                <w:color w:val="000000"/>
              </w:rPr>
              <w:t>«</w:t>
            </w:r>
            <w:r w:rsidR="002D491F" w:rsidRPr="00F80E7F">
              <w:t xml:space="preserve">Багатоцентрове рандомізоване подвійно сліпе плацебо-контрольоване випробування фази 3b в паралельних групах з подальшою відкритою розширеною фазою для оцінки ефективності та безпечності Аватромбопагу для лікування тромбоцитопенії в пацієнтів дитячого віку з імунною тромбоцитопенією протягом </w:t>
            </w:r>
            <w:r w:rsidR="001B0670">
              <w:rPr>
                <w:rFonts w:cs="Times New Roman"/>
              </w:rPr>
              <w:t>≥</w:t>
            </w:r>
            <w:r w:rsidR="001B0670">
              <w:rPr>
                <w:lang w:val="uk-UA"/>
              </w:rPr>
              <w:t xml:space="preserve"> </w:t>
            </w:r>
            <w:r w:rsidR="002D491F" w:rsidRPr="00F80E7F">
              <w:t>6 місяців</w:t>
            </w:r>
            <w:r w:rsidRPr="00F80E7F">
              <w:rPr>
                <w:color w:val="000000"/>
              </w:rPr>
              <w:t>»</w:t>
            </w:r>
            <w:r w:rsidR="002D491F" w:rsidRPr="00F80E7F">
              <w:t>, AVA-PED-301, версія 3.0 від 02 листопада 2021 року</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ТОВАРИСТВО З ОБМЕЖЕНОЮ ВІДПОВІДАЛЬНІСТЮ</w:t>
            </w:r>
            <w:r w:rsidR="00F80E7F" w:rsidRPr="00F80E7F">
              <w:rPr>
                <w:color w:val="000000"/>
              </w:rPr>
              <w:t xml:space="preserve"> «</w:t>
            </w:r>
            <w:r w:rsidRPr="00F80E7F">
              <w:t>ФАРМАСЬЮТІКАЛ РІСЕРЧ АССОУШИЕЙТС УКРАЇНА</w:t>
            </w:r>
            <w:r w:rsidR="00F80E7F" w:rsidRPr="00F80E7F">
              <w:rPr>
                <w:color w:val="000000"/>
              </w:rPr>
              <w:t>»</w:t>
            </w:r>
            <w:r w:rsidRPr="00F80E7F">
              <w:t xml:space="preserve"> (ТОВ</w:t>
            </w:r>
            <w:r w:rsidR="00F80E7F" w:rsidRPr="00F80E7F">
              <w:rPr>
                <w:color w:val="000000"/>
              </w:rPr>
              <w:t xml:space="preserve"> «</w:t>
            </w:r>
            <w:r w:rsidRPr="00F80E7F">
              <w:t>ФРА УКРАЇНА</w:t>
            </w:r>
            <w:r w:rsidR="00F80E7F" w:rsidRPr="00F80E7F">
              <w:rPr>
                <w:color w:val="000000"/>
              </w:rPr>
              <w:t>»</w:t>
            </w:r>
            <w:r w:rsidRPr="00F80E7F">
              <w:t>)</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Sobi, Inc., США</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6</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 xml:space="preserve">Брошура дослідника, PD-332991 (Palbociclib), версія 17.0 від лютого 2024 року, англійською мовою; A5481173_Інформація для пацієнта та форма інформованої згоди, Україна, версія 4.1.0 від 18 березня 2024 р. на основі версії на рівні дослідження від 07 березня 2024 р., українською мовою; A5481173_Інформація для пацієнта та форма інформованої згоди, Україна, версія 4.1.0 від 18 березня 2024 р. на основі версії на рівні дослідження від 07 березня 2024 р., російською мовою; Інформаційна картка дослідження, версія 1.0 від 19 лютого </w:t>
            </w:r>
            <w:r w:rsidR="001B0670">
              <w:rPr>
                <w:lang w:val="uk-UA"/>
              </w:rPr>
              <w:t xml:space="preserve">               </w:t>
            </w:r>
            <w:r w:rsidRPr="00F80E7F">
              <w:t xml:space="preserve">2024 р., російською мовою; Інформаційна картка дослідження, версія 1.0 від 19 лютого </w:t>
            </w:r>
            <w:r w:rsidR="001B0670">
              <w:rPr>
                <w:lang w:val="uk-UA"/>
              </w:rPr>
              <w:t xml:space="preserve">               </w:t>
            </w:r>
            <w:r w:rsidRPr="00F80E7F">
              <w:t>2024 р., українською мовою; Досьє досліджуваного лікарського засобу: Розділ 2.3 Вступ від 15 квітня 2024 року, Р.1. лікарський засіб Фулвестрант, Р.3.1. лікарський засіб Фулвестрант, від 15 квітня 2024 року; Лист про адміністративні зміни до протоколу клінічного випробування від 06 лютого 2024 р. англійською мовою</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531 від 26.03.2022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E43F1C">
            <w:pPr>
              <w:jc w:val="both"/>
            </w:pPr>
            <w:r>
              <w:rPr>
                <w:lang w:val="uk-UA"/>
              </w:rPr>
              <w:t>«</w:t>
            </w:r>
            <w:r w:rsidR="002D491F" w:rsidRPr="00F80E7F">
              <w:t>ПРОТОКОЛ ПРОДОВЖЕННЯ ЛІКУВАННЯ УЧАСНИКІВ КЛІНІЧНИХ ДОСЛІДЖЕНЬ ПАЛБОЦИКЛІБУ, СПОНСОРОМ ЯКИХ Є КОМПАНІЯ</w:t>
            </w:r>
            <w:r w:rsidR="00F80E7F" w:rsidRPr="00F80E7F">
              <w:rPr>
                <w:color w:val="000000"/>
              </w:rPr>
              <w:t xml:space="preserve"> «</w:t>
            </w:r>
            <w:r w:rsidR="002D491F" w:rsidRPr="00F80E7F">
              <w:t>ПФАЙЗЕР</w:t>
            </w:r>
            <w:r w:rsidR="00F80E7F" w:rsidRPr="00F80E7F">
              <w:rPr>
                <w:color w:val="000000"/>
              </w:rPr>
              <w:t>»</w:t>
            </w:r>
            <w:r w:rsidR="002D491F" w:rsidRPr="00F80E7F">
              <w:t>, A5481173, остаточний протокол, 17 листопада 2021 р.</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Пфайзер Інк., США</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Пфайзер Інк., США</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7</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13462" w:type="dxa"/>
        <w:tblInd w:w="0" w:type="dxa"/>
        <w:tblLayout w:type="fixed"/>
        <w:tblLook w:val="04A0" w:firstRow="1" w:lastRow="0" w:firstColumn="1" w:lastColumn="0" w:noHBand="0" w:noVBand="1"/>
      </w:tblPr>
      <w:tblGrid>
        <w:gridCol w:w="3682"/>
        <w:gridCol w:w="9780"/>
      </w:tblGrid>
      <w:tr w:rsidR="00F80E7F" w:rsidRPr="00F80E7F" w:rsidTr="00F80E7F">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F80E7F" w:rsidRPr="00F80E7F" w:rsidRDefault="00F80E7F">
            <w:pPr>
              <w:rPr>
                <w:szCs w:val="24"/>
              </w:rPr>
            </w:pPr>
            <w:r w:rsidRPr="00F80E7F">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F80E7F" w:rsidRPr="001B0670" w:rsidRDefault="00F80E7F" w:rsidP="001B0670">
            <w:pPr>
              <w:jc w:val="both"/>
              <w:rPr>
                <w:rFonts w:asciiTheme="minorHAnsi" w:hAnsiTheme="minorHAnsi"/>
                <w:sz w:val="22"/>
              </w:rPr>
            </w:pPr>
            <w:r w:rsidRPr="00F80E7F">
              <w:t>Брошура дослідника Pembrolizumab (MK-3475), видання 24 від 08 листопада 2023 року, англійською мовою; Включення додаткових місць проведення клінічного випробування в Україні:</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0"/>
              <w:gridCol w:w="8951"/>
            </w:tblGrid>
            <w:tr w:rsidR="00F80E7F" w:rsidRPr="00F80E7F" w:rsidTr="001B0670">
              <w:tc>
                <w:tcPr>
                  <w:tcW w:w="590" w:type="dxa"/>
                  <w:tcMar>
                    <w:top w:w="0" w:type="dxa"/>
                    <w:left w:w="108" w:type="dxa"/>
                    <w:bottom w:w="0" w:type="dxa"/>
                    <w:right w:w="108" w:type="dxa"/>
                  </w:tcMar>
                  <w:hideMark/>
                </w:tcPr>
                <w:p w:rsidR="00F80E7F" w:rsidRPr="00F80E7F" w:rsidRDefault="00F80E7F" w:rsidP="00F80E7F">
                  <w:pPr>
                    <w:pStyle w:val="cs2e86d3a6"/>
                    <w:rPr>
                      <w:lang w:val="uk-UA"/>
                    </w:rPr>
                  </w:pPr>
                  <w:r w:rsidRPr="00F80E7F">
                    <w:rPr>
                      <w:rStyle w:val="csa16174ba5"/>
                      <w:rFonts w:ascii="Times New Roman" w:hAnsi="Times New Roman" w:cs="Times New Roman"/>
                      <w:sz w:val="24"/>
                      <w:lang w:val="uk-UA"/>
                    </w:rPr>
                    <w:t>№ п/п</w:t>
                  </w:r>
                </w:p>
              </w:tc>
              <w:tc>
                <w:tcPr>
                  <w:tcW w:w="8951" w:type="dxa"/>
                  <w:tcMar>
                    <w:top w:w="0" w:type="dxa"/>
                    <w:left w:w="108" w:type="dxa"/>
                    <w:bottom w:w="0" w:type="dxa"/>
                    <w:right w:w="108" w:type="dxa"/>
                  </w:tcMar>
                  <w:hideMark/>
                </w:tcPr>
                <w:p w:rsidR="00F80E7F" w:rsidRPr="00F80E7F" w:rsidRDefault="00F80E7F" w:rsidP="00F80E7F">
                  <w:pPr>
                    <w:pStyle w:val="cs202b20ac"/>
                    <w:rPr>
                      <w:lang w:val="uk-UA"/>
                    </w:rPr>
                  </w:pPr>
                  <w:r w:rsidRPr="00F80E7F">
                    <w:rPr>
                      <w:rStyle w:val="csa16174ba5"/>
                      <w:rFonts w:ascii="Times New Roman" w:hAnsi="Times New Roman" w:cs="Times New Roman"/>
                      <w:sz w:val="24"/>
                      <w:lang w:val="uk-UA"/>
                    </w:rPr>
                    <w:t>П.І.Б. відповідального дослідника</w:t>
                  </w:r>
                </w:p>
                <w:p w:rsidR="00F80E7F" w:rsidRPr="00F80E7F" w:rsidRDefault="00F80E7F" w:rsidP="00F80E7F">
                  <w:pPr>
                    <w:pStyle w:val="cs2e86d3a6"/>
                    <w:rPr>
                      <w:lang w:val="uk-UA"/>
                    </w:rPr>
                  </w:pPr>
                  <w:r w:rsidRPr="00F80E7F">
                    <w:rPr>
                      <w:rStyle w:val="csa16174ba5"/>
                      <w:rFonts w:ascii="Times New Roman" w:hAnsi="Times New Roman" w:cs="Times New Roman"/>
                      <w:sz w:val="24"/>
                      <w:lang w:val="uk-UA"/>
                    </w:rPr>
                    <w:t>Назва місця проведення клінічного випробування</w:t>
                  </w:r>
                </w:p>
              </w:tc>
            </w:tr>
            <w:tr w:rsidR="00F80E7F" w:rsidRPr="005B00A3" w:rsidTr="001B0670">
              <w:tc>
                <w:tcPr>
                  <w:tcW w:w="590" w:type="dxa"/>
                  <w:tcMar>
                    <w:top w:w="0" w:type="dxa"/>
                    <w:left w:w="108" w:type="dxa"/>
                    <w:bottom w:w="0" w:type="dxa"/>
                    <w:right w:w="108" w:type="dxa"/>
                  </w:tcMar>
                  <w:hideMark/>
                </w:tcPr>
                <w:p w:rsidR="00F80E7F" w:rsidRPr="00F80E7F" w:rsidRDefault="00F80E7F" w:rsidP="001B0670">
                  <w:pPr>
                    <w:jc w:val="center"/>
                    <w:rPr>
                      <w:rFonts w:cs="Times New Roman"/>
                      <w:lang w:val="uk-UA"/>
                    </w:rPr>
                  </w:pPr>
                  <w:r w:rsidRPr="00F80E7F">
                    <w:rPr>
                      <w:rStyle w:val="csa16174ba5"/>
                      <w:rFonts w:ascii="Times New Roman" w:hAnsi="Times New Roman" w:cs="Times New Roman"/>
                      <w:sz w:val="24"/>
                      <w:lang w:val="uk-UA"/>
                    </w:rPr>
                    <w:t>1.</w:t>
                  </w:r>
                </w:p>
              </w:tc>
              <w:tc>
                <w:tcPr>
                  <w:tcW w:w="8951" w:type="dxa"/>
                  <w:tcMar>
                    <w:top w:w="0" w:type="dxa"/>
                    <w:left w:w="108" w:type="dxa"/>
                    <w:bottom w:w="0" w:type="dxa"/>
                    <w:right w:w="108" w:type="dxa"/>
                  </w:tcMar>
                  <w:hideMark/>
                </w:tcPr>
                <w:p w:rsidR="00F80E7F" w:rsidRPr="00F80E7F" w:rsidRDefault="00F80E7F" w:rsidP="00F80E7F">
                  <w:pPr>
                    <w:pStyle w:val="csf06cd379"/>
                    <w:rPr>
                      <w:lang w:val="uk-UA"/>
                    </w:rPr>
                  </w:pPr>
                  <w:r w:rsidRPr="00F80E7F">
                    <w:rPr>
                      <w:rStyle w:val="csa16174ba5"/>
                      <w:rFonts w:ascii="Times New Roman" w:hAnsi="Times New Roman" w:cs="Times New Roman"/>
                      <w:sz w:val="24"/>
                      <w:lang w:val="uk-UA"/>
                    </w:rPr>
                    <w:t>лікар Кобзєв О.І.</w:t>
                  </w:r>
                </w:p>
                <w:p w:rsidR="00F80E7F" w:rsidRPr="00F80E7F" w:rsidRDefault="00F80E7F" w:rsidP="00F80E7F">
                  <w:pPr>
                    <w:pStyle w:val="cs80d9435b"/>
                    <w:rPr>
                      <w:lang w:val="uk-UA"/>
                    </w:rPr>
                  </w:pPr>
                  <w:r w:rsidRPr="00F80E7F">
                    <w:rPr>
                      <w:rStyle w:val="csa16174ba5"/>
                      <w:rFonts w:ascii="Times New Roman" w:hAnsi="Times New Roman" w:cs="Times New Roman"/>
                      <w:sz w:val="24"/>
                      <w:lang w:val="uk-UA"/>
                    </w:rPr>
                    <w:t xml:space="preserve">Комунальне підприємство «Рівненська обласна клінічна лікарня імені </w:t>
                  </w:r>
                  <w:r w:rsidR="00820CB6">
                    <w:rPr>
                      <w:rStyle w:val="csa16174ba5"/>
                      <w:rFonts w:ascii="Times New Roman" w:hAnsi="Times New Roman" w:cs="Times New Roman"/>
                      <w:sz w:val="24"/>
                      <w:lang w:val="uk-UA"/>
                    </w:rPr>
                    <w:t xml:space="preserve">                                 </w:t>
                  </w:r>
                  <w:r w:rsidRPr="00F80E7F">
                    <w:rPr>
                      <w:rStyle w:val="csa16174ba5"/>
                      <w:rFonts w:ascii="Times New Roman" w:hAnsi="Times New Roman" w:cs="Times New Roman"/>
                      <w:sz w:val="24"/>
                      <w:lang w:val="uk-UA"/>
                    </w:rPr>
                    <w:t>Юрія Семенюка» Рівненської обласної ради, Обласний центр кардіоторакальної хірургії, м. Рівне</w:t>
                  </w:r>
                </w:p>
              </w:tc>
            </w:tr>
            <w:tr w:rsidR="00F80E7F" w:rsidRPr="005B00A3" w:rsidTr="001B0670">
              <w:tc>
                <w:tcPr>
                  <w:tcW w:w="590" w:type="dxa"/>
                  <w:tcMar>
                    <w:top w:w="0" w:type="dxa"/>
                    <w:left w:w="108" w:type="dxa"/>
                    <w:bottom w:w="0" w:type="dxa"/>
                    <w:right w:w="108" w:type="dxa"/>
                  </w:tcMar>
                  <w:hideMark/>
                </w:tcPr>
                <w:p w:rsidR="00F80E7F" w:rsidRPr="00F80E7F" w:rsidRDefault="00F80E7F" w:rsidP="001B0670">
                  <w:pPr>
                    <w:jc w:val="center"/>
                    <w:rPr>
                      <w:rFonts w:cs="Times New Roman"/>
                      <w:lang w:val="uk-UA"/>
                    </w:rPr>
                  </w:pPr>
                  <w:r w:rsidRPr="00F80E7F">
                    <w:rPr>
                      <w:rStyle w:val="csa16174ba5"/>
                      <w:rFonts w:ascii="Times New Roman" w:hAnsi="Times New Roman" w:cs="Times New Roman"/>
                      <w:sz w:val="24"/>
                      <w:lang w:val="uk-UA"/>
                    </w:rPr>
                    <w:t>2.</w:t>
                  </w:r>
                </w:p>
              </w:tc>
              <w:tc>
                <w:tcPr>
                  <w:tcW w:w="8951" w:type="dxa"/>
                  <w:tcMar>
                    <w:top w:w="0" w:type="dxa"/>
                    <w:left w:w="108" w:type="dxa"/>
                    <w:bottom w:w="0" w:type="dxa"/>
                    <w:right w:w="108" w:type="dxa"/>
                  </w:tcMar>
                  <w:hideMark/>
                </w:tcPr>
                <w:p w:rsidR="00F80E7F" w:rsidRPr="00F80E7F" w:rsidRDefault="00F80E7F" w:rsidP="00F80E7F">
                  <w:pPr>
                    <w:pStyle w:val="csf06cd379"/>
                    <w:rPr>
                      <w:lang w:val="uk-UA"/>
                    </w:rPr>
                  </w:pPr>
                  <w:r w:rsidRPr="00F80E7F">
                    <w:rPr>
                      <w:rStyle w:val="csa16174ba5"/>
                      <w:rFonts w:ascii="Times New Roman" w:hAnsi="Times New Roman" w:cs="Times New Roman"/>
                      <w:sz w:val="24"/>
                      <w:lang w:val="uk-UA"/>
                    </w:rPr>
                    <w:t>лікар Король Ю.І.</w:t>
                  </w:r>
                </w:p>
                <w:p w:rsidR="00F80E7F" w:rsidRPr="00F80E7F" w:rsidRDefault="00F80E7F" w:rsidP="00F80E7F">
                  <w:pPr>
                    <w:pStyle w:val="cs80d9435b"/>
                    <w:rPr>
                      <w:lang w:val="uk-UA"/>
                    </w:rPr>
                  </w:pPr>
                  <w:r w:rsidRPr="00F80E7F">
                    <w:rPr>
                      <w:rStyle w:val="csa16174ba5"/>
                      <w:rFonts w:ascii="Times New Roman" w:hAnsi="Times New Roman" w:cs="Times New Roman"/>
                      <w:sz w:val="24"/>
                      <w:lang w:val="uk-UA"/>
                    </w:rPr>
                    <w:t>Комунальне некомерційне підприємство «Львівське територіальне медичне об’єднання «Багатопрофільна клінічна лікарня інтенсивних методів лікування та швидкої медичної допомоги», відділення № 1 Центру хірургії та онкології відокремленого підрозділу «Лікарня Святого Пантелеймона», м. Львів</w:t>
                  </w:r>
                </w:p>
              </w:tc>
            </w:tr>
            <w:tr w:rsidR="00F80E7F" w:rsidRPr="005B00A3" w:rsidTr="001B0670">
              <w:tc>
                <w:tcPr>
                  <w:tcW w:w="590" w:type="dxa"/>
                  <w:tcMar>
                    <w:top w:w="0" w:type="dxa"/>
                    <w:left w:w="108" w:type="dxa"/>
                    <w:bottom w:w="0" w:type="dxa"/>
                    <w:right w:w="108" w:type="dxa"/>
                  </w:tcMar>
                  <w:hideMark/>
                </w:tcPr>
                <w:p w:rsidR="00F80E7F" w:rsidRPr="00F80E7F" w:rsidRDefault="00F80E7F" w:rsidP="001B0670">
                  <w:pPr>
                    <w:jc w:val="center"/>
                    <w:rPr>
                      <w:rFonts w:cs="Times New Roman"/>
                      <w:lang w:val="uk-UA"/>
                    </w:rPr>
                  </w:pPr>
                  <w:r w:rsidRPr="00F80E7F">
                    <w:rPr>
                      <w:rStyle w:val="csa16174ba5"/>
                      <w:rFonts w:ascii="Times New Roman" w:hAnsi="Times New Roman" w:cs="Times New Roman"/>
                      <w:sz w:val="24"/>
                      <w:lang w:val="uk-UA"/>
                    </w:rPr>
                    <w:t>3.</w:t>
                  </w:r>
                </w:p>
              </w:tc>
              <w:tc>
                <w:tcPr>
                  <w:tcW w:w="8951" w:type="dxa"/>
                  <w:tcMar>
                    <w:top w:w="0" w:type="dxa"/>
                    <w:left w:w="108" w:type="dxa"/>
                    <w:bottom w:w="0" w:type="dxa"/>
                    <w:right w:w="108" w:type="dxa"/>
                  </w:tcMar>
                  <w:hideMark/>
                </w:tcPr>
                <w:p w:rsidR="00F80E7F" w:rsidRPr="00F80E7F" w:rsidRDefault="00F80E7F" w:rsidP="00F80E7F">
                  <w:pPr>
                    <w:pStyle w:val="csf06cd379"/>
                    <w:rPr>
                      <w:lang w:val="uk-UA"/>
                    </w:rPr>
                  </w:pPr>
                  <w:r w:rsidRPr="00F80E7F">
                    <w:rPr>
                      <w:rStyle w:val="csa16174ba5"/>
                      <w:rFonts w:ascii="Times New Roman" w:hAnsi="Times New Roman" w:cs="Times New Roman"/>
                      <w:sz w:val="24"/>
                      <w:lang w:val="uk-UA"/>
                    </w:rPr>
                    <w:t>лікар Сінєльніков І.В.</w:t>
                  </w:r>
                </w:p>
                <w:p w:rsidR="00F80E7F" w:rsidRPr="00F80E7F" w:rsidRDefault="00F80E7F" w:rsidP="00F80E7F">
                  <w:pPr>
                    <w:pStyle w:val="cs80d9435b"/>
                    <w:rPr>
                      <w:lang w:val="uk-UA"/>
                    </w:rPr>
                  </w:pPr>
                  <w:r w:rsidRPr="00F80E7F">
                    <w:rPr>
                      <w:rStyle w:val="csa16174ba5"/>
                      <w:rFonts w:ascii="Times New Roman" w:hAnsi="Times New Roman" w:cs="Times New Roman"/>
                      <w:sz w:val="24"/>
                      <w:lang w:val="uk-UA"/>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tc>
            </w:tr>
            <w:tr w:rsidR="00F80E7F" w:rsidRPr="00F80E7F" w:rsidTr="001B0670">
              <w:tc>
                <w:tcPr>
                  <w:tcW w:w="590" w:type="dxa"/>
                  <w:tcMar>
                    <w:top w:w="0" w:type="dxa"/>
                    <w:left w:w="108" w:type="dxa"/>
                    <w:bottom w:w="0" w:type="dxa"/>
                    <w:right w:w="108" w:type="dxa"/>
                  </w:tcMar>
                  <w:hideMark/>
                </w:tcPr>
                <w:p w:rsidR="00F80E7F" w:rsidRPr="00F80E7F" w:rsidRDefault="00F80E7F" w:rsidP="001B0670">
                  <w:pPr>
                    <w:jc w:val="center"/>
                    <w:rPr>
                      <w:rFonts w:cs="Times New Roman"/>
                      <w:lang w:val="uk-UA"/>
                    </w:rPr>
                  </w:pPr>
                  <w:r w:rsidRPr="00F80E7F">
                    <w:rPr>
                      <w:rStyle w:val="csa16174ba5"/>
                      <w:rFonts w:ascii="Times New Roman" w:hAnsi="Times New Roman" w:cs="Times New Roman"/>
                      <w:sz w:val="24"/>
                      <w:lang w:val="uk-UA"/>
                    </w:rPr>
                    <w:t>4.</w:t>
                  </w:r>
                </w:p>
              </w:tc>
              <w:tc>
                <w:tcPr>
                  <w:tcW w:w="8951" w:type="dxa"/>
                  <w:tcMar>
                    <w:top w:w="0" w:type="dxa"/>
                    <w:left w:w="108" w:type="dxa"/>
                    <w:bottom w:w="0" w:type="dxa"/>
                    <w:right w:w="108" w:type="dxa"/>
                  </w:tcMar>
                  <w:hideMark/>
                </w:tcPr>
                <w:p w:rsidR="00F80E7F" w:rsidRPr="00F80E7F" w:rsidRDefault="00F80E7F" w:rsidP="00F80E7F">
                  <w:pPr>
                    <w:pStyle w:val="csf06cd379"/>
                    <w:rPr>
                      <w:lang w:val="uk-UA"/>
                    </w:rPr>
                  </w:pPr>
                  <w:r w:rsidRPr="00F80E7F">
                    <w:rPr>
                      <w:rStyle w:val="csa16174ba5"/>
                      <w:rFonts w:ascii="Times New Roman" w:hAnsi="Times New Roman" w:cs="Times New Roman"/>
                      <w:sz w:val="24"/>
                      <w:lang w:val="uk-UA"/>
                    </w:rPr>
                    <w:t>лікар Шмига О.Ю.</w:t>
                  </w:r>
                </w:p>
                <w:p w:rsidR="00F80E7F" w:rsidRPr="00F80E7F" w:rsidRDefault="00F80E7F" w:rsidP="00F80E7F">
                  <w:pPr>
                    <w:pStyle w:val="cs80d9435b"/>
                    <w:rPr>
                      <w:lang w:val="uk-UA"/>
                    </w:rPr>
                  </w:pPr>
                  <w:r w:rsidRPr="00F80E7F">
                    <w:rPr>
                      <w:rStyle w:val="csa16174ba5"/>
                      <w:rFonts w:ascii="Times New Roman" w:hAnsi="Times New Roman" w:cs="Times New Roman"/>
                      <w:sz w:val="24"/>
                      <w:lang w:val="uk-UA"/>
                    </w:rPr>
                    <w:t>Медичний центр «Універсальна клініка «Оберіг» товариства з обмеженою відповідальністю «Капитал», клініко-консультативне відділення, м. Київ</w:t>
                  </w:r>
                </w:p>
              </w:tc>
            </w:tr>
          </w:tbl>
          <w:p w:rsidR="00F80E7F" w:rsidRPr="00F80E7F" w:rsidRDefault="00F80E7F" w:rsidP="00640999">
            <w:pPr>
              <w:jc w:val="both"/>
              <w:rPr>
                <w:rFonts w:asciiTheme="minorHAnsi" w:hAnsiTheme="minorHAnsi"/>
                <w:sz w:val="22"/>
              </w:rPr>
            </w:pPr>
          </w:p>
        </w:tc>
      </w:tr>
      <w:tr w:rsidR="00206ED3" w:rsidRPr="00F80E7F" w:rsidTr="00F80E7F">
        <w:trPr>
          <w:trHeight w:val="23"/>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475 від 13.03.2022 </w:t>
            </w:r>
          </w:p>
        </w:tc>
      </w:tr>
    </w:tbl>
    <w:p w:rsidR="002E2F61" w:rsidRDefault="002E2F61">
      <w:r>
        <w:br w:type="page"/>
      </w:r>
    </w:p>
    <w:p w:rsidR="002E2F61" w:rsidRDefault="002E2F61">
      <w:r>
        <w:rPr>
          <w:lang w:val="uk-UA"/>
        </w:rPr>
        <w:lastRenderedPageBreak/>
        <w:t xml:space="preserve">                                                                                                               2                                                                     продовження додатка 7</w:t>
      </w:r>
    </w:p>
    <w:p w:rsidR="002E2F61" w:rsidRDefault="002E2F61"/>
    <w:tbl>
      <w:tblPr>
        <w:tblStyle w:val="af0"/>
        <w:tblW w:w="13462" w:type="dxa"/>
        <w:tblInd w:w="0" w:type="dxa"/>
        <w:tblLayout w:type="fixed"/>
        <w:tblLook w:val="04A0" w:firstRow="1" w:lastRow="0" w:firstColumn="1" w:lastColumn="0" w:noHBand="0" w:noVBand="1"/>
      </w:tblPr>
      <w:tblGrid>
        <w:gridCol w:w="3682"/>
        <w:gridCol w:w="9780"/>
      </w:tblGrid>
      <w:tr w:rsidR="00206ED3" w:rsidRPr="00F80E7F" w:rsidTr="00F80E7F">
        <w:trPr>
          <w:trHeight w:val="23"/>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Відкрите дослідження III фази MK-7684A (комбінація препаратів вібостолімабу та пембролізумабу) у комбінації з конкурентною хіміопроменевою терапією та подальшою терапією препаратом MK-7684A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(НДРЛ) III стадії</w:t>
            </w:r>
            <w:r w:rsidRPr="00F80E7F">
              <w:rPr>
                <w:color w:val="000000"/>
              </w:rPr>
              <w:t>»</w:t>
            </w:r>
            <w:r w:rsidR="002D491F" w:rsidRPr="00F80E7F">
              <w:t xml:space="preserve"> (KEYVIBE-006), MK-7684A-006, з інкорпорованою поправкою 01 від 15 вересня 2022 року </w:t>
            </w:r>
          </w:p>
        </w:tc>
      </w:tr>
      <w:tr w:rsidR="00206ED3" w:rsidRPr="00F80E7F" w:rsidTr="00F80E7F">
        <w:trPr>
          <w:trHeight w:val="23"/>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Товариство з обмеженою відповідальністю</w:t>
            </w:r>
            <w:r w:rsidR="00F80E7F" w:rsidRPr="00F80E7F">
              <w:rPr>
                <w:color w:val="000000"/>
              </w:rPr>
              <w:t xml:space="preserve"> «</w:t>
            </w:r>
            <w:r w:rsidRPr="00F80E7F">
              <w:t>МСД Україна</w:t>
            </w:r>
            <w:r w:rsidR="00F80E7F" w:rsidRPr="00F80E7F">
              <w:rPr>
                <w:color w:val="000000"/>
              </w:rPr>
              <w:t>»</w:t>
            </w:r>
          </w:p>
        </w:tc>
      </w:tr>
      <w:tr w:rsidR="00206ED3" w:rsidRPr="00F80E7F" w:rsidTr="00F80E7F">
        <w:trPr>
          <w:trHeight w:val="23"/>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 Мерк Шарп енд Доум, США (Merck Sharp &amp; Dohme LLC, USA)</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8</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Брошура дослідника, препарат ОКТАПЛЕКС, видання 18 від 28 березня 2024 року, англійською мовою</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2947 від 30.12.2021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Дослідження чотирифакторного концентрату протромбінового комплексу ОКТАПЛЕКС у пацієнтів з гострою масивною кровотечею, що отримують терапію пероральним антикоагулянтом прямої дії (ПАКПД), інгібітором фактора Xa</w:t>
            </w:r>
            <w:r w:rsidRPr="00F80E7F">
              <w:rPr>
                <w:color w:val="000000"/>
              </w:rPr>
              <w:t>»</w:t>
            </w:r>
            <w:r w:rsidR="002D491F" w:rsidRPr="00F80E7F">
              <w:t xml:space="preserve">, LEX-210, версія 08 від </w:t>
            </w:r>
            <w:r w:rsidR="001B0670">
              <w:rPr>
                <w:lang w:val="uk-UA"/>
              </w:rPr>
              <w:t xml:space="preserve">                  </w:t>
            </w:r>
            <w:r w:rsidR="002D491F" w:rsidRPr="00F80E7F">
              <w:t>21 липня 2023 року</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w:t>
            </w:r>
            <w:r w:rsidR="00F80E7F" w:rsidRPr="00F80E7F">
              <w:rPr>
                <w:color w:val="000000"/>
              </w:rPr>
              <w:t xml:space="preserve"> «</w:t>
            </w:r>
            <w:r w:rsidRPr="00F80E7F">
              <w:t>Прем’єр Ресерч Україна</w:t>
            </w:r>
            <w:r w:rsidR="00F80E7F" w:rsidRPr="00F80E7F">
              <w:rPr>
                <w:color w:val="000000"/>
              </w:rPr>
              <w:t>»</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Октафарма АҐ</w:t>
            </w:r>
            <w:r w:rsidRPr="00F80E7F">
              <w:rPr>
                <w:color w:val="000000"/>
              </w:rPr>
              <w:t>»</w:t>
            </w:r>
            <w:r w:rsidR="002D491F" w:rsidRPr="00F80E7F">
              <w:t xml:space="preserve"> (Octapharma AG), Швейцарія</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9</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r w:rsidR="002D491F">
        <w:rPr>
          <w:lang w:val="uk-UA"/>
        </w:rPr>
        <w:t xml:space="preserve"> </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Збільшення кількості пацієнтів, які прийматимуть участь у клінічному дослідженні в Україні з 400 до 600 осіб</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1896 від 27.08.2019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Багатоцентрове, рандомізоване, подвійне сліпе, плацебо-контрольоване дослідження фази IIIb для оцінки ефективності та безпечності препарату Окрелізумаб у дорослих пацієнтів з первинно-прогресуючим розсіяним склерозом</w:t>
            </w:r>
            <w:r w:rsidRPr="00F80E7F">
              <w:rPr>
                <w:color w:val="000000"/>
              </w:rPr>
              <w:t>»</w:t>
            </w:r>
            <w:r w:rsidR="002D491F" w:rsidRPr="00F80E7F">
              <w:t>, WA40404, версія 5 від 13 жовтня 2022 р.</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ТОВАРИСТВО З ОБМЕЖЕНОЮ ВІДПОВІДАЛЬНІСТЮ</w:t>
            </w:r>
            <w:r w:rsidR="00F80E7F" w:rsidRPr="00F80E7F">
              <w:rPr>
                <w:color w:val="000000"/>
              </w:rPr>
              <w:t xml:space="preserve"> «</w:t>
            </w:r>
            <w:r w:rsidRPr="00F80E7F">
              <w:t>ПіПіДі ЮКРЕЙН</w:t>
            </w:r>
            <w:r w:rsidR="00F80E7F" w:rsidRPr="00F80E7F">
              <w:rPr>
                <w:color w:val="000000"/>
              </w:rPr>
              <w:t>»</w:t>
            </w:r>
            <w:r w:rsidRPr="00F80E7F">
              <w:t>, Україна</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Ф. Хоффманн-Ля Рош Лтд, Швейцарiя (F. Hoffmann-La Roche Ltd, Switzerland)</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10</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 xml:space="preserve">Лист-роз’яснення від 25 березня 2024 року до Протоколу клінічного дослідження </w:t>
            </w:r>
            <w:r w:rsidR="001B0670">
              <w:rPr>
                <w:lang w:val="uk-UA"/>
              </w:rPr>
              <w:t xml:space="preserve">                   </w:t>
            </w:r>
            <w:r w:rsidRPr="00F80E7F">
              <w:t>SOR102-101, остаточна версія 4.0 від 18 січня 2024 року, англійською мовою; Скріншоти ePRO</w:t>
            </w:r>
            <w:r w:rsidR="00F80E7F" w:rsidRPr="00F80E7F">
              <w:rPr>
                <w:color w:val="000000"/>
              </w:rPr>
              <w:t xml:space="preserve"> «</w:t>
            </w:r>
            <w:r w:rsidRPr="00F80E7F">
              <w:t>Щоденник для щоденної реєстрації прийому досліджуваного препарату</w:t>
            </w:r>
            <w:r w:rsidR="00F80E7F" w:rsidRPr="00F80E7F">
              <w:rPr>
                <w:color w:val="000000"/>
              </w:rPr>
              <w:t>»</w:t>
            </w:r>
            <w:r w:rsidR="00820CB6">
              <w:t xml:space="preserve"> </w:t>
            </w:r>
            <w:r w:rsidRPr="00F80E7F">
              <w:t>та</w:t>
            </w:r>
            <w:r w:rsidR="00F80E7F" w:rsidRPr="00F80E7F">
              <w:rPr>
                <w:color w:val="000000"/>
              </w:rPr>
              <w:t xml:space="preserve"> «</w:t>
            </w:r>
            <w:r w:rsidRPr="00F80E7F">
              <w:t>Щоденник учасника дослідження</w:t>
            </w:r>
            <w:r w:rsidR="00F80E7F" w:rsidRPr="00F80E7F">
              <w:rPr>
                <w:color w:val="000000"/>
              </w:rPr>
              <w:t>»</w:t>
            </w:r>
            <w:r w:rsidRPr="00F80E7F">
              <w:t>, версія 01 від 01 квітня 2024 року, англійською мовою; Скріншоти ePRO</w:t>
            </w:r>
            <w:r w:rsidR="00F80E7F" w:rsidRPr="00F80E7F">
              <w:rPr>
                <w:color w:val="000000"/>
              </w:rPr>
              <w:t xml:space="preserve"> «</w:t>
            </w:r>
            <w:r w:rsidRPr="00F80E7F">
              <w:t>Щоденник для щоденної реєстрації прийому досліджуваного препарату</w:t>
            </w:r>
            <w:r w:rsidR="00F80E7F" w:rsidRPr="00F80E7F">
              <w:rPr>
                <w:color w:val="000000"/>
              </w:rPr>
              <w:t>»</w:t>
            </w:r>
            <w:r w:rsidRPr="00F80E7F">
              <w:t xml:space="preserve"> та</w:t>
            </w:r>
            <w:r w:rsidR="00F80E7F" w:rsidRPr="00F80E7F">
              <w:rPr>
                <w:color w:val="000000"/>
              </w:rPr>
              <w:t xml:space="preserve"> «</w:t>
            </w:r>
            <w:r w:rsidRPr="00F80E7F">
              <w:t>Щоденник учасника дослідження</w:t>
            </w:r>
            <w:r w:rsidR="00F80E7F" w:rsidRPr="00F80E7F">
              <w:rPr>
                <w:color w:val="000000"/>
              </w:rPr>
              <w:t>»</w:t>
            </w:r>
            <w:r w:rsidRPr="00F80E7F">
              <w:t>, версія 01 від 26 квітня 2024 року, українською мовою; Лист від лікаря до лікаря про направлення пацієнтів, версія 01 від 10 квітня 2024 року, англійською та українською мовами</w:t>
            </w:r>
            <w:r w:rsidRPr="00F80E7F">
              <w:rPr>
                <w:lang w:val="uk-UA"/>
              </w:rPr>
              <w:t xml:space="preserve">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153 від 30.01.2024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Рандомізоване подвійне сліпе дослідження фази I першого застосування препарату у людини з однократним застосуванням у зростаючих дозах та багатократним застосуванням препарату SOR102 для вивчення безпечності, переносимості та фармакокінетики у здорових дорослих учасників та пацієнтів-добровольців з виразковим колітом від легкого до важкого ступеня тяжкості</w:t>
            </w:r>
            <w:r w:rsidRPr="00F80E7F">
              <w:rPr>
                <w:color w:val="000000"/>
              </w:rPr>
              <w:t>»</w:t>
            </w:r>
            <w:r w:rsidR="002D491F" w:rsidRPr="00F80E7F">
              <w:t>, SOR102-101, остаточна версія 4.0 від 18 січня 2024 року</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w:t>
            </w:r>
            <w:r w:rsidR="00F80E7F" w:rsidRPr="00F80E7F">
              <w:rPr>
                <w:color w:val="000000"/>
              </w:rPr>
              <w:t xml:space="preserve"> «</w:t>
            </w:r>
            <w:r w:rsidRPr="00F80E7F">
              <w:t>АРЕНСІЯ ЕКСПЛОРАТОРІ МЕДІСІН</w:t>
            </w:r>
            <w:r w:rsidR="00F80E7F" w:rsidRPr="00F80E7F">
              <w:rPr>
                <w:color w:val="000000"/>
              </w:rPr>
              <w:t>»</w:t>
            </w:r>
            <w:r w:rsidRPr="00F80E7F">
              <w:t>, Україна</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Соррісо Фармас’ютикалз, Інк., США / Sorriso Pharmaceuticals, Inc., USA</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06ED3" w:rsidRDefault="00206ED3">
      <w:pPr>
        <w:tabs>
          <w:tab w:val="clear" w:pos="708"/>
        </w:tabs>
        <w:rPr>
          <w:lang w:eastAsia="en-US"/>
        </w:rPr>
        <w:sectPr w:rsidR="00206ED3">
          <w:pgSz w:w="16838" w:h="11906" w:orient="landscape"/>
          <w:pgMar w:top="851" w:right="1245" w:bottom="851" w:left="2127" w:header="709" w:footer="709" w:gutter="0"/>
          <w:cols w:space="720"/>
          <w:titlePg/>
        </w:sectPr>
      </w:pPr>
    </w:p>
    <w:p w:rsidR="00206ED3" w:rsidRDefault="002D491F">
      <w:pPr>
        <w:rPr>
          <w:lang w:val="uk-UA"/>
        </w:rPr>
      </w:pPr>
      <w:r>
        <w:rPr>
          <w:lang w:val="uk-UA"/>
        </w:rPr>
        <w:lastRenderedPageBreak/>
        <w:t xml:space="preserve">                                                                                                                                                       Додаток 11</w:t>
      </w:r>
    </w:p>
    <w:p w:rsidR="00206ED3" w:rsidRDefault="00A12057">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A12057">
        <w:rPr>
          <w:rFonts w:eastAsia="Times New Roman"/>
          <w:szCs w:val="24"/>
          <w:lang w:val="uk-UA" w:eastAsia="uk-UA"/>
        </w:rPr>
        <w:t>Про проведення клінічного</w:t>
      </w:r>
      <w:r>
        <w:rPr>
          <w:rFonts w:eastAsia="Times New Roman"/>
          <w:szCs w:val="24"/>
          <w:lang w:val="uk-UA" w:eastAsia="uk-UA"/>
        </w:rPr>
        <w:t xml:space="preserve"> </w:t>
      </w:r>
      <w:r w:rsidRPr="00A12057">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A12057">
        <w:rPr>
          <w:rFonts w:eastAsia="Times New Roman"/>
          <w:szCs w:val="24"/>
          <w:lang w:val="uk-UA" w:eastAsia="uk-UA"/>
        </w:rPr>
        <w:t>та затвердження суттєвих поправок</w:t>
      </w:r>
      <w:r>
        <w:rPr>
          <w:rFonts w:eastAsia="Times New Roman"/>
          <w:szCs w:val="24"/>
          <w:lang w:val="uk-UA" w:eastAsia="uk-UA"/>
        </w:rPr>
        <w:t>»</w:t>
      </w:r>
    </w:p>
    <w:p w:rsidR="00206ED3" w:rsidRDefault="005B00A3">
      <w:pPr>
        <w:ind w:left="9072"/>
        <w:rPr>
          <w:lang w:val="uk-UA"/>
        </w:rPr>
      </w:pPr>
      <w:r w:rsidRPr="005B00A3">
        <w:rPr>
          <w:u w:val="single"/>
          <w:lang w:val="uk-UA"/>
        </w:rPr>
        <w:t>23.05.2024</w:t>
      </w:r>
      <w:r>
        <w:rPr>
          <w:lang w:val="uk-UA"/>
        </w:rPr>
        <w:t xml:space="preserve"> № </w:t>
      </w:r>
      <w:r w:rsidRPr="005B00A3">
        <w:rPr>
          <w:u w:val="single"/>
          <w:lang w:val="uk-UA"/>
        </w:rPr>
        <w:t>874</w:t>
      </w:r>
      <w:bookmarkStart w:id="0" w:name="_GoBack"/>
      <w:bookmarkEnd w:id="0"/>
    </w:p>
    <w:p w:rsidR="00206ED3" w:rsidRDefault="00206ED3"/>
    <w:tbl>
      <w:tblPr>
        <w:tblStyle w:val="af0"/>
        <w:tblW w:w="0" w:type="auto"/>
        <w:tblInd w:w="0" w:type="dxa"/>
        <w:tblLayout w:type="fixed"/>
        <w:tblLook w:val="04A0" w:firstRow="1" w:lastRow="0" w:firstColumn="1" w:lastColumn="0" w:noHBand="0" w:noVBand="1"/>
      </w:tblPr>
      <w:tblGrid>
        <w:gridCol w:w="3682"/>
        <w:gridCol w:w="9780"/>
      </w:tblGrid>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rPr>
                <w:szCs w:val="24"/>
              </w:rPr>
            </w:pPr>
            <w:r w:rsidRPr="00F80E7F">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06ED3" w:rsidRPr="00F80E7F" w:rsidRDefault="002D491F">
            <w:pPr>
              <w:jc w:val="both"/>
              <w:rPr>
                <w:rFonts w:asciiTheme="minorHAnsi" w:hAnsiTheme="minorHAnsi"/>
                <w:sz w:val="22"/>
              </w:rPr>
            </w:pPr>
            <w:r w:rsidRPr="00F80E7F">
              <w:t xml:space="preserve">Оновлений Протокол клінічного випробування IMCY-MS-001, версія 3.0 від 10 квітня </w:t>
            </w:r>
            <w:r w:rsidR="001B0670">
              <w:rPr>
                <w:lang w:val="uk-UA"/>
              </w:rPr>
              <w:t xml:space="preserve">                 </w:t>
            </w:r>
            <w:r w:rsidRPr="00F80E7F">
              <w:t>2024 року, англійською мовою</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 xml:space="preserve">Номер та дата наказу МОЗ </w:t>
            </w:r>
            <w:r w:rsidRPr="00F80E7F">
              <w:rPr>
                <w:szCs w:val="24"/>
                <w:lang w:val="uk-UA"/>
              </w:rPr>
              <w:t>про</w:t>
            </w:r>
            <w:r w:rsidRPr="00F80E7F">
              <w:rPr>
                <w:szCs w:val="24"/>
              </w:rPr>
              <w:t xml:space="preserve"> </w:t>
            </w:r>
            <w:r w:rsidRPr="00F80E7F">
              <w:rPr>
                <w:szCs w:val="24"/>
                <w:lang w:val="uk-UA"/>
              </w:rPr>
              <w:t>проведення</w:t>
            </w:r>
            <w:r w:rsidRPr="00F80E7F">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rPr>
                <w:lang w:val="uk-UA"/>
              </w:rPr>
            </w:pPr>
            <w:r w:rsidRPr="00F80E7F">
              <w:rPr>
                <w:lang w:val="uk-UA"/>
              </w:rPr>
              <w:t xml:space="preserve">№ 475 від 13.03.2022 </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F80E7F">
            <w:pPr>
              <w:jc w:val="both"/>
            </w:pPr>
            <w:r w:rsidRPr="00F80E7F">
              <w:rPr>
                <w:color w:val="000000"/>
              </w:rPr>
              <w:t>«</w:t>
            </w:r>
            <w:r w:rsidR="002D491F" w:rsidRPr="00F80E7F">
              <w:t>Дослідження l/ll фази з ескалацією дози/адаптивним дизайном для оцінки безпечності та ефективності препарату IMCY-0141 у пацієнтів з рецидивуючо-ремітуючим розсіяним склерозом (РР-РС)</w:t>
            </w:r>
            <w:r w:rsidRPr="00F80E7F">
              <w:rPr>
                <w:color w:val="000000"/>
              </w:rPr>
              <w:t>»</w:t>
            </w:r>
            <w:r w:rsidR="002D491F" w:rsidRPr="00F80E7F">
              <w:t>, IMCY-MS-001, версія 2.0 від 07 березня 2023 року</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ТОВ</w:t>
            </w:r>
            <w:r w:rsidR="00F80E7F" w:rsidRPr="00F80E7F">
              <w:rPr>
                <w:color w:val="000000"/>
              </w:rPr>
              <w:t xml:space="preserve"> «</w:t>
            </w:r>
            <w:r w:rsidRPr="00F80E7F">
              <w:t>АРЕНСІЯ ЕКСПЛОРАТОРІ МЕДІСІН</w:t>
            </w:r>
            <w:r w:rsidR="00F80E7F" w:rsidRPr="00F80E7F">
              <w:rPr>
                <w:color w:val="000000"/>
              </w:rPr>
              <w:t>»</w:t>
            </w:r>
            <w:r w:rsidRPr="00F80E7F">
              <w:t>, Україна</w:t>
            </w:r>
          </w:p>
        </w:tc>
      </w:tr>
      <w:tr w:rsidR="00206ED3" w:rsidRPr="00F80E7F">
        <w:trPr>
          <w:trHeight w:val="20"/>
        </w:trPr>
        <w:tc>
          <w:tcPr>
            <w:tcW w:w="3682" w:type="dxa"/>
            <w:tcBorders>
              <w:top w:val="single" w:sz="4" w:space="0" w:color="auto"/>
              <w:left w:val="single" w:sz="4" w:space="0" w:color="auto"/>
              <w:bottom w:val="single" w:sz="4" w:space="0" w:color="auto"/>
              <w:right w:val="single" w:sz="4" w:space="0" w:color="auto"/>
            </w:tcBorders>
            <w:hideMark/>
          </w:tcPr>
          <w:p w:rsidR="00206ED3" w:rsidRPr="00F80E7F" w:rsidRDefault="002D491F">
            <w:pPr>
              <w:rPr>
                <w:szCs w:val="24"/>
              </w:rPr>
            </w:pPr>
            <w:r w:rsidRPr="00F80E7F">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206ED3" w:rsidRPr="00F80E7F" w:rsidRDefault="002D491F">
            <w:pPr>
              <w:jc w:val="both"/>
            </w:pPr>
            <w:r w:rsidRPr="00F80E7F">
              <w:t xml:space="preserve">ІМСІС СА, Бельгія / IMCYSE SA, Belgium </w:t>
            </w:r>
          </w:p>
        </w:tc>
      </w:tr>
    </w:tbl>
    <w:p w:rsidR="00206ED3" w:rsidRDefault="00206ED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206ED3">
        <w:tc>
          <w:tcPr>
            <w:tcW w:w="5670" w:type="dxa"/>
            <w:tcMar>
              <w:top w:w="0" w:type="dxa"/>
              <w:left w:w="108" w:type="dxa"/>
              <w:bottom w:w="0" w:type="dxa"/>
              <w:right w:w="108" w:type="dxa"/>
            </w:tcMar>
            <w:hideMark/>
          </w:tcPr>
          <w:p w:rsidR="00206ED3" w:rsidRDefault="002D491F">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206ED3" w:rsidRDefault="00206ED3">
            <w:pPr>
              <w:jc w:val="center"/>
            </w:pPr>
          </w:p>
        </w:tc>
        <w:tc>
          <w:tcPr>
            <w:tcW w:w="284" w:type="dxa"/>
            <w:tcMar>
              <w:top w:w="0" w:type="dxa"/>
              <w:left w:w="108" w:type="dxa"/>
              <w:bottom w:w="0" w:type="dxa"/>
              <w:right w:w="108" w:type="dxa"/>
            </w:tcMar>
          </w:tcPr>
          <w:p w:rsidR="00206ED3" w:rsidRDefault="00206ED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206ED3" w:rsidRDefault="002D491F">
            <w:pPr>
              <w:jc w:val="center"/>
              <w:rPr>
                <w:b/>
                <w:bCs/>
                <w:iCs/>
              </w:rPr>
            </w:pPr>
            <w:r>
              <w:rPr>
                <w:rStyle w:val="cs72f7c9c5"/>
              </w:rPr>
              <w:t>Тарас ЛЯСКОВСЬКИЙ</w:t>
            </w:r>
          </w:p>
        </w:tc>
      </w:tr>
      <w:tr w:rsidR="00206ED3">
        <w:tc>
          <w:tcPr>
            <w:tcW w:w="5670" w:type="dxa"/>
            <w:tcMar>
              <w:top w:w="0" w:type="dxa"/>
              <w:left w:w="108" w:type="dxa"/>
              <w:bottom w:w="0" w:type="dxa"/>
              <w:right w:w="108" w:type="dxa"/>
            </w:tcMar>
          </w:tcPr>
          <w:p w:rsidR="00206ED3" w:rsidRDefault="00206ED3"/>
        </w:tc>
        <w:tc>
          <w:tcPr>
            <w:tcW w:w="2835" w:type="dxa"/>
            <w:tcMar>
              <w:top w:w="0" w:type="dxa"/>
              <w:left w:w="108" w:type="dxa"/>
              <w:bottom w:w="0" w:type="dxa"/>
              <w:right w:w="108" w:type="dxa"/>
            </w:tcMar>
            <w:hideMark/>
          </w:tcPr>
          <w:p w:rsidR="00206ED3" w:rsidRDefault="002D491F">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206ED3" w:rsidRDefault="00206ED3">
            <w:pPr>
              <w:jc w:val="center"/>
              <w:rPr>
                <w:vertAlign w:val="superscript"/>
              </w:rPr>
            </w:pPr>
          </w:p>
        </w:tc>
        <w:tc>
          <w:tcPr>
            <w:tcW w:w="4678" w:type="dxa"/>
            <w:tcMar>
              <w:top w:w="0" w:type="dxa"/>
              <w:left w:w="108" w:type="dxa"/>
              <w:bottom w:w="0" w:type="dxa"/>
              <w:right w:w="108" w:type="dxa"/>
            </w:tcMar>
            <w:hideMark/>
          </w:tcPr>
          <w:p w:rsidR="00206ED3" w:rsidRDefault="002D491F">
            <w:pPr>
              <w:jc w:val="center"/>
              <w:rPr>
                <w:vertAlign w:val="superscript"/>
              </w:rPr>
            </w:pPr>
            <w:r>
              <w:rPr>
                <w:vertAlign w:val="superscript"/>
                <w:lang w:val="uk-UA"/>
              </w:rPr>
              <w:t>(Власне ім’я ПРІЗВИЩЕ)</w:t>
            </w:r>
          </w:p>
        </w:tc>
      </w:tr>
    </w:tbl>
    <w:p w:rsidR="002D491F" w:rsidRDefault="002D491F" w:rsidP="00D16275">
      <w:pPr>
        <w:rPr>
          <w:lang w:val="uk-UA"/>
        </w:rPr>
      </w:pPr>
    </w:p>
    <w:sectPr w:rsidR="002D491F">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91F" w:rsidRDefault="002D491F">
      <w:pPr>
        <w:rPr>
          <w:lang w:val="en-US"/>
        </w:rPr>
      </w:pPr>
      <w:r>
        <w:rPr>
          <w:lang w:val="en-US"/>
        </w:rPr>
        <w:separator/>
      </w:r>
    </w:p>
  </w:endnote>
  <w:endnote w:type="continuationSeparator" w:id="0">
    <w:p w:rsidR="002D491F" w:rsidRDefault="002D491F">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91F" w:rsidRDefault="002D491F">
      <w:pPr>
        <w:rPr>
          <w:lang w:val="en-US"/>
        </w:rPr>
      </w:pPr>
      <w:r>
        <w:rPr>
          <w:lang w:val="en-US"/>
        </w:rPr>
        <w:separator/>
      </w:r>
    </w:p>
  </w:footnote>
  <w:footnote w:type="continuationSeparator" w:id="0">
    <w:p w:rsidR="002D491F" w:rsidRDefault="002D491F">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D3" w:rsidRDefault="002D491F">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8"/>
    <w:rsid w:val="001B0670"/>
    <w:rsid w:val="001B6C44"/>
    <w:rsid w:val="00206ED3"/>
    <w:rsid w:val="002B304E"/>
    <w:rsid w:val="002D491F"/>
    <w:rsid w:val="002E2F61"/>
    <w:rsid w:val="004431DF"/>
    <w:rsid w:val="004C4D58"/>
    <w:rsid w:val="005B00A3"/>
    <w:rsid w:val="007F6627"/>
    <w:rsid w:val="00820CB6"/>
    <w:rsid w:val="00874797"/>
    <w:rsid w:val="00A12057"/>
    <w:rsid w:val="00D16275"/>
    <w:rsid w:val="00E43F1C"/>
    <w:rsid w:val="00F80E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B96B8E"/>
  <w15:chartTrackingRefBased/>
  <w15:docId w15:val="{90291D2D-5E1A-42D0-9AF7-37F5CBA1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F80E7F"/>
    <w:pPr>
      <w:tabs>
        <w:tab w:val="clear" w:pos="708"/>
      </w:tabs>
      <w:jc w:val="both"/>
    </w:pPr>
    <w:rPr>
      <w:rFonts w:eastAsiaTheme="minorEastAsia" w:cs="Times New Roman"/>
      <w:szCs w:val="24"/>
      <w:lang w:val="en-US" w:eastAsia="en-US"/>
    </w:rPr>
  </w:style>
  <w:style w:type="paragraph" w:customStyle="1" w:styleId="cs2e86d3a6">
    <w:name w:val="cs2e86d3a6"/>
    <w:basedOn w:val="a"/>
    <w:rsid w:val="00F80E7F"/>
    <w:pPr>
      <w:tabs>
        <w:tab w:val="clear" w:pos="708"/>
      </w:tabs>
      <w:jc w:val="center"/>
    </w:pPr>
    <w:rPr>
      <w:rFonts w:eastAsiaTheme="minorEastAsia" w:cs="Times New Roman"/>
      <w:szCs w:val="24"/>
      <w:lang w:val="en-US" w:eastAsia="en-US"/>
    </w:rPr>
  </w:style>
  <w:style w:type="paragraph" w:customStyle="1" w:styleId="cs202b20ac">
    <w:name w:val="cs202b20ac"/>
    <w:basedOn w:val="a"/>
    <w:rsid w:val="00F80E7F"/>
    <w:pPr>
      <w:tabs>
        <w:tab w:val="clear" w:pos="708"/>
      </w:tabs>
      <w:jc w:val="center"/>
    </w:pPr>
    <w:rPr>
      <w:rFonts w:eastAsiaTheme="minorEastAsia" w:cs="Times New Roman"/>
      <w:szCs w:val="24"/>
      <w:lang w:val="en-US" w:eastAsia="en-US"/>
    </w:rPr>
  </w:style>
  <w:style w:type="paragraph" w:customStyle="1" w:styleId="csf06cd379">
    <w:name w:val="csf06cd379"/>
    <w:basedOn w:val="a"/>
    <w:rsid w:val="00F80E7F"/>
    <w:pPr>
      <w:tabs>
        <w:tab w:val="clear" w:pos="708"/>
      </w:tabs>
      <w:jc w:val="both"/>
    </w:pPr>
    <w:rPr>
      <w:rFonts w:eastAsiaTheme="minorEastAsia" w:cs="Times New Roman"/>
      <w:szCs w:val="24"/>
      <w:lang w:val="en-US" w:eastAsia="en-US"/>
    </w:rPr>
  </w:style>
  <w:style w:type="character" w:customStyle="1" w:styleId="csa16174ba5">
    <w:name w:val="csa16174ba5"/>
    <w:basedOn w:val="a0"/>
    <w:rsid w:val="00F80E7F"/>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0B72-21DE-48EE-8655-6E37D7C8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2321</Words>
  <Characters>18467</Characters>
  <Application>Microsoft Office Word</Application>
  <DocSecurity>0</DocSecurity>
  <Lines>153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2024-05-24T06:42:00Z</dcterms:created>
  <dcterms:modified xsi:type="dcterms:W3CDTF">2024-05-24T06:43:00Z</dcterms:modified>
</cp:coreProperties>
</file>