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5B" w:rsidRPr="00EB54CD" w:rsidRDefault="00EB54CD" w:rsidP="00C67A5B">
      <w:pPr>
        <w:pStyle w:val="a3"/>
        <w:spacing w:after="360"/>
        <w:rPr>
          <w:rFonts w:ascii="Segoe UI" w:eastAsia="Times New Roman" w:hAnsi="Segoe UI" w:cs="Segoe UI"/>
          <w:b/>
          <w:color w:val="212529"/>
          <w:spacing w:val="5"/>
          <w:sz w:val="24"/>
          <w:szCs w:val="24"/>
          <w:lang w:val="uk-UA" w:eastAsia="uk-UA"/>
        </w:rPr>
      </w:pPr>
      <w:r w:rsidRPr="00EB54CD">
        <w:rPr>
          <w:rFonts w:ascii="Segoe UI" w:eastAsia="Times New Roman" w:hAnsi="Segoe UI" w:cs="Segoe UI"/>
          <w:b/>
          <w:color w:val="212529"/>
          <w:spacing w:val="5"/>
          <w:sz w:val="24"/>
          <w:szCs w:val="24"/>
          <w:lang w:val="uk-UA" w:eastAsia="uk-UA"/>
        </w:rPr>
        <w:t xml:space="preserve">Рекомендації з підготовки щорічних звітів </w:t>
      </w:r>
      <w:r w:rsidR="0081449B">
        <w:rPr>
          <w:rFonts w:ascii="Segoe UI" w:eastAsia="Times New Roman" w:hAnsi="Segoe UI" w:cs="Segoe UI"/>
          <w:b/>
          <w:color w:val="212529"/>
          <w:spacing w:val="5"/>
          <w:sz w:val="24"/>
          <w:szCs w:val="24"/>
          <w:lang w:val="uk-UA" w:eastAsia="uk-UA"/>
        </w:rPr>
        <w:t>про роботу</w:t>
      </w:r>
      <w:r w:rsidRPr="00EB54CD">
        <w:rPr>
          <w:rFonts w:ascii="Segoe UI" w:eastAsia="Times New Roman" w:hAnsi="Segoe UI" w:cs="Segoe UI"/>
          <w:b/>
          <w:color w:val="212529"/>
          <w:spacing w:val="5"/>
          <w:sz w:val="24"/>
          <w:szCs w:val="24"/>
          <w:lang w:val="uk-UA" w:eastAsia="uk-UA"/>
        </w:rPr>
        <w:t xml:space="preserve"> Комісій з питань етики при лікувально-профілактичних закладах</w:t>
      </w:r>
    </w:p>
    <w:p w:rsidR="00643FDF" w:rsidRPr="00FC3AB3" w:rsidRDefault="00643FDF" w:rsidP="00286977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Комісії з питань етики відіграють все більш важливу роль в спілкуванні з суспільством щодо етичних аспектів </w:t>
      </w:r>
      <w:proofErr w:type="spellStart"/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біомедичних</w:t>
      </w:r>
      <w:proofErr w:type="spellEnd"/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досліджень.</w:t>
      </w:r>
    </w:p>
    <w:p w:rsidR="00BE4822" w:rsidRDefault="00652091" w:rsidP="00286977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Для максимального сприяння підвищенню </w:t>
      </w:r>
      <w:r w:rsidR="00BA7086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професійної або 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суспільної дові</w:t>
      </w:r>
      <w:r w:rsidR="00EA05E5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ри до </w:t>
      </w:r>
      <w:r w:rsidR="00AF4EAC" w:rsidRPr="00AF4EAC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клінічних випробувань лікарських засобів</w:t>
      </w:r>
      <w:r w:rsidR="00AF4EAC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, комісіям з питань етики,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</w:t>
      </w:r>
      <w:r w:rsidR="00AF4EAC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необхідно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забезпечити</w:t>
      </w:r>
      <w:r w:rsidR="00AF4EAC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належну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публічну звітність.</w:t>
      </w:r>
    </w:p>
    <w:p w:rsidR="00711B05" w:rsidRDefault="00711B05" w:rsidP="00286977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711B05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Довіру можна підвищити шляхом надання достатньої інформації про свою роботу, а саме —  про етичну експертизу, супровід ходу дослідження і про інші види діяльності, за допомогою щорічних звітів.</w:t>
      </w:r>
    </w:p>
    <w:p w:rsidR="000E25C7" w:rsidRPr="00FC3AB3" w:rsidRDefault="000E25C7" w:rsidP="00286977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Такі щорічні звіти мають бути обов’язково</w:t>
      </w:r>
      <w:r w:rsidR="002F6B0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передбачені в Положенні про комісію з питань етики</w:t>
      </w:r>
      <w:r w:rsidR="008560EC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</w:t>
      </w:r>
      <w:r w:rsidR="008560EC" w:rsidRPr="008560EC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при лікувально-профілактичних закладах</w:t>
      </w:r>
      <w:r w:rsidR="008560EC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.</w:t>
      </w:r>
    </w:p>
    <w:p w:rsidR="00AD78D5" w:rsidRDefault="008E0AA5" w:rsidP="00B366FD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С</w:t>
      </w:r>
      <w:r w:rsidR="00BF53D7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труктуровані належним чином періодичні </w:t>
      </w:r>
      <w:r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звіти</w:t>
      </w:r>
      <w:r w:rsidR="003A141D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</w:t>
      </w:r>
      <w:r w:rsidR="00B366FD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повинні перебувати у відкритому доступі, наприклад, на в</w:t>
      </w:r>
      <w:r w:rsidR="00440A01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еб-сайті Комісії з питань етики або </w:t>
      </w:r>
      <w:r w:rsidR="00A24DF1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лікувально-профілактичного закладу, при якому вона діє.</w:t>
      </w:r>
    </w:p>
    <w:p w:rsidR="008E0AA5" w:rsidRPr="00FC3AB3" w:rsidRDefault="008E0AA5" w:rsidP="00B366FD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Звертаємо увагу</w:t>
      </w:r>
      <w:r w:rsidR="00D53FC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, що звіти не повинні містити </w:t>
      </w:r>
      <w:r w:rsidR="0043167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конфіден</w:t>
      </w:r>
      <w:r w:rsidR="00D53FC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ційні дані</w:t>
      </w:r>
      <w:r w:rsidR="0043167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, що стосуються досліджень та їх учасників.</w:t>
      </w:r>
    </w:p>
    <w:p w:rsidR="0040251A" w:rsidRPr="00FC3AB3" w:rsidRDefault="0040251A" w:rsidP="00B366FD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Річний звіт, який буде опублікований, </w:t>
      </w:r>
      <w:r w:rsidR="009A5AD3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може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містити:</w:t>
      </w:r>
    </w:p>
    <w:p w:rsidR="008C37A6" w:rsidRPr="00FC3AB3" w:rsidRDefault="008C37A6" w:rsidP="008C37A6">
      <w:pPr>
        <w:pStyle w:val="a3"/>
        <w:numPr>
          <w:ilvl w:val="0"/>
          <w:numId w:val="1"/>
        </w:numPr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назву, адресу та інші контактні дані комісії з питань етики</w:t>
      </w:r>
      <w:r w:rsidR="00FC6BC7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;</w:t>
      </w:r>
    </w:p>
    <w:p w:rsidR="00FC6BC7" w:rsidRPr="00FC3AB3" w:rsidRDefault="00707257" w:rsidP="008C37A6">
      <w:pPr>
        <w:pStyle w:val="a3"/>
        <w:numPr>
          <w:ilvl w:val="0"/>
          <w:numId w:val="1"/>
        </w:numPr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поточний перелік членів;</w:t>
      </w:r>
    </w:p>
    <w:p w:rsidR="00707257" w:rsidRDefault="002371FD" w:rsidP="00707257">
      <w:pPr>
        <w:pStyle w:val="a3"/>
        <w:numPr>
          <w:ilvl w:val="0"/>
          <w:numId w:val="1"/>
        </w:numPr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загальні напрямки</w:t>
      </w:r>
      <w:r w:rsidR="00707257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в роботі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;</w:t>
      </w:r>
    </w:p>
    <w:p w:rsidR="00960C36" w:rsidRPr="0066180F" w:rsidRDefault="00960C36" w:rsidP="0066180F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960C3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інформацію про навчання</w:t>
      </w:r>
      <w:r w:rsidRPr="0066180F">
        <w:rPr>
          <w:rFonts w:ascii="Segoe UI" w:eastAsia="Times New Roman" w:hAnsi="Segoe UI" w:cs="Segoe UI"/>
          <w:color w:val="212529"/>
          <w:spacing w:val="5"/>
          <w:szCs w:val="24"/>
          <w:lang w:eastAsia="uk-UA"/>
        </w:rPr>
        <w:t xml:space="preserve"> </w:t>
      </w:r>
      <w:r w:rsidRPr="00B932E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членів</w:t>
      </w:r>
      <w:r w:rsidRPr="00960C3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</w:t>
      </w:r>
      <w:r w:rsidR="00B932E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комісії та</w:t>
      </w:r>
      <w:r w:rsidRPr="00960C3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обмін досвідом;</w:t>
      </w:r>
    </w:p>
    <w:p w:rsidR="00893D09" w:rsidRPr="00FC3AB3" w:rsidRDefault="00021A27" w:rsidP="00893D09">
      <w:pPr>
        <w:pStyle w:val="a3"/>
        <w:numPr>
          <w:ilvl w:val="0"/>
          <w:numId w:val="1"/>
        </w:numPr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загальні тенденції розвитку</w:t>
      </w:r>
      <w:r w:rsidR="005F261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, </w:t>
      </w:r>
      <w:r w:rsidR="005F261D" w:rsidRPr="00B932E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перелік</w:t>
      </w:r>
      <w:r w:rsidRPr="00B932E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наукових</w:t>
      </w:r>
      <w:r w:rsidR="005F261D" w:rsidRPr="00B932E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/клінічних</w:t>
      </w:r>
      <w:r w:rsidRPr="00B932E6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досліджень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у </w:t>
      </w:r>
      <w:r w:rsidR="00893D09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лікувально-профілактичному закладі;</w:t>
      </w:r>
    </w:p>
    <w:p w:rsidR="00411C57" w:rsidRPr="003569CF" w:rsidRDefault="00CB6399" w:rsidP="00B14B3D">
      <w:pPr>
        <w:pStyle w:val="a3"/>
        <w:numPr>
          <w:ilvl w:val="0"/>
          <w:numId w:val="1"/>
        </w:numPr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3569C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відомості про </w:t>
      </w:r>
      <w:r w:rsidR="00BA0EA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кількість</w:t>
      </w:r>
      <w:r w:rsidRPr="003569C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засі</w:t>
      </w:r>
      <w:r w:rsidR="00BA0EA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дань</w:t>
      </w:r>
      <w:r w:rsidR="003569CF" w:rsidRPr="003569C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, проведених протягом року</w:t>
      </w:r>
      <w:r w:rsidR="00BA0EA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,</w:t>
      </w:r>
      <w:r w:rsidR="003569CF" w:rsidRPr="003569C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</w:t>
      </w:r>
      <w:r w:rsidR="003569C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з </w:t>
      </w:r>
      <w:r w:rsidR="00FC11D0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коротким</w:t>
      </w:r>
      <w:r w:rsidR="00411C57" w:rsidRPr="003569C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виклад</w:t>
      </w:r>
      <w:r w:rsidR="00BA0EA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ом заяв</w:t>
      </w:r>
      <w:r w:rsidR="00211589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про проведення клінічних досліджень</w:t>
      </w:r>
      <w:r w:rsidR="00411C57" w:rsidRPr="003569C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, розглянутих протягом року, включаючи прийняте остаточне рішення</w:t>
      </w:r>
      <w:r w:rsidR="00211589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щодо них</w:t>
      </w:r>
      <w:r w:rsidR="00411C57" w:rsidRPr="003569CF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;</w:t>
      </w:r>
    </w:p>
    <w:p w:rsidR="005540B7" w:rsidRPr="00FC3AB3" w:rsidRDefault="009F56C0" w:rsidP="009F56C0">
      <w:pPr>
        <w:pStyle w:val="a3"/>
        <w:numPr>
          <w:ilvl w:val="0"/>
          <w:numId w:val="1"/>
        </w:numPr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короткий виклад інформації </w:t>
      </w:r>
      <w:r w:rsidR="009D1719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про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здійснення моніторинг</w:t>
      </w:r>
      <w:r w:rsidR="009D1719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у</w:t>
      </w: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 щодо дотримання етичних та морально-правових аспектів проведення клінічних випробувань</w:t>
      </w:r>
      <w:r w:rsidR="009D1719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;</w:t>
      </w:r>
    </w:p>
    <w:p w:rsidR="00FE548E" w:rsidRPr="00FC3AB3" w:rsidRDefault="00432D6F" w:rsidP="009F56C0">
      <w:pPr>
        <w:pStyle w:val="a3"/>
        <w:numPr>
          <w:ilvl w:val="0"/>
          <w:numId w:val="1"/>
        </w:numPr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загальні </w:t>
      </w:r>
      <w:r w:rsidR="00AE2A7D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 xml:space="preserve">результати виконання політик </w:t>
      </w:r>
      <w:r w:rsidR="007A3A22" w:rsidRPr="00FC3AB3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запобіганню конфлікту інтересів та фінансування;</w:t>
      </w:r>
    </w:p>
    <w:p w:rsidR="009D1719" w:rsidRPr="00596A3D" w:rsidRDefault="00D603F8" w:rsidP="00C34A6B">
      <w:pPr>
        <w:pStyle w:val="a3"/>
        <w:numPr>
          <w:ilvl w:val="0"/>
          <w:numId w:val="1"/>
        </w:numPr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  <w:r w:rsidRPr="00596A3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с</w:t>
      </w:r>
      <w:r w:rsidR="00C34A6B" w:rsidRPr="00596A3D"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  <w:t>тратегічні пріоритети</w:t>
      </w:r>
    </w:p>
    <w:p w:rsidR="00FC3AB3" w:rsidRPr="00FC3AB3" w:rsidRDefault="00FC3AB3" w:rsidP="00FC3AB3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Cs w:val="24"/>
          <w:lang w:val="uk-UA" w:eastAsia="uk-UA"/>
        </w:rPr>
      </w:pPr>
    </w:p>
    <w:p w:rsidR="00D603F8" w:rsidRPr="006B3189" w:rsidRDefault="00D603F8" w:rsidP="00D603F8">
      <w:pPr>
        <w:pStyle w:val="a3"/>
        <w:spacing w:after="240"/>
        <w:jc w:val="both"/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</w:pP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Рекомендації підготовлені за матеріалами:</w:t>
      </w:r>
    </w:p>
    <w:p w:rsidR="00C601FF" w:rsidRPr="006B3189" w:rsidRDefault="00C601FF" w:rsidP="008D2CCA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</w:pP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lastRenderedPageBreak/>
        <w:t>Типове положення про комісії з питань етики при лікувально-профілактичних закладах, у яких проводять клінічні випробування, затвердженого наказом МОЗ України від 23.09.2009 № 690 (із змінами)</w:t>
      </w:r>
      <w:r w:rsidR="005A4549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;</w:t>
      </w:r>
    </w:p>
    <w:p w:rsidR="000C32FC" w:rsidRPr="006B3189" w:rsidRDefault="000C32FC" w:rsidP="00E733D0">
      <w:pPr>
        <w:pStyle w:val="a4"/>
        <w:numPr>
          <w:ilvl w:val="0"/>
          <w:numId w:val="2"/>
        </w:numPr>
        <w:spacing w:after="0"/>
        <w:jc w:val="both"/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</w:pP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Загальні принципи організації діяльності комісій з питань етики при лікувально-профілактичних закладах, в яких проводяться клінічні </w:t>
      </w:r>
      <w:r w:rsidR="00E733D0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випробування лікарських засобів</w:t>
      </w: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, Київ 2017, ДП «Державний експертний центр Міністерства охорони здоров’я України»</w:t>
      </w:r>
      <w:r w:rsidR="00E733D0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.</w:t>
      </w: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 </w:t>
      </w:r>
      <w:r w:rsidR="00E733D0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Доступно з: </w:t>
      </w:r>
      <w:r w:rsidRPr="006B3189">
        <w:rPr>
          <w:rFonts w:ascii="Segoe UI" w:eastAsia="Times New Roman" w:hAnsi="Segoe UI" w:cs="Segoe UI"/>
          <w:color w:val="007BFF"/>
          <w:spacing w:val="5"/>
          <w:sz w:val="20"/>
          <w:szCs w:val="20"/>
          <w:u w:val="single"/>
          <w:lang w:val="uk-UA" w:eastAsia="uk-UA"/>
        </w:rPr>
        <w:t>https://www.dec.gov.ua//wp-conten</w:t>
      </w:r>
      <w:r w:rsidR="00E733D0" w:rsidRPr="006B3189">
        <w:rPr>
          <w:rFonts w:ascii="Segoe UI" w:eastAsia="Times New Roman" w:hAnsi="Segoe UI" w:cs="Segoe UI"/>
          <w:color w:val="007BFF"/>
          <w:spacing w:val="5"/>
          <w:sz w:val="20"/>
          <w:szCs w:val="20"/>
          <w:u w:val="single"/>
          <w:lang w:val="uk-UA" w:eastAsia="uk-UA"/>
        </w:rPr>
        <w:t>t/uploads/2019/08/posibnykn.pdf</w:t>
      </w:r>
      <w:r w:rsidR="005A4549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;</w:t>
      </w:r>
    </w:p>
    <w:p w:rsidR="00264C94" w:rsidRPr="006B3189" w:rsidRDefault="00264C94" w:rsidP="00D03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</w:pP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Міжнародні етичні рекомендації щодо досліджень, пов’язаних із здоров’ям, за участю людей. CIOMS. Женева 2016. [Останній доступ </w:t>
      </w:r>
      <w:r w:rsidR="00D438D7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11.03</w:t>
      </w:r>
      <w:r w:rsidR="00D03CC5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.2024</w:t>
      </w: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]. Доступно з: </w:t>
      </w:r>
      <w:hyperlink r:id="rId5" w:history="1">
        <w:r w:rsidRPr="006B3189">
          <w:rPr>
            <w:rFonts w:ascii="Segoe UI" w:eastAsia="Times New Roman" w:hAnsi="Segoe UI" w:cs="Segoe UI"/>
            <w:color w:val="007BFF"/>
            <w:spacing w:val="5"/>
            <w:sz w:val="20"/>
            <w:szCs w:val="20"/>
            <w:u w:val="single"/>
            <w:lang w:val="uk-UA" w:eastAsia="uk-UA"/>
          </w:rPr>
          <w:t>https://cioms.ch/publications/product/international-ethical-guidelines-for-health-related-research-involving-humans/</w:t>
        </w:r>
      </w:hyperlink>
      <w:r w:rsidR="005A4549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;</w:t>
      </w:r>
    </w:p>
    <w:p w:rsidR="00C601FF" w:rsidRPr="006B3189" w:rsidRDefault="00611385" w:rsidP="008D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</w:pP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Закон про науково-етичне ставлення до дослідницьких проектів у галузі охорони здоров’я та наукових проектів у сфері охорони здоров’я. Данія</w:t>
      </w:r>
      <w:r w:rsidR="00BD5554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 2020</w:t>
      </w:r>
      <w:r w:rsidR="005E7992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 </w:t>
      </w:r>
      <w:r w:rsidR="00BD5554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[Останній доступ </w:t>
      </w:r>
      <w:r w:rsidR="00D438D7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11.03</w:t>
      </w:r>
      <w:r w:rsidR="006276A4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.2024</w:t>
      </w:r>
      <w:r w:rsidR="00BD5554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]. Доступно з:</w:t>
      </w:r>
      <w:r w:rsidR="005E7992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 </w:t>
      </w:r>
      <w:hyperlink r:id="rId6" w:history="1">
        <w:r w:rsidR="00D76F13" w:rsidRPr="006B3189">
          <w:rPr>
            <w:rStyle w:val="a5"/>
            <w:rFonts w:ascii="Segoe UI" w:eastAsia="Times New Roman" w:hAnsi="Segoe UI" w:cs="Segoe UI"/>
            <w:spacing w:val="5"/>
            <w:sz w:val="20"/>
            <w:szCs w:val="20"/>
            <w:lang w:val="uk-UA" w:eastAsia="uk-UA"/>
          </w:rPr>
          <w:t>https://www.retsinformation.dk/eli/lta/2020/1338</w:t>
        </w:r>
      </w:hyperlink>
    </w:p>
    <w:p w:rsidR="008D2CCA" w:rsidRPr="006B3189" w:rsidRDefault="003F7FD0" w:rsidP="005B0E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</w:pP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Організація управління </w:t>
      </w:r>
      <w:r w:rsidR="00D375A6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комітетів</w:t>
      </w: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 з етики </w:t>
      </w:r>
      <w:r w:rsidR="00D375A6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для </w:t>
      </w: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досліджень</w:t>
      </w:r>
      <w:r w:rsidR="005B0E5B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. UK 2011. [Останній доступ </w:t>
      </w:r>
      <w:r w:rsidR="00D438D7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11.03</w:t>
      </w:r>
      <w:r w:rsidR="005B0E5B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.2024]. Доступно з: </w:t>
      </w:r>
      <w:hyperlink r:id="rId7" w:history="1">
        <w:r w:rsidR="00C41DBF" w:rsidRPr="006B3189">
          <w:rPr>
            <w:rStyle w:val="a5"/>
            <w:rFonts w:ascii="Segoe UI" w:eastAsia="Times New Roman" w:hAnsi="Segoe UI" w:cs="Segoe UI"/>
            <w:spacing w:val="5"/>
            <w:sz w:val="20"/>
            <w:szCs w:val="20"/>
            <w:lang w:val="uk-UA" w:eastAsia="uk-UA"/>
          </w:rPr>
          <w:t>https://assets.publishing.service.gov.uk/media/60829aa4e90e076ab6cbdd2e/WITHDRAWN_dh_133993.pdf</w:t>
        </w:r>
      </w:hyperlink>
      <w:r w:rsidR="005A4549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;</w:t>
      </w:r>
    </w:p>
    <w:p w:rsidR="00C41DBF" w:rsidRPr="006B3189" w:rsidRDefault="00463AB8" w:rsidP="00B87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</w:pP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Національне бюро комітетів з етики для досліджень</w:t>
      </w:r>
      <w:r w:rsidR="00333B59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.</w:t>
      </w:r>
      <w:r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 </w:t>
      </w:r>
      <w:r w:rsidR="00333B59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Річний звіт 2022 рік. Ірландія 2023. [Останній доступ </w:t>
      </w:r>
      <w:r w:rsidR="00D438D7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11.03</w:t>
      </w:r>
      <w:r w:rsidR="00333B59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 xml:space="preserve">.2024]. Доступно з: </w:t>
      </w:r>
      <w:r w:rsidR="00B87D6A" w:rsidRPr="006B3189">
        <w:rPr>
          <w:rStyle w:val="a5"/>
          <w:rFonts w:ascii="Segoe UI" w:eastAsia="Times New Roman" w:hAnsi="Segoe UI" w:cs="Segoe UI"/>
          <w:spacing w:val="5"/>
          <w:sz w:val="20"/>
          <w:szCs w:val="20"/>
          <w:lang w:val="uk-UA" w:eastAsia="uk-UA"/>
        </w:rPr>
        <w:t>https://www.nrecoffice.ie/wp-content/uploads/National-Office-for-Research-Ethics-Committees-Annual-Report-2022.pdf</w:t>
      </w:r>
      <w:r w:rsidR="005A4549" w:rsidRPr="006B3189">
        <w:rPr>
          <w:rFonts w:ascii="Segoe UI" w:eastAsia="Times New Roman" w:hAnsi="Segoe UI" w:cs="Segoe UI"/>
          <w:color w:val="212529"/>
          <w:spacing w:val="5"/>
          <w:sz w:val="20"/>
          <w:szCs w:val="20"/>
          <w:lang w:val="uk-UA" w:eastAsia="uk-UA"/>
        </w:rPr>
        <w:t>;</w:t>
      </w:r>
    </w:p>
    <w:p w:rsidR="005E7992" w:rsidRPr="005E7992" w:rsidRDefault="005E7992" w:rsidP="00B87D6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7BFF"/>
          <w:spacing w:val="5"/>
          <w:sz w:val="24"/>
          <w:szCs w:val="24"/>
          <w:u w:val="single"/>
          <w:lang w:val="uk-UA" w:eastAsia="uk-UA"/>
        </w:rPr>
      </w:pPr>
    </w:p>
    <w:p w:rsidR="00D603F8" w:rsidRPr="00411C57" w:rsidRDefault="00D603F8" w:rsidP="00D603F8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93D09" w:rsidRDefault="00893D09" w:rsidP="00411C57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369" w:rsidRPr="00264C94" w:rsidRDefault="00CC4369" w:rsidP="0040251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CC4369" w:rsidRPr="0026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1594"/>
    <w:multiLevelType w:val="multilevel"/>
    <w:tmpl w:val="1566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763D2"/>
    <w:multiLevelType w:val="hybridMultilevel"/>
    <w:tmpl w:val="7CE006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D"/>
    <w:rsid w:val="00021A27"/>
    <w:rsid w:val="00091F91"/>
    <w:rsid w:val="000C32FC"/>
    <w:rsid w:val="000E25C7"/>
    <w:rsid w:val="00211589"/>
    <w:rsid w:val="002371FD"/>
    <w:rsid w:val="002626DF"/>
    <w:rsid w:val="00264C94"/>
    <w:rsid w:val="00286977"/>
    <w:rsid w:val="002F6B0D"/>
    <w:rsid w:val="00333B59"/>
    <w:rsid w:val="00350961"/>
    <w:rsid w:val="00354F6E"/>
    <w:rsid w:val="003569CF"/>
    <w:rsid w:val="003A141D"/>
    <w:rsid w:val="003E13B2"/>
    <w:rsid w:val="003F7FD0"/>
    <w:rsid w:val="0040251A"/>
    <w:rsid w:val="00411C57"/>
    <w:rsid w:val="0043167F"/>
    <w:rsid w:val="00432D6F"/>
    <w:rsid w:val="00440A01"/>
    <w:rsid w:val="00444333"/>
    <w:rsid w:val="004449DD"/>
    <w:rsid w:val="00463AB8"/>
    <w:rsid w:val="00494E00"/>
    <w:rsid w:val="004D2312"/>
    <w:rsid w:val="005540B7"/>
    <w:rsid w:val="00596A3D"/>
    <w:rsid w:val="005A4549"/>
    <w:rsid w:val="005B0E5B"/>
    <w:rsid w:val="005E7992"/>
    <w:rsid w:val="005F261D"/>
    <w:rsid w:val="00611385"/>
    <w:rsid w:val="006276A4"/>
    <w:rsid w:val="00643FDF"/>
    <w:rsid w:val="00652091"/>
    <w:rsid w:val="0066180F"/>
    <w:rsid w:val="006A41FD"/>
    <w:rsid w:val="006B3189"/>
    <w:rsid w:val="00707257"/>
    <w:rsid w:val="00711B05"/>
    <w:rsid w:val="00764719"/>
    <w:rsid w:val="007A3A22"/>
    <w:rsid w:val="007D3651"/>
    <w:rsid w:val="007F0F89"/>
    <w:rsid w:val="007F3F5B"/>
    <w:rsid w:val="0081449B"/>
    <w:rsid w:val="008560EC"/>
    <w:rsid w:val="00893D09"/>
    <w:rsid w:val="008C37A6"/>
    <w:rsid w:val="008D2CCA"/>
    <w:rsid w:val="008E0AA5"/>
    <w:rsid w:val="00900700"/>
    <w:rsid w:val="009419CB"/>
    <w:rsid w:val="00943765"/>
    <w:rsid w:val="00960C36"/>
    <w:rsid w:val="009A5AD3"/>
    <w:rsid w:val="009D1719"/>
    <w:rsid w:val="009F56C0"/>
    <w:rsid w:val="00A24904"/>
    <w:rsid w:val="00A24DF1"/>
    <w:rsid w:val="00A64CA8"/>
    <w:rsid w:val="00AC5C45"/>
    <w:rsid w:val="00AC7D1F"/>
    <w:rsid w:val="00AD78D5"/>
    <w:rsid w:val="00AE2A7D"/>
    <w:rsid w:val="00AF4EAC"/>
    <w:rsid w:val="00B366FD"/>
    <w:rsid w:val="00B87D6A"/>
    <w:rsid w:val="00B932E6"/>
    <w:rsid w:val="00BA0EAD"/>
    <w:rsid w:val="00BA7086"/>
    <w:rsid w:val="00BD5554"/>
    <w:rsid w:val="00BF53D7"/>
    <w:rsid w:val="00C34A6B"/>
    <w:rsid w:val="00C417AA"/>
    <w:rsid w:val="00C41DBF"/>
    <w:rsid w:val="00C601FF"/>
    <w:rsid w:val="00C67A5B"/>
    <w:rsid w:val="00CB6399"/>
    <w:rsid w:val="00CC4369"/>
    <w:rsid w:val="00CD60D8"/>
    <w:rsid w:val="00D03CC5"/>
    <w:rsid w:val="00D23113"/>
    <w:rsid w:val="00D375A6"/>
    <w:rsid w:val="00D438D7"/>
    <w:rsid w:val="00D53FCD"/>
    <w:rsid w:val="00D603F8"/>
    <w:rsid w:val="00D748A6"/>
    <w:rsid w:val="00D76F13"/>
    <w:rsid w:val="00DD22EA"/>
    <w:rsid w:val="00E51ADB"/>
    <w:rsid w:val="00E733D0"/>
    <w:rsid w:val="00EA05E5"/>
    <w:rsid w:val="00EB0FFD"/>
    <w:rsid w:val="00EB54CD"/>
    <w:rsid w:val="00F139EF"/>
    <w:rsid w:val="00FC11D0"/>
    <w:rsid w:val="00FC3AB3"/>
    <w:rsid w:val="00FC6BC7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1A13"/>
  <w15:chartTrackingRefBased/>
  <w15:docId w15:val="{E612C1F4-919C-4F32-B19D-79EB204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0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4C94"/>
    <w:pPr>
      <w:ind w:left="720"/>
      <w:contextualSpacing/>
    </w:pPr>
  </w:style>
  <w:style w:type="character" w:customStyle="1" w:styleId="rvts23">
    <w:name w:val="rvts23"/>
    <w:basedOn w:val="a0"/>
    <w:rsid w:val="00A24904"/>
  </w:style>
  <w:style w:type="character" w:styleId="a5">
    <w:name w:val="Hyperlink"/>
    <w:basedOn w:val="a0"/>
    <w:uiPriority w:val="99"/>
    <w:unhideWhenUsed/>
    <w:rsid w:val="005E7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media/60829aa4e90e076ab6cbdd2e/WITHDRAWN_dh_13399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1338" TargetMode="External"/><Relationship Id="rId5" Type="http://schemas.openxmlformats.org/officeDocument/2006/relationships/hyperlink" Target="https://cioms.ch/publications/product/international-ethical-guidelines-for-health-related-research-involving-huma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Шеметилло Юрій Олександрович</dc:creator>
  <cp:keywords/>
  <dc:description/>
  <cp:lastModifiedBy>Шеметилло Юрій Олександрович</cp:lastModifiedBy>
  <cp:revision>52</cp:revision>
  <dcterms:created xsi:type="dcterms:W3CDTF">2024-02-27T11:48:00Z</dcterms:created>
  <dcterms:modified xsi:type="dcterms:W3CDTF">2024-03-11T08:32:00Z</dcterms:modified>
</cp:coreProperties>
</file>