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9B1F7A">
        <w:tc>
          <w:tcPr>
            <w:tcW w:w="3271" w:type="dxa"/>
          </w:tcPr>
          <w:p w:rsidR="009B1F7A" w:rsidRDefault="009B1F7A" w:rsidP="00A93E77">
            <w:pPr>
              <w:rPr>
                <w:sz w:val="28"/>
                <w:szCs w:val="28"/>
                <w:lang w:val="uk-UA"/>
              </w:rPr>
            </w:pPr>
          </w:p>
          <w:p w:rsidR="00FA1FE6" w:rsidRDefault="009B1F7A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березня 2023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9B1F7A" w:rsidRDefault="009B1F7A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Default="009B1F7A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№ 499</w:t>
            </w:r>
          </w:p>
          <w:p w:rsidR="00F61F7E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E3056E">
        <w:rPr>
          <w:b/>
          <w:sz w:val="28"/>
          <w:szCs w:val="28"/>
          <w:lang w:val="uk-UA"/>
        </w:rPr>
        <w:t xml:space="preserve">відмову у </w:t>
      </w:r>
      <w:r w:rsidR="00BA1EB2">
        <w:rPr>
          <w:b/>
          <w:sz w:val="28"/>
          <w:szCs w:val="28"/>
          <w:lang w:val="uk-UA"/>
        </w:rPr>
        <w:t>екстрен</w:t>
      </w:r>
      <w:r w:rsidR="00E3056E">
        <w:rPr>
          <w:b/>
          <w:sz w:val="28"/>
          <w:szCs w:val="28"/>
          <w:lang w:val="uk-UA"/>
        </w:rPr>
        <w:t>ій</w:t>
      </w:r>
      <w:r w:rsidR="00BA1EB2">
        <w:rPr>
          <w:b/>
          <w:sz w:val="28"/>
          <w:szCs w:val="28"/>
          <w:lang w:val="uk-UA"/>
        </w:rPr>
        <w:t xml:space="preserve"> </w:t>
      </w:r>
      <w:r w:rsidRPr="007738D2">
        <w:rPr>
          <w:b/>
          <w:sz w:val="28"/>
          <w:szCs w:val="28"/>
          <w:lang w:val="uk-UA"/>
        </w:rPr>
        <w:t>державн</w:t>
      </w:r>
      <w:r w:rsidR="00E3056E">
        <w:rPr>
          <w:b/>
          <w:sz w:val="28"/>
          <w:szCs w:val="28"/>
          <w:lang w:val="uk-UA"/>
        </w:rPr>
        <w:t>ій</w:t>
      </w:r>
      <w:r w:rsidRPr="007738D2">
        <w:rPr>
          <w:b/>
          <w:sz w:val="28"/>
          <w:szCs w:val="28"/>
          <w:lang w:val="uk-UA"/>
        </w:rPr>
        <w:t xml:space="preserve"> реєстраці</w:t>
      </w:r>
      <w:r w:rsidR="00E3056E">
        <w:rPr>
          <w:b/>
          <w:sz w:val="28"/>
          <w:szCs w:val="28"/>
          <w:lang w:val="uk-UA"/>
        </w:rPr>
        <w:t>ї</w:t>
      </w:r>
      <w:r w:rsidRPr="007738D2">
        <w:rPr>
          <w:b/>
          <w:sz w:val="28"/>
          <w:szCs w:val="28"/>
          <w:lang w:val="uk-UA"/>
        </w:rPr>
        <w:t xml:space="preserve">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067BF3" w:rsidRDefault="00067BF3" w:rsidP="00FC73F7">
      <w:pPr>
        <w:ind w:firstLine="720"/>
        <w:jc w:val="both"/>
        <w:rPr>
          <w:sz w:val="16"/>
          <w:szCs w:val="16"/>
          <w:lang w:val="uk-UA"/>
        </w:rPr>
      </w:pPr>
    </w:p>
    <w:p w:rsidR="00067BF3" w:rsidRDefault="00067BF3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067BF3" w:rsidRDefault="00067BF3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>пункт</w:t>
      </w:r>
      <w:r w:rsidR="004C1A96">
        <w:rPr>
          <w:rFonts w:ascii="Times New Roman" w:hAnsi="Times New Roman"/>
          <w:sz w:val="28"/>
          <w:szCs w:val="28"/>
          <w:lang w:val="uk-UA"/>
        </w:rPr>
        <w:t>ів 5, 8, 10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</w:t>
      </w:r>
      <w:r w:rsidR="00422A74" w:rsidRPr="003B190D">
        <w:rPr>
          <w:rFonts w:ascii="Times New Roman" w:hAnsi="Times New Roman"/>
          <w:sz w:val="28"/>
          <w:szCs w:val="28"/>
          <w:lang w:val="uk-UA"/>
        </w:rPr>
        <w:t xml:space="preserve">медичний імунобіологічний препарат, </w:t>
      </w:r>
      <w:r w:rsidR="00422A74" w:rsidRPr="00E3056E">
        <w:rPr>
          <w:rFonts w:ascii="Times New Roman" w:hAnsi="Times New Roman"/>
          <w:sz w:val="28"/>
          <w:szCs w:val="28"/>
          <w:lang w:val="uk-UA"/>
        </w:rPr>
        <w:t>препарат крові, поданий на екстрену державну реєстрацію</w:t>
      </w:r>
      <w:r w:rsidR="00277C8C" w:rsidRPr="00E3056E">
        <w:rPr>
          <w:rFonts w:ascii="Times New Roman" w:hAnsi="Times New Roman"/>
          <w:sz w:val="28"/>
          <w:szCs w:val="28"/>
          <w:lang w:val="uk-UA"/>
        </w:rPr>
        <w:t>,</w:t>
      </w:r>
      <w:r w:rsidR="00F753C3" w:rsidRPr="00E3056E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332232" w:rsidRPr="00E3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56E" w:rsidRPr="00E3056E">
        <w:rPr>
          <w:rFonts w:ascii="Times New Roman" w:hAnsi="Times New Roman"/>
          <w:sz w:val="28"/>
          <w:szCs w:val="28"/>
          <w:lang w:val="uk-UA"/>
        </w:rPr>
        <w:t>10</w:t>
      </w:r>
      <w:r w:rsidR="00692C82" w:rsidRPr="00E3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56E" w:rsidRPr="00E3056E">
        <w:rPr>
          <w:rFonts w:ascii="Times New Roman" w:hAnsi="Times New Roman"/>
          <w:sz w:val="28"/>
          <w:szCs w:val="28"/>
          <w:lang w:val="uk-UA"/>
        </w:rPr>
        <w:t>лютого</w:t>
      </w:r>
      <w:r w:rsidR="00692C82" w:rsidRPr="00E3056E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3056E" w:rsidRPr="00E3056E">
        <w:rPr>
          <w:rFonts w:ascii="Times New Roman" w:hAnsi="Times New Roman"/>
          <w:sz w:val="28"/>
          <w:szCs w:val="28"/>
          <w:lang w:val="uk-UA"/>
        </w:rPr>
        <w:t>3</w:t>
      </w:r>
      <w:r w:rsidR="00692C82" w:rsidRPr="00E3056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32232" w:rsidRPr="00E3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3C3" w:rsidRPr="00E3056E">
        <w:rPr>
          <w:rFonts w:ascii="Times New Roman" w:hAnsi="Times New Roman"/>
          <w:sz w:val="28"/>
          <w:szCs w:val="28"/>
          <w:lang w:val="uk-UA"/>
        </w:rPr>
        <w:t>та</w:t>
      </w:r>
      <w:r w:rsidR="004F4794" w:rsidRPr="00E3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62" w:rsidRPr="00E3056E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E3056E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E3056E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E3056E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E3056E">
        <w:rPr>
          <w:rFonts w:ascii="Times New Roman" w:hAnsi="Times New Roman"/>
          <w:sz w:val="28"/>
          <w:szCs w:val="28"/>
          <w:lang w:val="uk-UA"/>
        </w:rPr>
        <w:t>,</w:t>
      </w:r>
    </w:p>
    <w:p w:rsidR="00277C8C" w:rsidRDefault="004F4794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D15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7BF3" w:rsidRPr="007D15E2" w:rsidRDefault="00067BF3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7D15E2" w:rsidRPr="007D15E2" w:rsidRDefault="007D15E2" w:rsidP="00FC73F7">
      <w:pPr>
        <w:pStyle w:val="31"/>
        <w:ind w:left="0"/>
        <w:rPr>
          <w:b/>
          <w:bCs/>
          <w:lang w:val="uk-UA"/>
        </w:rPr>
      </w:pPr>
    </w:p>
    <w:p w:rsidR="00BE64DF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</w:t>
      </w:r>
      <w:r w:rsidR="00B22D29">
        <w:rPr>
          <w:sz w:val="28"/>
          <w:szCs w:val="28"/>
          <w:lang w:val="uk-UA"/>
        </w:rPr>
        <w:t>,</w:t>
      </w:r>
      <w:r w:rsidR="00B22D29" w:rsidRPr="00B22D29">
        <w:rPr>
          <w:lang w:val="uk-UA"/>
        </w:rPr>
        <w:t xml:space="preserve"> </w:t>
      </w:r>
      <w:r w:rsidR="00B22D29" w:rsidRPr="00B22D29">
        <w:rPr>
          <w:sz w:val="28"/>
          <w:szCs w:val="28"/>
          <w:lang w:val="uk-UA"/>
        </w:rPr>
        <w:t>медичних імунобіологічних препаратів, препаратів крові</w:t>
      </w:r>
      <w:r w:rsidRPr="00BE64DF">
        <w:rPr>
          <w:sz w:val="28"/>
          <w:szCs w:val="28"/>
          <w:lang w:val="uk-UA"/>
        </w:rPr>
        <w:t xml:space="preserve"> згідно з додатк</w:t>
      </w:r>
      <w:r w:rsidR="00901B4F">
        <w:rPr>
          <w:sz w:val="28"/>
          <w:szCs w:val="28"/>
          <w:lang w:val="uk-UA"/>
        </w:rPr>
        <w:t>ом</w:t>
      </w:r>
      <w:r w:rsidRPr="00BE64DF">
        <w:rPr>
          <w:sz w:val="28"/>
          <w:szCs w:val="28"/>
          <w:lang w:val="uk-UA"/>
        </w:rPr>
        <w:t>.</w:t>
      </w:r>
    </w:p>
    <w:p w:rsidR="007D15E2" w:rsidRPr="007D15E2" w:rsidRDefault="007D15E2" w:rsidP="007D15E2">
      <w:pPr>
        <w:pStyle w:val="a8"/>
        <w:rPr>
          <w:sz w:val="28"/>
          <w:szCs w:val="28"/>
          <w:lang w:val="uk-UA"/>
        </w:rPr>
      </w:pPr>
    </w:p>
    <w:p w:rsidR="007D15E2" w:rsidRDefault="007D15E2" w:rsidP="00C80690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Фармацевтичному </w:t>
      </w:r>
      <w:r w:rsidR="00C83B89">
        <w:rPr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(</w:t>
      </w:r>
      <w:r w:rsidR="00067BF3">
        <w:rPr>
          <w:sz w:val="28"/>
          <w:szCs w:val="28"/>
          <w:lang w:val="uk-UA"/>
        </w:rPr>
        <w:t>Олександр</w:t>
      </w:r>
      <w:r w:rsidR="00AC1DC3">
        <w:rPr>
          <w:sz w:val="28"/>
          <w:szCs w:val="28"/>
          <w:lang w:val="uk-UA"/>
        </w:rPr>
        <w:t>у</w:t>
      </w:r>
      <w:r w:rsidR="00067BF3">
        <w:rPr>
          <w:sz w:val="28"/>
          <w:szCs w:val="28"/>
          <w:lang w:val="uk-UA"/>
        </w:rPr>
        <w:t xml:space="preserve"> Гріценк</w:t>
      </w:r>
      <w:r w:rsidR="00AC1DC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927311" w:rsidRPr="007D15E2" w:rsidRDefault="00927311" w:rsidP="00C80690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0D32CE" w:rsidP="00C80690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C80690">
        <w:rPr>
          <w:sz w:val="28"/>
          <w:szCs w:val="28"/>
          <w:lang w:val="uk-UA"/>
        </w:rPr>
        <w:t>покласти на першого заступника Міністра Сергія Дуброва</w:t>
      </w:r>
      <w:r w:rsidRPr="005418EE">
        <w:rPr>
          <w:sz w:val="28"/>
          <w:szCs w:val="28"/>
          <w:lang w:val="uk-UA"/>
        </w:rPr>
        <w:t>.</w:t>
      </w:r>
    </w:p>
    <w:p w:rsidR="000D32CE" w:rsidRDefault="000D32CE" w:rsidP="00C80690">
      <w:pPr>
        <w:pStyle w:val="31"/>
        <w:spacing w:after="0"/>
        <w:ind w:left="0" w:firstLine="709"/>
        <w:rPr>
          <w:sz w:val="28"/>
          <w:szCs w:val="28"/>
          <w:lang w:val="uk-UA"/>
        </w:rPr>
      </w:pPr>
    </w:p>
    <w:p w:rsidR="007D15E2" w:rsidRDefault="007D15E2" w:rsidP="000D32CE">
      <w:pPr>
        <w:pStyle w:val="31"/>
        <w:spacing w:after="0"/>
        <w:rPr>
          <w:sz w:val="28"/>
          <w:szCs w:val="28"/>
          <w:lang w:val="uk-UA"/>
        </w:rPr>
      </w:pPr>
    </w:p>
    <w:p w:rsidR="00A438EB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C02F7">
        <w:rPr>
          <w:b/>
          <w:sz w:val="28"/>
          <w:szCs w:val="28"/>
          <w:lang w:val="uk-UA"/>
        </w:rPr>
        <w:t xml:space="preserve">                                     </w:t>
      </w:r>
      <w:r w:rsidR="007D15E2">
        <w:rPr>
          <w:b/>
          <w:sz w:val="28"/>
          <w:szCs w:val="28"/>
          <w:lang w:val="uk-UA"/>
        </w:rPr>
        <w:t xml:space="preserve">                                                 </w:t>
      </w:r>
      <w:r w:rsidR="005C02F7">
        <w:rPr>
          <w:b/>
          <w:sz w:val="28"/>
          <w:szCs w:val="28"/>
          <w:lang w:val="uk-UA"/>
        </w:rPr>
        <w:t xml:space="preserve">     </w:t>
      </w:r>
      <w:r w:rsidR="007D15E2">
        <w:rPr>
          <w:b/>
          <w:sz w:val="28"/>
          <w:szCs w:val="28"/>
          <w:lang w:val="uk-UA"/>
        </w:rPr>
        <w:t>Віктор ЛЯШКО</w:t>
      </w:r>
      <w:r>
        <w:rPr>
          <w:b/>
          <w:sz w:val="28"/>
          <w:szCs w:val="28"/>
          <w:lang w:val="uk-UA"/>
        </w:rPr>
        <w:t xml:space="preserve">     </w:t>
      </w:r>
    </w:p>
    <w:p w:rsidR="00A438EB" w:rsidRDefault="00A438EB" w:rsidP="00BE64DF">
      <w:pPr>
        <w:rPr>
          <w:b/>
          <w:sz w:val="28"/>
          <w:szCs w:val="28"/>
          <w:lang w:val="uk-UA"/>
        </w:rPr>
      </w:pPr>
    </w:p>
    <w:p w:rsidR="00A438EB" w:rsidRDefault="00A438EB" w:rsidP="00BE64DF">
      <w:pPr>
        <w:rPr>
          <w:b/>
          <w:sz w:val="28"/>
          <w:szCs w:val="28"/>
          <w:lang w:val="uk-UA"/>
        </w:rPr>
        <w:sectPr w:rsidR="00A438EB" w:rsidSect="007D15E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560" w:left="1701" w:header="709" w:footer="709" w:gutter="0"/>
          <w:cols w:space="708"/>
          <w:titlePg/>
          <w:docGrid w:linePitch="360"/>
        </w:sectPr>
      </w:pPr>
    </w:p>
    <w:p w:rsidR="00A438EB" w:rsidRDefault="000D32CE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</w:t>
      </w: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438EB" w:rsidRPr="005A3F18" w:rsidTr="00D87DDC">
        <w:tc>
          <w:tcPr>
            <w:tcW w:w="3825" w:type="dxa"/>
            <w:hideMark/>
          </w:tcPr>
          <w:p w:rsidR="00A438EB" w:rsidRPr="00A438EB" w:rsidRDefault="00A438EB" w:rsidP="00A438E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A438EB">
              <w:rPr>
                <w:rFonts w:cs="Arial"/>
                <w:sz w:val="18"/>
                <w:szCs w:val="18"/>
                <w:lang w:val="uk-UA"/>
              </w:rPr>
              <w:t xml:space="preserve">Додаток </w:t>
            </w:r>
          </w:p>
          <w:p w:rsidR="00A438EB" w:rsidRPr="00A438EB" w:rsidRDefault="00A438EB" w:rsidP="00A438E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A438EB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A438EB" w:rsidRPr="00A438EB" w:rsidRDefault="00A438EB" w:rsidP="00A438E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A438EB">
              <w:rPr>
                <w:rFonts w:cs="Arial"/>
                <w:sz w:val="18"/>
                <w:szCs w:val="18"/>
                <w:lang w:val="uk-UA"/>
              </w:rPr>
              <w:t>здоров’я України «Про відмову у екстреній державній реєстрації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A438EB" w:rsidRPr="00A46EA9" w:rsidRDefault="00A438EB" w:rsidP="00A438EB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A46EA9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16 березня 2023 року </w:t>
            </w:r>
            <w:r w:rsidRPr="00A46EA9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№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499</w:t>
            </w:r>
          </w:p>
        </w:tc>
      </w:tr>
    </w:tbl>
    <w:p w:rsidR="00A438EB" w:rsidRDefault="00A438EB" w:rsidP="00A438E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A438EB" w:rsidRPr="005A3F18" w:rsidRDefault="00A438EB" w:rsidP="00A438E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A438EB" w:rsidRPr="00604A81" w:rsidRDefault="00A438EB" w:rsidP="00A438EB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A438EB" w:rsidRPr="005A3F18" w:rsidRDefault="00A438EB" w:rsidP="00A438E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275"/>
        <w:gridCol w:w="992"/>
        <w:gridCol w:w="2269"/>
        <w:gridCol w:w="1133"/>
        <w:gridCol w:w="1135"/>
        <w:gridCol w:w="1134"/>
        <w:gridCol w:w="851"/>
        <w:gridCol w:w="1557"/>
      </w:tblGrid>
      <w:tr w:rsidR="00A438EB" w:rsidRPr="00F97553" w:rsidTr="00A438EB">
        <w:trPr>
          <w:tblHeader/>
        </w:trPr>
        <w:tc>
          <w:tcPr>
            <w:tcW w:w="709" w:type="dxa"/>
            <w:shd w:val="clear" w:color="auto" w:fill="D9D9D9"/>
            <w:hideMark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7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269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7" w:type="dxa"/>
            <w:shd w:val="clear" w:color="auto" w:fill="D9D9D9"/>
          </w:tcPr>
          <w:p w:rsidR="00A438EB" w:rsidRPr="00F97553" w:rsidRDefault="00A438EB" w:rsidP="00D87D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438EB" w:rsidRPr="00726A43" w:rsidTr="00A438EB">
        <w:tc>
          <w:tcPr>
            <w:tcW w:w="709" w:type="dxa"/>
            <w:shd w:val="clear" w:color="auto" w:fill="auto"/>
          </w:tcPr>
          <w:p w:rsidR="00A438EB" w:rsidRPr="00726A43" w:rsidRDefault="00A438EB" w:rsidP="00A438E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A438EB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  <w:lang w:val="ru-RU"/>
              </w:rPr>
              <w:t>ЛЕВОСИМЕНДАН-ФАРМАК, КОНЦЕНТРАТ ДЛЯ ПРИГОТУВАННЯ РОЗЧИНУ ДЛЯ ІНФУЗІЙ, 2,5 МГ/МЛ</w:t>
            </w:r>
          </w:p>
          <w:p w:rsidR="00A438EB" w:rsidRPr="005348DA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2,5 мг/мл, флакон, пачка</w:t>
            </w:r>
          </w:p>
        </w:tc>
        <w:tc>
          <w:tcPr>
            <w:tcW w:w="1275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992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269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3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UA/1995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 w:rsidRPr="005348D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A438EB" w:rsidRPr="00726A43" w:rsidTr="00A438EB">
        <w:tc>
          <w:tcPr>
            <w:tcW w:w="709" w:type="dxa"/>
            <w:shd w:val="clear" w:color="auto" w:fill="auto"/>
          </w:tcPr>
          <w:p w:rsidR="00A438EB" w:rsidRPr="00726A43" w:rsidRDefault="00A438EB" w:rsidP="00A438E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</w:rPr>
              <w:t>ЛЕЙКІН/LEUKINE®</w:t>
            </w:r>
          </w:p>
        </w:tc>
        <w:tc>
          <w:tcPr>
            <w:tcW w:w="1984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у флаконах в картонній коробці</w:t>
            </w:r>
          </w:p>
        </w:tc>
        <w:tc>
          <w:tcPr>
            <w:tcW w:w="1275" w:type="dxa"/>
            <w:shd w:val="clear" w:color="auto" w:fill="FFFFFF"/>
          </w:tcPr>
          <w:p w:rsidR="00A438EB" w:rsidRPr="00907DCF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ЦЕФЕА Сп. з. о.о. Сп. к.</w:t>
            </w:r>
          </w:p>
        </w:tc>
        <w:tc>
          <w:tcPr>
            <w:tcW w:w="992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269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Партнер Терапевтікс, Інк.</w:t>
            </w:r>
          </w:p>
        </w:tc>
        <w:tc>
          <w:tcPr>
            <w:tcW w:w="1133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135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UA/1995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  <w:r w:rsidRPr="005348D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A438EB" w:rsidRPr="00726A43" w:rsidTr="00A438EB">
        <w:tc>
          <w:tcPr>
            <w:tcW w:w="709" w:type="dxa"/>
            <w:shd w:val="clear" w:color="auto" w:fill="auto"/>
          </w:tcPr>
          <w:p w:rsidR="00A438EB" w:rsidRPr="00726A43" w:rsidRDefault="00A438EB" w:rsidP="00A438E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A438EB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  <w:lang w:val="ru-RU"/>
              </w:rPr>
              <w:t>МОКСИФЛОКСАЦИН - ФАРМАК, РОЗЧИН ДЛЯ ІНФУЗІЙ, 400 МГ/250 МЛ</w:t>
            </w:r>
          </w:p>
          <w:p w:rsidR="00A438EB" w:rsidRPr="005348DA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400 мг/250 мл у флаконах, пачці, коробці</w:t>
            </w:r>
          </w:p>
        </w:tc>
        <w:tc>
          <w:tcPr>
            <w:tcW w:w="1275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992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269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3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5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UA/1995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  <w:r w:rsidRPr="005348D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A438EB" w:rsidRPr="00726A43" w:rsidTr="00A438EB">
        <w:tc>
          <w:tcPr>
            <w:tcW w:w="709" w:type="dxa"/>
            <w:shd w:val="clear" w:color="auto" w:fill="auto"/>
          </w:tcPr>
          <w:p w:rsidR="00A438EB" w:rsidRPr="00726A43" w:rsidRDefault="00A438EB" w:rsidP="00A438E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ПРОПОФОЛ-ПФ 1 % 200 МГ/20 МЛ ЕМУЛЬСІЯ ДЛЯ ВНУТРІШНЬОВЕННИХ ІН'ЄКЦІЙ/ІНФУЗІЙ</w:t>
            </w:r>
          </w:p>
        </w:tc>
        <w:tc>
          <w:tcPr>
            <w:tcW w:w="1984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200 мг/20 мл емульсія для внутрішньовенних ін'єкцій/інфузій, по 20 мл в ампулах, по 5 ампул у картонній пачці</w:t>
            </w:r>
          </w:p>
        </w:tc>
        <w:tc>
          <w:tcPr>
            <w:tcW w:w="1275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992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269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виробництво готової лікарської форми, контроль та випуск серії: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br/>
              <w:t>ПОЛІФАРМА ІЛАЧ САН. ВЕ ТІДЖ. А.Ш., Туреччина;</w:t>
            </w:r>
          </w:p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виробник, відповідальний за первинну та вторинну упаковку:</w:t>
            </w: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АРОМА ІЛАЧ САН. ЛТД. СТІ, Туреччина </w:t>
            </w:r>
          </w:p>
        </w:tc>
        <w:tc>
          <w:tcPr>
            <w:tcW w:w="1133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135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8D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shd w:val="clear" w:color="auto" w:fill="FFFFFF"/>
          </w:tcPr>
          <w:p w:rsidR="00A438EB" w:rsidRPr="005348DA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48D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438EB" w:rsidRPr="00AF32A0" w:rsidRDefault="00A438EB" w:rsidP="00D87DDC">
            <w:pPr>
              <w:pStyle w:val="a9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2A0">
              <w:rPr>
                <w:rFonts w:ascii="Arial" w:hAnsi="Arial" w:cs="Arial"/>
                <w:sz w:val="16"/>
                <w:szCs w:val="16"/>
              </w:rPr>
              <w:t>UA/19960/01/01</w:t>
            </w:r>
          </w:p>
        </w:tc>
      </w:tr>
    </w:tbl>
    <w:p w:rsidR="00A438EB" w:rsidRDefault="00A438EB" w:rsidP="00A438EB"/>
    <w:p w:rsidR="00A438EB" w:rsidRDefault="00A438EB" w:rsidP="00A438EB"/>
    <w:tbl>
      <w:tblPr>
        <w:tblW w:w="0" w:type="auto"/>
        <w:tblLook w:val="04A0" w:firstRow="1" w:lastRow="0" w:firstColumn="1" w:lastColumn="0" w:noHBand="0" w:noVBand="1"/>
      </w:tblPr>
      <w:tblGrid>
        <w:gridCol w:w="6924"/>
        <w:gridCol w:w="6864"/>
      </w:tblGrid>
      <w:tr w:rsidR="00A438EB" w:rsidRPr="00EF2F51" w:rsidTr="00D87DDC">
        <w:tc>
          <w:tcPr>
            <w:tcW w:w="6924" w:type="dxa"/>
          </w:tcPr>
          <w:p w:rsidR="00A438EB" w:rsidRDefault="00A438EB" w:rsidP="00D87DDC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В.о. начальника </w:t>
            </w:r>
          </w:p>
          <w:p w:rsidR="00A438EB" w:rsidRPr="00EF2F51" w:rsidRDefault="00A438EB" w:rsidP="00D87DDC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6864" w:type="dxa"/>
          </w:tcPr>
          <w:p w:rsidR="00A438EB" w:rsidRPr="00EF2F51" w:rsidRDefault="00A438EB" w:rsidP="00D87DDC">
            <w:pPr>
              <w:rPr>
                <w:b/>
                <w:bCs/>
                <w:sz w:val="28"/>
                <w:szCs w:val="28"/>
              </w:rPr>
            </w:pPr>
          </w:p>
          <w:p w:rsidR="00A438EB" w:rsidRPr="00EF2F51" w:rsidRDefault="00A438EB" w:rsidP="00D87DD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Олександр ГРІЦЕНКО</w:t>
            </w:r>
          </w:p>
        </w:tc>
      </w:tr>
    </w:tbl>
    <w:p w:rsidR="00A438EB" w:rsidRPr="00164E43" w:rsidRDefault="00A438EB" w:rsidP="00A438EB">
      <w:pPr>
        <w:rPr>
          <w:b/>
          <w:bCs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sectPr w:rsidR="007F3466" w:rsidSect="00A438EB">
      <w:pgSz w:w="16838" w:h="11906" w:orient="landscape"/>
      <w:pgMar w:top="567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DC" w:rsidRDefault="00D87DDC" w:rsidP="00B217C6">
      <w:r>
        <w:separator/>
      </w:r>
    </w:p>
  </w:endnote>
  <w:endnote w:type="continuationSeparator" w:id="0">
    <w:p w:rsidR="00D87DDC" w:rsidRDefault="00D87DDC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DC" w:rsidRDefault="00D87DDC" w:rsidP="00B217C6">
      <w:r>
        <w:separator/>
      </w:r>
    </w:p>
  </w:footnote>
  <w:footnote w:type="continuationSeparator" w:id="0">
    <w:p w:rsidR="00D87DDC" w:rsidRDefault="00D87DDC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335B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67BF3"/>
    <w:rsid w:val="000719E9"/>
    <w:rsid w:val="00071EBE"/>
    <w:rsid w:val="0007456D"/>
    <w:rsid w:val="000843E5"/>
    <w:rsid w:val="000858A1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1939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3D9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008A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335B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66F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0D"/>
    <w:rsid w:val="003B19E9"/>
    <w:rsid w:val="003B3698"/>
    <w:rsid w:val="003B3E90"/>
    <w:rsid w:val="003B536D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1A96"/>
    <w:rsid w:val="004C2149"/>
    <w:rsid w:val="004C6DBC"/>
    <w:rsid w:val="004D1487"/>
    <w:rsid w:val="004D1C54"/>
    <w:rsid w:val="004D3DA8"/>
    <w:rsid w:val="004D6E55"/>
    <w:rsid w:val="004D7714"/>
    <w:rsid w:val="004D7D40"/>
    <w:rsid w:val="004E4767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409D"/>
    <w:rsid w:val="00515054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86434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02F7"/>
    <w:rsid w:val="005C43EE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2C82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57A35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15E2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48A9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1F7A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4430"/>
    <w:rsid w:val="00A357D2"/>
    <w:rsid w:val="00A40123"/>
    <w:rsid w:val="00A402C4"/>
    <w:rsid w:val="00A4170F"/>
    <w:rsid w:val="00A420E9"/>
    <w:rsid w:val="00A438EB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1E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36E7"/>
    <w:rsid w:val="00AB60C7"/>
    <w:rsid w:val="00AC1DC3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2D29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0690"/>
    <w:rsid w:val="00C816A1"/>
    <w:rsid w:val="00C83B89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37E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4768"/>
    <w:rsid w:val="00D8541B"/>
    <w:rsid w:val="00D87DDC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E580B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56E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2FA2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3C3"/>
    <w:rsid w:val="00F75CCB"/>
    <w:rsid w:val="00F8218D"/>
    <w:rsid w:val="00F876C0"/>
    <w:rsid w:val="00F906F4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9606A57-9A74-4769-B97F-E831DF6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styleId="a8">
    <w:name w:val="List Paragraph"/>
    <w:basedOn w:val="a"/>
    <w:uiPriority w:val="34"/>
    <w:qFormat/>
    <w:rsid w:val="007D15E2"/>
    <w:pPr>
      <w:ind w:left="708"/>
    </w:pPr>
  </w:style>
  <w:style w:type="paragraph" w:customStyle="1" w:styleId="a9">
    <w:name w:val="Звичайний"/>
    <w:aliases w:val="Normal,Обычный11"/>
    <w:qFormat/>
    <w:rsid w:val="00A438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1776-C5A8-4A74-881C-80A43262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>МІНІСТЕРСТВО ОХОРОНИ ЗДОРОВ’Я УКРАЇНИ</vt:lpstr>
      <vt:lpstr>НАКАЗ</vt:lpstr>
      <vt:lpstr/>
    </vt:vector>
  </TitlesOfParts>
  <Company>Krokoz™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2023-03-22T11:16:00Z</dcterms:created>
  <dcterms:modified xsi:type="dcterms:W3CDTF">2023-03-22T11:16:00Z</dcterms:modified>
</cp:coreProperties>
</file>