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273437">
        <w:tc>
          <w:tcPr>
            <w:tcW w:w="3271" w:type="dxa"/>
          </w:tcPr>
          <w:p w:rsidR="00273437" w:rsidRDefault="00273437" w:rsidP="00A93E77">
            <w:pPr>
              <w:rPr>
                <w:sz w:val="28"/>
                <w:szCs w:val="28"/>
                <w:lang w:val="uk-UA"/>
              </w:rPr>
            </w:pPr>
          </w:p>
          <w:p w:rsidR="006F7E05" w:rsidRDefault="00273437" w:rsidP="00A93E77">
            <w:pPr>
              <w:rPr>
                <w:sz w:val="28"/>
                <w:szCs w:val="28"/>
                <w:lang w:val="uk-UA"/>
              </w:rPr>
            </w:pPr>
            <w:r>
              <w:rPr>
                <w:sz w:val="28"/>
                <w:szCs w:val="28"/>
                <w:lang w:val="uk-UA"/>
              </w:rPr>
              <w:t>03 серпня 2023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273437" w:rsidRDefault="00273437" w:rsidP="00A93E77">
            <w:pPr>
              <w:ind w:firstLine="72"/>
              <w:jc w:val="center"/>
              <w:rPr>
                <w:sz w:val="28"/>
                <w:szCs w:val="28"/>
                <w:lang w:val="uk-UA"/>
              </w:rPr>
            </w:pPr>
          </w:p>
          <w:p w:rsidR="006F7E05" w:rsidRDefault="00273437" w:rsidP="00A93E77">
            <w:pPr>
              <w:ind w:firstLine="72"/>
              <w:jc w:val="center"/>
              <w:rPr>
                <w:sz w:val="28"/>
                <w:szCs w:val="28"/>
                <w:lang w:val="uk-UA"/>
              </w:rPr>
            </w:pPr>
            <w:r>
              <w:rPr>
                <w:sz w:val="28"/>
                <w:szCs w:val="28"/>
                <w:lang w:val="uk-UA"/>
              </w:rPr>
              <w:t xml:space="preserve">                                            № 1397</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xml:space="preserve">, </w:t>
      </w:r>
      <w:r w:rsidR="000D32CE">
        <w:rPr>
          <w:rFonts w:ascii="Times New Roman" w:hAnsi="Times New Roman"/>
          <w:sz w:val="28"/>
          <w:szCs w:val="28"/>
          <w:lang w:val="uk-UA"/>
        </w:rPr>
        <w:t xml:space="preserve">9, </w:t>
      </w:r>
      <w:r w:rsidR="003E30C2">
        <w:rPr>
          <w:rFonts w:ascii="Times New Roman" w:hAnsi="Times New Roman"/>
          <w:sz w:val="28"/>
          <w:szCs w:val="28"/>
          <w:lang w:val="uk-UA"/>
        </w:rPr>
        <w:t>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0D32CE" w:rsidP="000C1B57">
      <w:pPr>
        <w:tabs>
          <w:tab w:val="left" w:pos="1080"/>
        </w:tabs>
        <w:ind w:firstLine="720"/>
        <w:jc w:val="both"/>
        <w:rPr>
          <w:sz w:val="28"/>
          <w:szCs w:val="28"/>
          <w:lang w:val="uk-UA"/>
        </w:rPr>
      </w:pPr>
    </w:p>
    <w:p w:rsidR="00BC5599" w:rsidRPr="00BE64DF" w:rsidRDefault="00F417D5" w:rsidP="00BC5599">
      <w:pPr>
        <w:tabs>
          <w:tab w:val="left" w:pos="720"/>
          <w:tab w:val="left" w:pos="993"/>
        </w:tabs>
        <w:ind w:firstLine="720"/>
        <w:jc w:val="both"/>
        <w:rPr>
          <w:sz w:val="28"/>
          <w:szCs w:val="28"/>
          <w:lang w:val="uk-UA"/>
        </w:rPr>
      </w:pPr>
      <w:r>
        <w:rPr>
          <w:sz w:val="28"/>
          <w:szCs w:val="28"/>
          <w:lang w:val="uk-UA"/>
        </w:rPr>
        <w:t>4</w:t>
      </w:r>
      <w:r w:rsidR="00BC5599">
        <w:rPr>
          <w:sz w:val="28"/>
          <w:szCs w:val="28"/>
          <w:lang w:val="uk-UA"/>
        </w:rPr>
        <w:t>. Фармацевтичному управлінню (</w:t>
      </w:r>
      <w:r w:rsidR="0050149D">
        <w:rPr>
          <w:sz w:val="28"/>
          <w:szCs w:val="28"/>
          <w:lang w:val="uk-UA"/>
        </w:rPr>
        <w:t>Тарасу Лясковському</w:t>
      </w:r>
      <w:r w:rsidR="00BC5599">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F417D5" w:rsidP="000D32CE">
      <w:pPr>
        <w:tabs>
          <w:tab w:val="left" w:pos="720"/>
          <w:tab w:val="left" w:pos="1080"/>
        </w:tabs>
        <w:ind w:firstLine="720"/>
        <w:jc w:val="both"/>
        <w:rPr>
          <w:sz w:val="28"/>
          <w:szCs w:val="28"/>
          <w:lang w:val="uk-UA"/>
        </w:rPr>
      </w:pPr>
      <w:r>
        <w:rPr>
          <w:sz w:val="28"/>
          <w:szCs w:val="28"/>
          <w:lang w:val="uk-UA"/>
        </w:rPr>
        <w:t>5</w:t>
      </w:r>
      <w:r w:rsidR="0050149D">
        <w:rPr>
          <w:sz w:val="28"/>
          <w:szCs w:val="28"/>
          <w:lang w:val="uk-UA"/>
        </w:rPr>
        <w:t xml:space="preserve">. </w:t>
      </w:r>
      <w:r w:rsidR="000D32CE" w:rsidRPr="005418EE">
        <w:rPr>
          <w:sz w:val="28"/>
          <w:szCs w:val="28"/>
          <w:lang w:val="uk-UA"/>
        </w:rPr>
        <w:t xml:space="preserve">Контроль за виконанням цього наказу </w:t>
      </w:r>
      <w:r w:rsidR="0050149D">
        <w:rPr>
          <w:sz w:val="28"/>
          <w:szCs w:val="28"/>
          <w:lang w:val="uk-UA"/>
        </w:rPr>
        <w:t>покласти на першого заступника Міністра Сергія Дуброва</w:t>
      </w:r>
      <w:r w:rsidR="00BC5599">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534A48">
        <w:rPr>
          <w:b/>
          <w:sz w:val="28"/>
          <w:szCs w:val="28"/>
          <w:lang w:val="uk-UA"/>
        </w:rPr>
        <w:t xml:space="preserve">                                                  </w:t>
      </w:r>
      <w:r w:rsidR="0050149D">
        <w:rPr>
          <w:b/>
          <w:sz w:val="28"/>
          <w:szCs w:val="28"/>
          <w:lang w:val="uk-UA"/>
        </w:rPr>
        <w:t xml:space="preserve">                                     </w:t>
      </w:r>
      <w:r w:rsidR="00534A48">
        <w:rPr>
          <w:b/>
          <w:sz w:val="28"/>
          <w:szCs w:val="28"/>
          <w:lang w:val="uk-UA"/>
        </w:rPr>
        <w:t xml:space="preserve">    </w:t>
      </w:r>
      <w:r w:rsidR="0050149D">
        <w:rPr>
          <w:b/>
          <w:sz w:val="28"/>
          <w:szCs w:val="28"/>
          <w:lang w:val="uk-UA"/>
        </w:rPr>
        <w:t>Віктор ЛЯШКО</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263C9A" w:rsidRDefault="00263C9A" w:rsidP="00FC73F7">
      <w:pPr>
        <w:pStyle w:val="31"/>
        <w:spacing w:after="0"/>
        <w:ind w:left="0"/>
        <w:rPr>
          <w:b/>
          <w:sz w:val="28"/>
          <w:szCs w:val="28"/>
          <w:lang w:val="uk-UA"/>
        </w:rPr>
        <w:sectPr w:rsidR="00263C9A"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263C9A" w:rsidRPr="00CE433C" w:rsidRDefault="00263C9A" w:rsidP="00263C9A">
      <w:pPr>
        <w:rPr>
          <w:rFonts w:ascii="Arial" w:hAnsi="Arial" w:cs="Arial"/>
        </w:rPr>
      </w:pPr>
    </w:p>
    <w:tbl>
      <w:tblPr>
        <w:tblW w:w="3825" w:type="dxa"/>
        <w:tblInd w:w="11448" w:type="dxa"/>
        <w:tblLayout w:type="fixed"/>
        <w:tblLook w:val="04A0" w:firstRow="1" w:lastRow="0" w:firstColumn="1" w:lastColumn="0" w:noHBand="0" w:noVBand="1"/>
      </w:tblPr>
      <w:tblGrid>
        <w:gridCol w:w="3825"/>
      </w:tblGrid>
      <w:tr w:rsidR="00263C9A" w:rsidRPr="00CE433C" w:rsidTr="004321E0">
        <w:tc>
          <w:tcPr>
            <w:tcW w:w="3825" w:type="dxa"/>
            <w:hideMark/>
          </w:tcPr>
          <w:p w:rsidR="00263C9A" w:rsidRPr="001B4B41" w:rsidRDefault="00263C9A" w:rsidP="00CF2C09">
            <w:pPr>
              <w:pStyle w:val="4"/>
              <w:tabs>
                <w:tab w:val="left" w:pos="12600"/>
              </w:tabs>
              <w:spacing w:before="0" w:after="0"/>
              <w:rPr>
                <w:sz w:val="18"/>
                <w:szCs w:val="18"/>
              </w:rPr>
            </w:pPr>
            <w:r w:rsidRPr="001B4B41">
              <w:rPr>
                <w:sz w:val="18"/>
                <w:szCs w:val="18"/>
              </w:rPr>
              <w:t>Додаток 1</w:t>
            </w:r>
          </w:p>
          <w:p w:rsidR="00263C9A" w:rsidRPr="001B4B41" w:rsidRDefault="00263C9A" w:rsidP="00CF2C09">
            <w:pPr>
              <w:pStyle w:val="4"/>
              <w:tabs>
                <w:tab w:val="left" w:pos="12600"/>
              </w:tabs>
              <w:spacing w:before="0" w:after="0"/>
              <w:rPr>
                <w:sz w:val="18"/>
                <w:szCs w:val="18"/>
              </w:rPr>
            </w:pPr>
            <w:r w:rsidRPr="001B4B41">
              <w:rPr>
                <w:sz w:val="18"/>
                <w:szCs w:val="18"/>
              </w:rPr>
              <w:t>до наказу Міністерства охорони</w:t>
            </w:r>
          </w:p>
          <w:p w:rsidR="00263C9A" w:rsidRPr="001B4B41" w:rsidRDefault="00263C9A" w:rsidP="00CF2C09">
            <w:pPr>
              <w:pStyle w:val="4"/>
              <w:tabs>
                <w:tab w:val="left" w:pos="12600"/>
              </w:tabs>
              <w:spacing w:before="0" w:after="0"/>
              <w:rPr>
                <w:sz w:val="18"/>
                <w:szCs w:val="18"/>
              </w:rPr>
            </w:pPr>
            <w:r w:rsidRPr="001B4B41">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263C9A" w:rsidRPr="00CE433C" w:rsidRDefault="00263C9A" w:rsidP="00CF2C09">
            <w:pPr>
              <w:pStyle w:val="4"/>
              <w:tabs>
                <w:tab w:val="left" w:pos="12600"/>
              </w:tabs>
              <w:spacing w:before="0" w:after="0"/>
              <w:rPr>
                <w:rFonts w:cs="Arial"/>
                <w:sz w:val="18"/>
                <w:szCs w:val="18"/>
              </w:rPr>
            </w:pPr>
            <w:r w:rsidRPr="001B4B41">
              <w:rPr>
                <w:bCs w:val="0"/>
                <w:iCs/>
                <w:sz w:val="18"/>
                <w:szCs w:val="18"/>
                <w:u w:val="single"/>
              </w:rPr>
              <w:t xml:space="preserve">від </w:t>
            </w:r>
            <w:r>
              <w:rPr>
                <w:bCs w:val="0"/>
                <w:iCs/>
                <w:sz w:val="18"/>
                <w:szCs w:val="18"/>
                <w:u w:val="single"/>
              </w:rPr>
              <w:t>03 серпня 2023 року</w:t>
            </w:r>
            <w:r w:rsidRPr="001B4B41">
              <w:rPr>
                <w:bCs w:val="0"/>
                <w:iCs/>
                <w:sz w:val="18"/>
                <w:szCs w:val="18"/>
                <w:u w:val="single"/>
              </w:rPr>
              <w:t xml:space="preserve"> №</w:t>
            </w:r>
            <w:r>
              <w:rPr>
                <w:bCs w:val="0"/>
                <w:iCs/>
                <w:sz w:val="18"/>
                <w:szCs w:val="18"/>
                <w:u w:val="single"/>
              </w:rPr>
              <w:t xml:space="preserve"> 1397</w:t>
            </w:r>
          </w:p>
        </w:tc>
      </w:tr>
    </w:tbl>
    <w:p w:rsidR="00263C9A" w:rsidRPr="00CE433C" w:rsidRDefault="00263C9A" w:rsidP="00263C9A">
      <w:pPr>
        <w:tabs>
          <w:tab w:val="left" w:pos="12600"/>
        </w:tabs>
        <w:jc w:val="center"/>
        <w:rPr>
          <w:rFonts w:ascii="Arial" w:hAnsi="Arial" w:cs="Arial"/>
          <w:b/>
          <w:sz w:val="18"/>
          <w:szCs w:val="18"/>
          <w:lang w:val="en-US"/>
        </w:rPr>
      </w:pPr>
    </w:p>
    <w:tbl>
      <w:tblPr>
        <w:tblW w:w="4253" w:type="dxa"/>
        <w:tblInd w:w="11448" w:type="dxa"/>
        <w:tblLayout w:type="fixed"/>
        <w:tblLook w:val="04A0" w:firstRow="1" w:lastRow="0" w:firstColumn="1" w:lastColumn="0" w:noHBand="0" w:noVBand="1"/>
      </w:tblPr>
      <w:tblGrid>
        <w:gridCol w:w="4253"/>
      </w:tblGrid>
      <w:tr w:rsidR="00263C9A" w:rsidRPr="00CE433C" w:rsidTr="004321E0">
        <w:tc>
          <w:tcPr>
            <w:tcW w:w="4253" w:type="dxa"/>
            <w:hideMark/>
          </w:tcPr>
          <w:p w:rsidR="00263C9A" w:rsidRPr="00CE433C" w:rsidRDefault="00263C9A" w:rsidP="004321E0">
            <w:pPr>
              <w:pStyle w:val="4"/>
              <w:tabs>
                <w:tab w:val="left" w:pos="12600"/>
              </w:tabs>
              <w:rPr>
                <w:rFonts w:cs="Arial"/>
                <w:sz w:val="18"/>
                <w:szCs w:val="18"/>
              </w:rPr>
            </w:pPr>
          </w:p>
        </w:tc>
      </w:tr>
      <w:tr w:rsidR="00263C9A" w:rsidRPr="00CE433C" w:rsidTr="004321E0">
        <w:tc>
          <w:tcPr>
            <w:tcW w:w="4253" w:type="dxa"/>
            <w:hideMark/>
          </w:tcPr>
          <w:p w:rsidR="00263C9A" w:rsidRPr="00CE433C" w:rsidRDefault="00263C9A" w:rsidP="004321E0">
            <w:pPr>
              <w:pStyle w:val="4"/>
              <w:tabs>
                <w:tab w:val="left" w:pos="12600"/>
              </w:tabs>
              <w:rPr>
                <w:rFonts w:cs="Arial"/>
                <w:sz w:val="18"/>
                <w:szCs w:val="18"/>
              </w:rPr>
            </w:pPr>
          </w:p>
        </w:tc>
      </w:tr>
    </w:tbl>
    <w:p w:rsidR="00263C9A" w:rsidRPr="00CE433C" w:rsidRDefault="00263C9A" w:rsidP="00263C9A">
      <w:pPr>
        <w:tabs>
          <w:tab w:val="left" w:pos="12600"/>
        </w:tabs>
        <w:jc w:val="center"/>
        <w:rPr>
          <w:rFonts w:ascii="Arial" w:hAnsi="Arial" w:cs="Arial"/>
          <w:b/>
          <w:sz w:val="18"/>
          <w:szCs w:val="18"/>
          <w:lang w:val="en-US"/>
        </w:rPr>
      </w:pPr>
    </w:p>
    <w:p w:rsidR="00263C9A" w:rsidRPr="00574516" w:rsidRDefault="00263C9A" w:rsidP="00263C9A">
      <w:pPr>
        <w:keepNext/>
        <w:tabs>
          <w:tab w:val="left" w:pos="12600"/>
        </w:tabs>
        <w:jc w:val="center"/>
        <w:outlineLvl w:val="1"/>
        <w:rPr>
          <w:b/>
          <w:sz w:val="28"/>
          <w:szCs w:val="28"/>
        </w:rPr>
      </w:pPr>
      <w:r w:rsidRPr="00574516">
        <w:rPr>
          <w:b/>
          <w:caps/>
          <w:sz w:val="28"/>
          <w:szCs w:val="28"/>
        </w:rPr>
        <w:t>ПЕРЕЛІК</w:t>
      </w:r>
    </w:p>
    <w:p w:rsidR="00263C9A" w:rsidRDefault="00263C9A" w:rsidP="00263C9A">
      <w:pPr>
        <w:keepNext/>
        <w:jc w:val="center"/>
        <w:outlineLvl w:val="3"/>
        <w:rPr>
          <w:b/>
          <w:caps/>
          <w:sz w:val="28"/>
          <w:szCs w:val="28"/>
        </w:rPr>
      </w:pPr>
      <w:r w:rsidRPr="00574516">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263C9A" w:rsidRPr="00CE433C" w:rsidRDefault="00263C9A" w:rsidP="00263C9A">
      <w:pPr>
        <w:keepNext/>
        <w:jc w:val="center"/>
        <w:outlineLvl w:val="3"/>
        <w:rPr>
          <w:rFonts w:ascii="Arial" w:hAnsi="Arial" w:cs="Arial"/>
          <w:b/>
          <w:caps/>
          <w:sz w:val="26"/>
          <w:szCs w:val="26"/>
        </w:rPr>
      </w:pPr>
    </w:p>
    <w:tbl>
      <w:tblPr>
        <w:tblW w:w="15168"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2126"/>
        <w:gridCol w:w="2127"/>
        <w:gridCol w:w="1275"/>
        <w:gridCol w:w="1276"/>
        <w:gridCol w:w="1559"/>
        <w:gridCol w:w="1276"/>
        <w:gridCol w:w="1418"/>
        <w:gridCol w:w="992"/>
        <w:gridCol w:w="992"/>
        <w:gridCol w:w="1559"/>
      </w:tblGrid>
      <w:tr w:rsidR="00263C9A" w:rsidRPr="00CE433C" w:rsidTr="004321E0">
        <w:trPr>
          <w:tblHeader/>
        </w:trPr>
        <w:tc>
          <w:tcPr>
            <w:tcW w:w="568" w:type="dxa"/>
            <w:tcBorders>
              <w:top w:val="single" w:sz="4" w:space="0" w:color="000000"/>
            </w:tcBorders>
            <w:shd w:val="clear" w:color="auto" w:fill="D9D9D9"/>
            <w:hideMark/>
          </w:tcPr>
          <w:p w:rsidR="00263C9A" w:rsidRPr="00CE433C" w:rsidRDefault="00263C9A" w:rsidP="004321E0">
            <w:pPr>
              <w:tabs>
                <w:tab w:val="left" w:pos="12600"/>
              </w:tabs>
              <w:jc w:val="center"/>
              <w:rPr>
                <w:rFonts w:ascii="Arial" w:hAnsi="Arial" w:cs="Arial"/>
                <w:b/>
                <w:i/>
                <w:sz w:val="16"/>
                <w:szCs w:val="16"/>
              </w:rPr>
            </w:pPr>
          </w:p>
          <w:p w:rsidR="00263C9A" w:rsidRPr="00CE433C" w:rsidRDefault="00263C9A" w:rsidP="004321E0">
            <w:pPr>
              <w:tabs>
                <w:tab w:val="left" w:pos="12600"/>
              </w:tabs>
              <w:jc w:val="center"/>
              <w:rPr>
                <w:rFonts w:ascii="Arial" w:hAnsi="Arial" w:cs="Arial"/>
                <w:b/>
                <w:i/>
                <w:sz w:val="16"/>
                <w:szCs w:val="16"/>
              </w:rPr>
            </w:pPr>
            <w:r w:rsidRPr="00CE433C">
              <w:rPr>
                <w:rFonts w:ascii="Arial" w:hAnsi="Arial" w:cs="Arial"/>
                <w:b/>
                <w:i/>
                <w:sz w:val="16"/>
                <w:szCs w:val="16"/>
              </w:rPr>
              <w:t>№ п/п</w:t>
            </w:r>
          </w:p>
        </w:tc>
        <w:tc>
          <w:tcPr>
            <w:tcW w:w="2126" w:type="dxa"/>
            <w:tcBorders>
              <w:top w:val="single" w:sz="4" w:space="0" w:color="000000"/>
            </w:tcBorders>
            <w:shd w:val="clear" w:color="auto" w:fill="D9D9D9"/>
          </w:tcPr>
          <w:p w:rsidR="00263C9A" w:rsidRPr="00CE433C" w:rsidRDefault="00263C9A" w:rsidP="004321E0">
            <w:pPr>
              <w:tabs>
                <w:tab w:val="left" w:pos="12600"/>
              </w:tabs>
              <w:jc w:val="center"/>
              <w:rPr>
                <w:rFonts w:ascii="Arial" w:hAnsi="Arial" w:cs="Arial"/>
                <w:b/>
                <w:i/>
                <w:sz w:val="16"/>
                <w:szCs w:val="16"/>
              </w:rPr>
            </w:pPr>
            <w:r w:rsidRPr="00CE433C">
              <w:rPr>
                <w:rFonts w:ascii="Arial" w:hAnsi="Arial" w:cs="Arial"/>
                <w:b/>
                <w:i/>
                <w:sz w:val="16"/>
                <w:szCs w:val="16"/>
              </w:rPr>
              <w:t>Назва лікарського засобу</w:t>
            </w:r>
          </w:p>
        </w:tc>
        <w:tc>
          <w:tcPr>
            <w:tcW w:w="2127" w:type="dxa"/>
            <w:tcBorders>
              <w:top w:val="single" w:sz="4" w:space="0" w:color="000000"/>
            </w:tcBorders>
            <w:shd w:val="clear" w:color="auto" w:fill="D9D9D9"/>
          </w:tcPr>
          <w:p w:rsidR="00263C9A" w:rsidRPr="00CE433C" w:rsidRDefault="00263C9A" w:rsidP="004321E0">
            <w:pPr>
              <w:tabs>
                <w:tab w:val="left" w:pos="12600"/>
              </w:tabs>
              <w:jc w:val="center"/>
              <w:rPr>
                <w:rFonts w:ascii="Arial" w:hAnsi="Arial" w:cs="Arial"/>
                <w:b/>
                <w:i/>
                <w:sz w:val="16"/>
                <w:szCs w:val="16"/>
              </w:rPr>
            </w:pPr>
            <w:r w:rsidRPr="00CE433C">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263C9A" w:rsidRPr="00CE433C" w:rsidRDefault="00263C9A" w:rsidP="004321E0">
            <w:pPr>
              <w:tabs>
                <w:tab w:val="left" w:pos="12600"/>
              </w:tabs>
              <w:jc w:val="center"/>
              <w:rPr>
                <w:rFonts w:ascii="Arial" w:hAnsi="Arial" w:cs="Arial"/>
                <w:b/>
                <w:i/>
                <w:sz w:val="16"/>
                <w:szCs w:val="16"/>
              </w:rPr>
            </w:pPr>
            <w:r w:rsidRPr="00CE433C">
              <w:rPr>
                <w:rFonts w:ascii="Arial" w:hAnsi="Arial" w:cs="Arial"/>
                <w:b/>
                <w:i/>
                <w:sz w:val="16"/>
                <w:szCs w:val="16"/>
              </w:rPr>
              <w:t>Заявник</w:t>
            </w:r>
          </w:p>
        </w:tc>
        <w:tc>
          <w:tcPr>
            <w:tcW w:w="1276" w:type="dxa"/>
            <w:tcBorders>
              <w:top w:val="single" w:sz="4" w:space="0" w:color="000000"/>
            </w:tcBorders>
            <w:shd w:val="clear" w:color="auto" w:fill="D9D9D9"/>
          </w:tcPr>
          <w:p w:rsidR="00263C9A" w:rsidRPr="00CE433C" w:rsidRDefault="00263C9A" w:rsidP="004321E0">
            <w:pPr>
              <w:tabs>
                <w:tab w:val="left" w:pos="12600"/>
              </w:tabs>
              <w:jc w:val="center"/>
              <w:rPr>
                <w:rFonts w:ascii="Arial" w:hAnsi="Arial" w:cs="Arial"/>
                <w:b/>
                <w:i/>
                <w:sz w:val="16"/>
                <w:szCs w:val="16"/>
              </w:rPr>
            </w:pPr>
            <w:r w:rsidRPr="00CE433C">
              <w:rPr>
                <w:rFonts w:ascii="Arial" w:hAnsi="Arial" w:cs="Arial"/>
                <w:b/>
                <w:i/>
                <w:sz w:val="16"/>
                <w:szCs w:val="16"/>
              </w:rPr>
              <w:t>Країна заявника</w:t>
            </w:r>
          </w:p>
        </w:tc>
        <w:tc>
          <w:tcPr>
            <w:tcW w:w="1559" w:type="dxa"/>
            <w:tcBorders>
              <w:top w:val="single" w:sz="4" w:space="0" w:color="000000"/>
            </w:tcBorders>
            <w:shd w:val="clear" w:color="auto" w:fill="D9D9D9"/>
          </w:tcPr>
          <w:p w:rsidR="00263C9A" w:rsidRPr="00CE433C" w:rsidRDefault="00263C9A" w:rsidP="004321E0">
            <w:pPr>
              <w:tabs>
                <w:tab w:val="left" w:pos="12600"/>
              </w:tabs>
              <w:jc w:val="center"/>
              <w:rPr>
                <w:rFonts w:ascii="Arial" w:hAnsi="Arial" w:cs="Arial"/>
                <w:b/>
                <w:i/>
                <w:sz w:val="16"/>
                <w:szCs w:val="16"/>
              </w:rPr>
            </w:pPr>
            <w:r w:rsidRPr="00CE433C">
              <w:rPr>
                <w:rFonts w:ascii="Arial" w:hAnsi="Arial" w:cs="Arial"/>
                <w:b/>
                <w:i/>
                <w:sz w:val="16"/>
                <w:szCs w:val="16"/>
              </w:rPr>
              <w:t>Виробник</w:t>
            </w:r>
          </w:p>
        </w:tc>
        <w:tc>
          <w:tcPr>
            <w:tcW w:w="1276" w:type="dxa"/>
            <w:tcBorders>
              <w:top w:val="single" w:sz="4" w:space="0" w:color="000000"/>
            </w:tcBorders>
            <w:shd w:val="clear" w:color="auto" w:fill="D9D9D9"/>
          </w:tcPr>
          <w:p w:rsidR="00263C9A" w:rsidRPr="00CE433C" w:rsidRDefault="00263C9A" w:rsidP="004321E0">
            <w:pPr>
              <w:tabs>
                <w:tab w:val="left" w:pos="12600"/>
              </w:tabs>
              <w:jc w:val="center"/>
              <w:rPr>
                <w:rFonts w:ascii="Arial" w:hAnsi="Arial" w:cs="Arial"/>
                <w:b/>
                <w:i/>
                <w:sz w:val="16"/>
                <w:szCs w:val="16"/>
              </w:rPr>
            </w:pPr>
            <w:r w:rsidRPr="00CE433C">
              <w:rPr>
                <w:rFonts w:ascii="Arial" w:hAnsi="Arial" w:cs="Arial"/>
                <w:b/>
                <w:i/>
                <w:sz w:val="16"/>
                <w:szCs w:val="16"/>
              </w:rPr>
              <w:t>Країна виробника</w:t>
            </w:r>
          </w:p>
        </w:tc>
        <w:tc>
          <w:tcPr>
            <w:tcW w:w="1418" w:type="dxa"/>
            <w:tcBorders>
              <w:top w:val="single" w:sz="4" w:space="0" w:color="000000"/>
            </w:tcBorders>
            <w:shd w:val="clear" w:color="auto" w:fill="D9D9D9"/>
          </w:tcPr>
          <w:p w:rsidR="00263C9A" w:rsidRPr="00CE433C" w:rsidRDefault="00263C9A" w:rsidP="004321E0">
            <w:pPr>
              <w:tabs>
                <w:tab w:val="left" w:pos="12600"/>
              </w:tabs>
              <w:jc w:val="center"/>
              <w:rPr>
                <w:rFonts w:ascii="Arial" w:hAnsi="Arial" w:cs="Arial"/>
                <w:b/>
                <w:i/>
                <w:sz w:val="16"/>
                <w:szCs w:val="16"/>
              </w:rPr>
            </w:pPr>
            <w:r w:rsidRPr="00CE433C">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263C9A" w:rsidRPr="00CE433C" w:rsidRDefault="00263C9A" w:rsidP="004321E0">
            <w:pPr>
              <w:tabs>
                <w:tab w:val="left" w:pos="12600"/>
              </w:tabs>
              <w:jc w:val="center"/>
              <w:rPr>
                <w:rFonts w:ascii="Arial" w:hAnsi="Arial" w:cs="Arial"/>
                <w:b/>
                <w:i/>
                <w:sz w:val="16"/>
                <w:szCs w:val="16"/>
              </w:rPr>
            </w:pPr>
            <w:r w:rsidRPr="00CE433C">
              <w:rPr>
                <w:rFonts w:ascii="Arial" w:hAnsi="Arial" w:cs="Arial"/>
                <w:b/>
                <w:i/>
                <w:sz w:val="16"/>
                <w:szCs w:val="16"/>
              </w:rPr>
              <w:t>Умови відпуску</w:t>
            </w:r>
          </w:p>
        </w:tc>
        <w:tc>
          <w:tcPr>
            <w:tcW w:w="992" w:type="dxa"/>
            <w:tcBorders>
              <w:top w:val="single" w:sz="4" w:space="0" w:color="000000"/>
            </w:tcBorders>
            <w:shd w:val="clear" w:color="auto" w:fill="D9D9D9"/>
          </w:tcPr>
          <w:p w:rsidR="00263C9A" w:rsidRPr="00CE433C" w:rsidRDefault="00263C9A" w:rsidP="004321E0">
            <w:pPr>
              <w:tabs>
                <w:tab w:val="left" w:pos="12600"/>
              </w:tabs>
              <w:jc w:val="center"/>
              <w:rPr>
                <w:rFonts w:ascii="Arial" w:hAnsi="Arial" w:cs="Arial"/>
                <w:b/>
                <w:i/>
                <w:sz w:val="16"/>
                <w:szCs w:val="16"/>
              </w:rPr>
            </w:pPr>
            <w:r w:rsidRPr="00CE433C">
              <w:rPr>
                <w:rFonts w:ascii="Arial" w:hAnsi="Arial" w:cs="Arial"/>
                <w:b/>
                <w:i/>
                <w:sz w:val="16"/>
                <w:szCs w:val="16"/>
              </w:rPr>
              <w:t>Рекламування</w:t>
            </w:r>
          </w:p>
        </w:tc>
        <w:tc>
          <w:tcPr>
            <w:tcW w:w="1559" w:type="dxa"/>
            <w:tcBorders>
              <w:top w:val="single" w:sz="4" w:space="0" w:color="000000"/>
            </w:tcBorders>
            <w:shd w:val="clear" w:color="auto" w:fill="D9D9D9"/>
          </w:tcPr>
          <w:p w:rsidR="00263C9A" w:rsidRPr="00CE433C" w:rsidRDefault="00263C9A" w:rsidP="004321E0">
            <w:pPr>
              <w:tabs>
                <w:tab w:val="left" w:pos="12600"/>
              </w:tabs>
              <w:jc w:val="center"/>
              <w:rPr>
                <w:rFonts w:ascii="Arial" w:hAnsi="Arial" w:cs="Arial"/>
                <w:b/>
                <w:i/>
                <w:sz w:val="16"/>
                <w:szCs w:val="16"/>
              </w:rPr>
            </w:pPr>
            <w:r w:rsidRPr="00CE433C">
              <w:rPr>
                <w:rFonts w:ascii="Arial" w:hAnsi="Arial" w:cs="Arial"/>
                <w:b/>
                <w:i/>
                <w:sz w:val="16"/>
                <w:szCs w:val="16"/>
              </w:rPr>
              <w:t>Номер реєстраційного посвідчення</w:t>
            </w:r>
          </w:p>
        </w:tc>
      </w:tr>
      <w:tr w:rsidR="00263C9A" w:rsidRPr="00CE433C" w:rsidTr="004321E0">
        <w:tc>
          <w:tcPr>
            <w:tcW w:w="568" w:type="dxa"/>
            <w:tcBorders>
              <w:top w:val="single" w:sz="4" w:space="0" w:color="auto"/>
              <w:left w:val="single" w:sz="4" w:space="0" w:color="000000"/>
              <w:bottom w:val="single" w:sz="4" w:space="0" w:color="auto"/>
              <w:right w:val="single" w:sz="4" w:space="0" w:color="auto"/>
            </w:tcBorders>
            <w:shd w:val="clear" w:color="auto" w:fill="FFFFFF"/>
          </w:tcPr>
          <w:p w:rsidR="00263C9A" w:rsidRPr="00CE433C" w:rsidRDefault="00263C9A" w:rsidP="00263C9A">
            <w:pPr>
              <w:pStyle w:val="110"/>
              <w:numPr>
                <w:ilvl w:val="0"/>
                <w:numId w:val="4"/>
              </w:numPr>
              <w:tabs>
                <w:tab w:val="left" w:pos="12600"/>
              </w:tabs>
              <w:spacing w:line="276" w:lineRule="auto"/>
              <w:jc w:val="center"/>
              <w:rPr>
                <w:rFonts w:ascii="Arial" w:hAnsi="Arial" w:cs="Arial"/>
                <w:b/>
                <w:sz w:val="16"/>
                <w:szCs w:val="18"/>
              </w:rPr>
            </w:pPr>
          </w:p>
        </w:tc>
        <w:tc>
          <w:tcPr>
            <w:tcW w:w="2126" w:type="dxa"/>
            <w:tcBorders>
              <w:top w:val="single" w:sz="4" w:space="0" w:color="auto"/>
              <w:left w:val="single" w:sz="4" w:space="0" w:color="000000"/>
              <w:bottom w:val="single" w:sz="4" w:space="0" w:color="auto"/>
              <w:right w:val="single" w:sz="4" w:space="0" w:color="auto"/>
            </w:tcBorders>
            <w:shd w:val="clear" w:color="auto" w:fill="FFFFFF"/>
          </w:tcPr>
          <w:p w:rsidR="00263C9A" w:rsidRPr="00CE433C" w:rsidRDefault="00263C9A" w:rsidP="004321E0">
            <w:pPr>
              <w:pStyle w:val="110"/>
              <w:tabs>
                <w:tab w:val="left" w:pos="12600"/>
              </w:tabs>
              <w:rPr>
                <w:rFonts w:ascii="Arial" w:hAnsi="Arial" w:cs="Arial"/>
                <w:b/>
                <w:i/>
                <w:sz w:val="16"/>
                <w:szCs w:val="18"/>
              </w:rPr>
            </w:pPr>
            <w:r w:rsidRPr="00CE433C">
              <w:rPr>
                <w:rFonts w:ascii="Arial" w:hAnsi="Arial" w:cs="Arial"/>
                <w:b/>
                <w:sz w:val="16"/>
                <w:szCs w:val="18"/>
              </w:rPr>
              <w:t>ФТАЛІЛСУЛЬФАТІАЗОЛ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63C9A" w:rsidRPr="00CE433C" w:rsidRDefault="00263C9A" w:rsidP="004321E0">
            <w:pPr>
              <w:pStyle w:val="110"/>
              <w:tabs>
                <w:tab w:val="left" w:pos="12600"/>
              </w:tabs>
              <w:rPr>
                <w:rFonts w:ascii="Arial" w:hAnsi="Arial" w:cs="Arial"/>
                <w:sz w:val="16"/>
                <w:szCs w:val="18"/>
              </w:rPr>
            </w:pPr>
            <w:r w:rsidRPr="00CE433C">
              <w:rPr>
                <w:rFonts w:ascii="Arial" w:hAnsi="Arial" w:cs="Arial"/>
                <w:sz w:val="16"/>
                <w:szCs w:val="18"/>
              </w:rPr>
              <w:t>кристалічний порошок (субстанція) у мішках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3C9A" w:rsidRPr="00CE433C" w:rsidRDefault="00263C9A" w:rsidP="004321E0">
            <w:pPr>
              <w:pStyle w:val="110"/>
              <w:tabs>
                <w:tab w:val="left" w:pos="12600"/>
              </w:tabs>
              <w:jc w:val="center"/>
              <w:rPr>
                <w:rFonts w:ascii="Arial" w:hAnsi="Arial" w:cs="Arial"/>
                <w:sz w:val="16"/>
                <w:szCs w:val="18"/>
              </w:rPr>
            </w:pPr>
            <w:r w:rsidRPr="00CE433C">
              <w:rPr>
                <w:rFonts w:ascii="Arial" w:hAnsi="Arial" w:cs="Arial"/>
                <w:sz w:val="16"/>
                <w:szCs w:val="18"/>
              </w:rPr>
              <w:t>Товариство з обмеженою відповідальністю "ФАРМХІМ"</w:t>
            </w:r>
            <w:r w:rsidRPr="00CE433C">
              <w:rPr>
                <w:rFonts w:ascii="Arial" w:hAnsi="Arial" w:cs="Arial"/>
                <w:sz w:val="16"/>
                <w:szCs w:val="18"/>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3C9A" w:rsidRPr="00CE433C" w:rsidRDefault="00263C9A" w:rsidP="004321E0">
            <w:pPr>
              <w:pStyle w:val="110"/>
              <w:tabs>
                <w:tab w:val="left" w:pos="12600"/>
              </w:tabs>
              <w:jc w:val="center"/>
              <w:rPr>
                <w:rFonts w:ascii="Arial" w:hAnsi="Arial" w:cs="Arial"/>
                <w:sz w:val="16"/>
                <w:szCs w:val="18"/>
              </w:rPr>
            </w:pPr>
            <w:r w:rsidRPr="00CE433C">
              <w:rPr>
                <w:rFonts w:ascii="Arial" w:hAnsi="Arial" w:cs="Arial"/>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3C9A" w:rsidRPr="00CE433C" w:rsidRDefault="00263C9A" w:rsidP="004321E0">
            <w:pPr>
              <w:pStyle w:val="110"/>
              <w:tabs>
                <w:tab w:val="left" w:pos="12600"/>
              </w:tabs>
              <w:jc w:val="center"/>
              <w:rPr>
                <w:rFonts w:ascii="Arial" w:hAnsi="Arial" w:cs="Arial"/>
                <w:sz w:val="16"/>
                <w:szCs w:val="18"/>
              </w:rPr>
            </w:pPr>
            <w:r w:rsidRPr="00CE433C">
              <w:rPr>
                <w:rFonts w:ascii="Arial" w:hAnsi="Arial" w:cs="Arial"/>
                <w:sz w:val="16"/>
                <w:szCs w:val="18"/>
              </w:rPr>
              <w:t>Товариство з обмеженою відповідальністю "ФАРМХІМ"</w:t>
            </w:r>
            <w:r w:rsidRPr="00CE433C">
              <w:rPr>
                <w:rFonts w:ascii="Arial" w:hAnsi="Arial" w:cs="Arial"/>
                <w:sz w:val="16"/>
                <w:szCs w:val="18"/>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63C9A" w:rsidRPr="00CE433C" w:rsidRDefault="00263C9A" w:rsidP="004321E0">
            <w:pPr>
              <w:pStyle w:val="110"/>
              <w:tabs>
                <w:tab w:val="left" w:pos="12600"/>
              </w:tabs>
              <w:jc w:val="center"/>
              <w:rPr>
                <w:rFonts w:ascii="Arial" w:hAnsi="Arial" w:cs="Arial"/>
                <w:sz w:val="16"/>
                <w:szCs w:val="18"/>
              </w:rPr>
            </w:pPr>
            <w:r w:rsidRPr="00CE433C">
              <w:rPr>
                <w:rFonts w:ascii="Arial" w:hAnsi="Arial" w:cs="Arial"/>
                <w:sz w:val="16"/>
                <w:szCs w:val="18"/>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63C9A" w:rsidRPr="00CE433C" w:rsidRDefault="00263C9A" w:rsidP="004321E0">
            <w:pPr>
              <w:pStyle w:val="110"/>
              <w:tabs>
                <w:tab w:val="left" w:pos="12600"/>
              </w:tabs>
              <w:jc w:val="center"/>
              <w:rPr>
                <w:rFonts w:ascii="Arial" w:hAnsi="Arial" w:cs="Arial"/>
                <w:sz w:val="16"/>
                <w:szCs w:val="18"/>
              </w:rPr>
            </w:pPr>
            <w:r w:rsidRPr="00CE433C">
              <w:rPr>
                <w:rFonts w:ascii="Arial" w:hAnsi="Arial" w:cs="Arial"/>
                <w:sz w:val="16"/>
                <w:szCs w:val="18"/>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63C9A" w:rsidRPr="00CE433C" w:rsidRDefault="00263C9A" w:rsidP="004321E0">
            <w:pPr>
              <w:pStyle w:val="110"/>
              <w:tabs>
                <w:tab w:val="left" w:pos="12600"/>
              </w:tabs>
              <w:ind w:left="-185"/>
              <w:jc w:val="center"/>
              <w:rPr>
                <w:rFonts w:ascii="Arial" w:hAnsi="Arial" w:cs="Arial"/>
                <w:b/>
                <w:i/>
                <w:sz w:val="16"/>
                <w:szCs w:val="18"/>
              </w:rPr>
            </w:pPr>
            <w:r w:rsidRPr="00CE433C">
              <w:rPr>
                <w:rFonts w:ascii="Arial" w:hAnsi="Arial" w:cs="Arial"/>
                <w:i/>
                <w:sz w:val="16"/>
                <w:szCs w:val="18"/>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63C9A" w:rsidRPr="00CE433C" w:rsidRDefault="00263C9A" w:rsidP="004321E0">
            <w:pPr>
              <w:pStyle w:val="110"/>
              <w:tabs>
                <w:tab w:val="left" w:pos="12600"/>
              </w:tabs>
              <w:jc w:val="center"/>
              <w:rPr>
                <w:sz w:val="16"/>
                <w:szCs w:val="18"/>
              </w:rPr>
            </w:pPr>
            <w:r w:rsidRPr="00CE433C">
              <w:rPr>
                <w:rFonts w:ascii="Arial" w:hAnsi="Arial" w:cs="Arial"/>
                <w:i/>
                <w:sz w:val="16"/>
                <w:szCs w:val="18"/>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63C9A" w:rsidRPr="00CE433C" w:rsidRDefault="00263C9A" w:rsidP="004321E0">
            <w:pPr>
              <w:pStyle w:val="110"/>
              <w:tabs>
                <w:tab w:val="left" w:pos="12600"/>
              </w:tabs>
              <w:jc w:val="center"/>
              <w:rPr>
                <w:rFonts w:ascii="Arial" w:hAnsi="Arial" w:cs="Arial"/>
                <w:sz w:val="16"/>
                <w:szCs w:val="18"/>
              </w:rPr>
            </w:pPr>
            <w:r w:rsidRPr="00CE433C">
              <w:rPr>
                <w:rFonts w:ascii="Arial" w:hAnsi="Arial" w:cs="Arial"/>
                <w:sz w:val="16"/>
                <w:szCs w:val="18"/>
              </w:rPr>
              <w:t>UA/20144/01/01</w:t>
            </w:r>
          </w:p>
          <w:p w:rsidR="00263C9A" w:rsidRPr="00CE433C" w:rsidRDefault="00263C9A" w:rsidP="004321E0">
            <w:pPr>
              <w:pStyle w:val="110"/>
              <w:tabs>
                <w:tab w:val="left" w:pos="12600"/>
              </w:tabs>
              <w:jc w:val="center"/>
              <w:rPr>
                <w:rFonts w:ascii="Arial" w:hAnsi="Arial" w:cs="Arial"/>
                <w:sz w:val="16"/>
                <w:szCs w:val="18"/>
              </w:rPr>
            </w:pPr>
          </w:p>
        </w:tc>
      </w:tr>
    </w:tbl>
    <w:p w:rsidR="00263C9A" w:rsidRPr="00CE433C" w:rsidRDefault="00263C9A" w:rsidP="00263C9A">
      <w:pPr>
        <w:pStyle w:val="11"/>
      </w:pPr>
    </w:p>
    <w:p w:rsidR="00263C9A" w:rsidRDefault="00263C9A" w:rsidP="00263C9A">
      <w:pPr>
        <w:pStyle w:val="11"/>
      </w:pPr>
    </w:p>
    <w:p w:rsidR="00263C9A" w:rsidRDefault="00263C9A" w:rsidP="00263C9A">
      <w:pPr>
        <w:pStyle w:val="11"/>
      </w:pPr>
    </w:p>
    <w:p w:rsidR="00263C9A" w:rsidRPr="002A7395" w:rsidRDefault="00263C9A" w:rsidP="00263C9A">
      <w:pPr>
        <w:pStyle w:val="11"/>
        <w:rPr>
          <w:b/>
          <w:sz w:val="28"/>
          <w:szCs w:val="28"/>
        </w:rPr>
      </w:pPr>
      <w:r w:rsidRPr="002A7395">
        <w:rPr>
          <w:b/>
          <w:sz w:val="28"/>
          <w:szCs w:val="28"/>
        </w:rPr>
        <w:t xml:space="preserve">Начальник </w:t>
      </w:r>
    </w:p>
    <w:p w:rsidR="00263C9A" w:rsidRPr="002A7395" w:rsidRDefault="00263C9A" w:rsidP="00263C9A">
      <w:pPr>
        <w:pStyle w:val="11"/>
        <w:rPr>
          <w:b/>
          <w:sz w:val="28"/>
          <w:szCs w:val="28"/>
        </w:rPr>
      </w:pPr>
      <w:r w:rsidRPr="002A7395">
        <w:rPr>
          <w:b/>
          <w:sz w:val="28"/>
          <w:szCs w:val="28"/>
        </w:rPr>
        <w:t xml:space="preserve">Фармацевтичного управління                                      </w:t>
      </w:r>
      <w:r>
        <w:rPr>
          <w:b/>
          <w:sz w:val="28"/>
          <w:szCs w:val="28"/>
        </w:rPr>
        <w:t xml:space="preserve">                                                           </w:t>
      </w:r>
      <w:r w:rsidRPr="002A7395">
        <w:rPr>
          <w:b/>
          <w:sz w:val="28"/>
          <w:szCs w:val="28"/>
        </w:rPr>
        <w:t xml:space="preserve">            Тарас ЛЯСКОВСЬКИЙ</w:t>
      </w:r>
    </w:p>
    <w:p w:rsidR="00263C9A" w:rsidRPr="00CE433C" w:rsidRDefault="00263C9A" w:rsidP="00263C9A">
      <w:pPr>
        <w:pStyle w:val="11"/>
      </w:pPr>
    </w:p>
    <w:p w:rsidR="00263C9A" w:rsidRPr="00CE433C" w:rsidRDefault="00263C9A" w:rsidP="00263C9A">
      <w:pPr>
        <w:pStyle w:val="11"/>
      </w:pPr>
    </w:p>
    <w:p w:rsidR="00263C9A" w:rsidRPr="00CE433C" w:rsidRDefault="00263C9A" w:rsidP="00263C9A">
      <w:pPr>
        <w:tabs>
          <w:tab w:val="left" w:pos="1985"/>
        </w:tabs>
      </w:pPr>
    </w:p>
    <w:p w:rsidR="00263C9A" w:rsidRDefault="00263C9A" w:rsidP="00FC73F7">
      <w:pPr>
        <w:pStyle w:val="31"/>
        <w:spacing w:after="0"/>
        <w:ind w:left="0"/>
        <w:rPr>
          <w:b/>
          <w:sz w:val="28"/>
          <w:szCs w:val="28"/>
          <w:lang w:val="uk-UA"/>
        </w:rPr>
        <w:sectPr w:rsidR="00263C9A" w:rsidSect="004321E0">
          <w:headerReference w:type="default" r:id="rId13"/>
          <w:footerReference w:type="default" r:id="rId14"/>
          <w:pgSz w:w="16838" w:h="11906" w:orient="landscape"/>
          <w:pgMar w:top="907" w:right="1134" w:bottom="907" w:left="1077"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E156B9" w:rsidRPr="00CE433C" w:rsidTr="004321E0">
        <w:tc>
          <w:tcPr>
            <w:tcW w:w="3828" w:type="dxa"/>
          </w:tcPr>
          <w:p w:rsidR="00E156B9" w:rsidRPr="00CE433C" w:rsidRDefault="00E156B9" w:rsidP="00533747">
            <w:pPr>
              <w:keepNext/>
              <w:tabs>
                <w:tab w:val="left" w:pos="12600"/>
              </w:tabs>
              <w:outlineLvl w:val="3"/>
              <w:rPr>
                <w:rFonts w:ascii="Arial" w:hAnsi="Arial" w:cs="Arial"/>
                <w:b/>
                <w:sz w:val="18"/>
                <w:szCs w:val="18"/>
              </w:rPr>
            </w:pPr>
          </w:p>
          <w:p w:rsidR="00E156B9" w:rsidRPr="008C1EC6" w:rsidRDefault="00E156B9" w:rsidP="00533747">
            <w:pPr>
              <w:pStyle w:val="4"/>
              <w:tabs>
                <w:tab w:val="left" w:pos="12600"/>
              </w:tabs>
              <w:spacing w:before="0" w:after="0"/>
              <w:rPr>
                <w:bCs w:val="0"/>
                <w:iCs/>
                <w:sz w:val="18"/>
                <w:szCs w:val="18"/>
              </w:rPr>
            </w:pPr>
            <w:r w:rsidRPr="008C1EC6">
              <w:rPr>
                <w:bCs w:val="0"/>
                <w:iCs/>
                <w:sz w:val="18"/>
                <w:szCs w:val="18"/>
              </w:rPr>
              <w:t>Додаток 2</w:t>
            </w:r>
          </w:p>
          <w:p w:rsidR="00E156B9" w:rsidRPr="008C1EC6" w:rsidRDefault="00E156B9" w:rsidP="00533747">
            <w:pPr>
              <w:pStyle w:val="4"/>
              <w:tabs>
                <w:tab w:val="left" w:pos="12600"/>
              </w:tabs>
              <w:spacing w:before="0" w:after="0"/>
              <w:rPr>
                <w:bCs w:val="0"/>
                <w:iCs/>
                <w:sz w:val="18"/>
                <w:szCs w:val="18"/>
              </w:rPr>
            </w:pPr>
            <w:r w:rsidRPr="008C1EC6">
              <w:rPr>
                <w:bCs w:val="0"/>
                <w:iCs/>
                <w:sz w:val="18"/>
                <w:szCs w:val="18"/>
              </w:rPr>
              <w:t>до наказу Міністерства охорони</w:t>
            </w:r>
          </w:p>
          <w:p w:rsidR="00E156B9" w:rsidRPr="008C1EC6" w:rsidRDefault="00E156B9" w:rsidP="00533747">
            <w:pPr>
              <w:pStyle w:val="4"/>
              <w:tabs>
                <w:tab w:val="left" w:pos="12600"/>
              </w:tabs>
              <w:spacing w:before="0" w:after="0"/>
              <w:rPr>
                <w:bCs w:val="0"/>
                <w:iCs/>
                <w:sz w:val="18"/>
                <w:szCs w:val="18"/>
              </w:rPr>
            </w:pPr>
            <w:r w:rsidRPr="008C1EC6">
              <w:rPr>
                <w:bCs w:val="0"/>
                <w:iCs/>
                <w:sz w:val="18"/>
                <w:szCs w:val="18"/>
              </w:rPr>
              <w:t>здоров’я України «</w:t>
            </w:r>
            <w:r w:rsidRPr="001D493F">
              <w:rPr>
                <w:bCs w:val="0"/>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8C1EC6">
              <w:rPr>
                <w:bCs w:val="0"/>
                <w:iCs/>
                <w:sz w:val="18"/>
                <w:szCs w:val="18"/>
              </w:rPr>
              <w:t>»</w:t>
            </w:r>
          </w:p>
          <w:p w:rsidR="00E156B9" w:rsidRPr="00DF67BB" w:rsidRDefault="00E156B9" w:rsidP="00533747">
            <w:pPr>
              <w:tabs>
                <w:tab w:val="left" w:pos="12600"/>
              </w:tabs>
              <w:rPr>
                <w:rFonts w:ascii="Arial" w:hAnsi="Arial" w:cs="Arial"/>
                <w:b/>
                <w:sz w:val="18"/>
                <w:szCs w:val="18"/>
                <w:u w:val="single"/>
              </w:rPr>
            </w:pPr>
            <w:r w:rsidRPr="00DF67BB">
              <w:rPr>
                <w:b/>
                <w:bCs/>
                <w:iCs/>
                <w:sz w:val="18"/>
                <w:szCs w:val="18"/>
                <w:u w:val="single"/>
              </w:rPr>
              <w:t>від 03 серпня 2023 року № 1397</w:t>
            </w:r>
          </w:p>
        </w:tc>
      </w:tr>
    </w:tbl>
    <w:p w:rsidR="00E156B9" w:rsidRPr="00CE433C" w:rsidRDefault="00E156B9" w:rsidP="00E156B9">
      <w:pPr>
        <w:tabs>
          <w:tab w:val="left" w:pos="12600"/>
        </w:tabs>
        <w:jc w:val="center"/>
        <w:rPr>
          <w:rFonts w:ascii="Arial" w:hAnsi="Arial" w:cs="Arial"/>
          <w:sz w:val="18"/>
          <w:szCs w:val="18"/>
          <w:u w:val="single"/>
        </w:rPr>
      </w:pPr>
    </w:p>
    <w:p w:rsidR="00E156B9" w:rsidRPr="00CE433C" w:rsidRDefault="00E156B9" w:rsidP="00E156B9">
      <w:pPr>
        <w:tabs>
          <w:tab w:val="left" w:pos="12600"/>
        </w:tabs>
        <w:jc w:val="center"/>
        <w:rPr>
          <w:rFonts w:ascii="Arial" w:hAnsi="Arial" w:cs="Arial"/>
          <w:sz w:val="18"/>
          <w:szCs w:val="18"/>
        </w:rPr>
      </w:pPr>
    </w:p>
    <w:p w:rsidR="00E156B9" w:rsidRPr="005E01DE" w:rsidRDefault="00E156B9" w:rsidP="00E156B9">
      <w:pPr>
        <w:keepNext/>
        <w:tabs>
          <w:tab w:val="left" w:pos="12600"/>
        </w:tabs>
        <w:jc w:val="center"/>
        <w:outlineLvl w:val="1"/>
        <w:rPr>
          <w:b/>
          <w:caps/>
          <w:sz w:val="28"/>
          <w:szCs w:val="28"/>
        </w:rPr>
      </w:pPr>
      <w:r w:rsidRPr="005E01DE">
        <w:rPr>
          <w:b/>
          <w:caps/>
          <w:sz w:val="28"/>
          <w:szCs w:val="28"/>
        </w:rPr>
        <w:t>ПЕРЕЛІК</w:t>
      </w:r>
    </w:p>
    <w:p w:rsidR="00E156B9" w:rsidRDefault="00E156B9" w:rsidP="00E156B9">
      <w:pPr>
        <w:ind w:right="20"/>
        <w:jc w:val="center"/>
        <w:rPr>
          <w:b/>
          <w:caps/>
          <w:sz w:val="28"/>
          <w:szCs w:val="28"/>
        </w:rPr>
      </w:pPr>
      <w:r w:rsidRPr="005E01DE">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E156B9" w:rsidRPr="00CE433C" w:rsidRDefault="00E156B9" w:rsidP="00E156B9">
      <w:pPr>
        <w:ind w:right="20"/>
        <w:rPr>
          <w:rStyle w:val="cs7864ebcf1"/>
          <w:color w:val="auto"/>
        </w:rPr>
      </w:pPr>
    </w:p>
    <w:tbl>
      <w:tblPr>
        <w:tblW w:w="1573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275"/>
        <w:gridCol w:w="1134"/>
        <w:gridCol w:w="1419"/>
        <w:gridCol w:w="1135"/>
        <w:gridCol w:w="3402"/>
        <w:gridCol w:w="1134"/>
        <w:gridCol w:w="992"/>
        <w:gridCol w:w="1559"/>
      </w:tblGrid>
      <w:tr w:rsidR="00E156B9" w:rsidRPr="00CE433C" w:rsidTr="004321E0">
        <w:trPr>
          <w:tblHeader/>
        </w:trPr>
        <w:tc>
          <w:tcPr>
            <w:tcW w:w="568" w:type="dxa"/>
            <w:tcBorders>
              <w:top w:val="single" w:sz="4" w:space="0" w:color="000000"/>
            </w:tcBorders>
            <w:shd w:val="clear" w:color="auto" w:fill="D9D9D9"/>
            <w:hideMark/>
          </w:tcPr>
          <w:p w:rsidR="00E156B9" w:rsidRPr="00CE433C" w:rsidRDefault="00E156B9" w:rsidP="004321E0">
            <w:pPr>
              <w:tabs>
                <w:tab w:val="left" w:pos="12600"/>
              </w:tabs>
              <w:jc w:val="center"/>
              <w:rPr>
                <w:rFonts w:ascii="Arial" w:hAnsi="Arial" w:cs="Arial"/>
                <w:b/>
                <w:i/>
                <w:sz w:val="16"/>
                <w:szCs w:val="16"/>
              </w:rPr>
            </w:pPr>
            <w:r w:rsidRPr="00CE433C">
              <w:rPr>
                <w:rFonts w:ascii="Arial" w:hAnsi="Arial" w:cs="Arial"/>
                <w:b/>
                <w:i/>
                <w:sz w:val="16"/>
                <w:szCs w:val="16"/>
              </w:rPr>
              <w:t>№ п/п</w:t>
            </w:r>
          </w:p>
        </w:tc>
        <w:tc>
          <w:tcPr>
            <w:tcW w:w="1417" w:type="dxa"/>
            <w:tcBorders>
              <w:top w:val="single" w:sz="4" w:space="0" w:color="000000"/>
            </w:tcBorders>
            <w:shd w:val="clear" w:color="auto" w:fill="D9D9D9"/>
          </w:tcPr>
          <w:p w:rsidR="00E156B9" w:rsidRPr="00CE433C" w:rsidRDefault="00E156B9" w:rsidP="004321E0">
            <w:pPr>
              <w:tabs>
                <w:tab w:val="left" w:pos="12600"/>
              </w:tabs>
              <w:jc w:val="center"/>
              <w:rPr>
                <w:rFonts w:ascii="Arial" w:hAnsi="Arial" w:cs="Arial"/>
                <w:b/>
                <w:i/>
                <w:sz w:val="16"/>
                <w:szCs w:val="16"/>
              </w:rPr>
            </w:pPr>
            <w:r w:rsidRPr="00CE433C">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E156B9" w:rsidRPr="00CE433C" w:rsidRDefault="00E156B9" w:rsidP="004321E0">
            <w:pPr>
              <w:tabs>
                <w:tab w:val="left" w:pos="12600"/>
              </w:tabs>
              <w:jc w:val="center"/>
              <w:rPr>
                <w:rFonts w:ascii="Arial" w:hAnsi="Arial" w:cs="Arial"/>
                <w:b/>
                <w:i/>
                <w:sz w:val="16"/>
                <w:szCs w:val="16"/>
              </w:rPr>
            </w:pPr>
            <w:r w:rsidRPr="00CE433C">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E156B9" w:rsidRPr="00CE433C" w:rsidRDefault="00E156B9" w:rsidP="004321E0">
            <w:pPr>
              <w:tabs>
                <w:tab w:val="left" w:pos="12600"/>
              </w:tabs>
              <w:jc w:val="center"/>
              <w:rPr>
                <w:rFonts w:ascii="Arial" w:hAnsi="Arial" w:cs="Arial"/>
                <w:b/>
                <w:i/>
                <w:sz w:val="16"/>
                <w:szCs w:val="16"/>
              </w:rPr>
            </w:pPr>
            <w:r w:rsidRPr="00CE433C">
              <w:rPr>
                <w:rFonts w:ascii="Arial" w:hAnsi="Arial" w:cs="Arial"/>
                <w:b/>
                <w:i/>
                <w:sz w:val="16"/>
                <w:szCs w:val="16"/>
              </w:rPr>
              <w:t>Заявник</w:t>
            </w:r>
          </w:p>
        </w:tc>
        <w:tc>
          <w:tcPr>
            <w:tcW w:w="1134" w:type="dxa"/>
            <w:tcBorders>
              <w:top w:val="single" w:sz="4" w:space="0" w:color="000000"/>
            </w:tcBorders>
            <w:shd w:val="clear" w:color="auto" w:fill="D9D9D9"/>
          </w:tcPr>
          <w:p w:rsidR="00E156B9" w:rsidRPr="00CE433C" w:rsidRDefault="00E156B9" w:rsidP="004321E0">
            <w:pPr>
              <w:tabs>
                <w:tab w:val="left" w:pos="12600"/>
              </w:tabs>
              <w:jc w:val="center"/>
              <w:rPr>
                <w:rFonts w:ascii="Arial" w:hAnsi="Arial" w:cs="Arial"/>
                <w:b/>
                <w:i/>
                <w:sz w:val="16"/>
                <w:szCs w:val="16"/>
              </w:rPr>
            </w:pPr>
            <w:r w:rsidRPr="00CE433C">
              <w:rPr>
                <w:rFonts w:ascii="Arial" w:hAnsi="Arial" w:cs="Arial"/>
                <w:b/>
                <w:i/>
                <w:sz w:val="16"/>
                <w:szCs w:val="16"/>
              </w:rPr>
              <w:t>Країна заявника</w:t>
            </w:r>
          </w:p>
        </w:tc>
        <w:tc>
          <w:tcPr>
            <w:tcW w:w="1419" w:type="dxa"/>
            <w:tcBorders>
              <w:top w:val="single" w:sz="4" w:space="0" w:color="000000"/>
            </w:tcBorders>
            <w:shd w:val="clear" w:color="auto" w:fill="D9D9D9"/>
          </w:tcPr>
          <w:p w:rsidR="00E156B9" w:rsidRPr="00CE433C" w:rsidRDefault="00E156B9" w:rsidP="004321E0">
            <w:pPr>
              <w:tabs>
                <w:tab w:val="left" w:pos="12600"/>
              </w:tabs>
              <w:jc w:val="center"/>
              <w:rPr>
                <w:rFonts w:ascii="Arial" w:hAnsi="Arial" w:cs="Arial"/>
                <w:b/>
                <w:i/>
                <w:sz w:val="16"/>
                <w:szCs w:val="16"/>
              </w:rPr>
            </w:pPr>
            <w:r w:rsidRPr="00CE433C">
              <w:rPr>
                <w:rFonts w:ascii="Arial" w:hAnsi="Arial" w:cs="Arial"/>
                <w:b/>
                <w:i/>
                <w:sz w:val="16"/>
                <w:szCs w:val="16"/>
              </w:rPr>
              <w:t>Виробник</w:t>
            </w:r>
          </w:p>
        </w:tc>
        <w:tc>
          <w:tcPr>
            <w:tcW w:w="1135" w:type="dxa"/>
            <w:tcBorders>
              <w:top w:val="single" w:sz="4" w:space="0" w:color="000000"/>
            </w:tcBorders>
            <w:shd w:val="clear" w:color="auto" w:fill="D9D9D9"/>
          </w:tcPr>
          <w:p w:rsidR="00E156B9" w:rsidRPr="00CE433C" w:rsidRDefault="00E156B9" w:rsidP="004321E0">
            <w:pPr>
              <w:tabs>
                <w:tab w:val="left" w:pos="12600"/>
              </w:tabs>
              <w:jc w:val="center"/>
              <w:rPr>
                <w:rFonts w:ascii="Arial" w:hAnsi="Arial" w:cs="Arial"/>
                <w:b/>
                <w:i/>
                <w:sz w:val="16"/>
                <w:szCs w:val="16"/>
              </w:rPr>
            </w:pPr>
            <w:r w:rsidRPr="00CE433C">
              <w:rPr>
                <w:rFonts w:ascii="Arial" w:hAnsi="Arial" w:cs="Arial"/>
                <w:b/>
                <w:i/>
                <w:sz w:val="16"/>
                <w:szCs w:val="16"/>
              </w:rPr>
              <w:t>Країна виробника</w:t>
            </w:r>
          </w:p>
        </w:tc>
        <w:tc>
          <w:tcPr>
            <w:tcW w:w="3402" w:type="dxa"/>
            <w:tcBorders>
              <w:top w:val="single" w:sz="4" w:space="0" w:color="000000"/>
            </w:tcBorders>
            <w:shd w:val="clear" w:color="auto" w:fill="D9D9D9"/>
          </w:tcPr>
          <w:p w:rsidR="00E156B9" w:rsidRPr="00CE433C" w:rsidRDefault="00E156B9" w:rsidP="004321E0">
            <w:pPr>
              <w:tabs>
                <w:tab w:val="left" w:pos="12600"/>
              </w:tabs>
              <w:jc w:val="center"/>
              <w:rPr>
                <w:rFonts w:ascii="Arial" w:hAnsi="Arial" w:cs="Arial"/>
                <w:b/>
                <w:i/>
                <w:sz w:val="16"/>
                <w:szCs w:val="16"/>
              </w:rPr>
            </w:pPr>
            <w:r w:rsidRPr="00CE433C">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156B9" w:rsidRPr="00CE433C" w:rsidRDefault="00E156B9" w:rsidP="004321E0">
            <w:pPr>
              <w:tabs>
                <w:tab w:val="left" w:pos="12600"/>
              </w:tabs>
              <w:jc w:val="center"/>
              <w:rPr>
                <w:rFonts w:ascii="Arial" w:hAnsi="Arial" w:cs="Arial"/>
                <w:b/>
                <w:i/>
                <w:sz w:val="16"/>
                <w:szCs w:val="16"/>
              </w:rPr>
            </w:pPr>
            <w:r w:rsidRPr="00CE433C">
              <w:rPr>
                <w:rFonts w:ascii="Arial" w:hAnsi="Arial" w:cs="Arial"/>
                <w:b/>
                <w:i/>
                <w:sz w:val="16"/>
                <w:szCs w:val="16"/>
              </w:rPr>
              <w:t>Умови відпуску</w:t>
            </w:r>
          </w:p>
        </w:tc>
        <w:tc>
          <w:tcPr>
            <w:tcW w:w="992" w:type="dxa"/>
            <w:tcBorders>
              <w:top w:val="single" w:sz="4" w:space="0" w:color="000000"/>
            </w:tcBorders>
            <w:shd w:val="clear" w:color="auto" w:fill="D9D9D9"/>
          </w:tcPr>
          <w:p w:rsidR="00E156B9" w:rsidRPr="00CE433C" w:rsidRDefault="00E156B9" w:rsidP="004321E0">
            <w:pPr>
              <w:tabs>
                <w:tab w:val="left" w:pos="12600"/>
              </w:tabs>
              <w:jc w:val="center"/>
              <w:rPr>
                <w:rFonts w:ascii="Arial" w:hAnsi="Arial" w:cs="Arial"/>
                <w:b/>
                <w:i/>
                <w:sz w:val="16"/>
                <w:szCs w:val="16"/>
              </w:rPr>
            </w:pPr>
            <w:r w:rsidRPr="00CE433C">
              <w:rPr>
                <w:rFonts w:ascii="Arial" w:hAnsi="Arial" w:cs="Arial"/>
                <w:b/>
                <w:i/>
                <w:sz w:val="16"/>
                <w:szCs w:val="16"/>
              </w:rPr>
              <w:t>Рекламування</w:t>
            </w:r>
          </w:p>
        </w:tc>
        <w:tc>
          <w:tcPr>
            <w:tcW w:w="1559" w:type="dxa"/>
            <w:tcBorders>
              <w:top w:val="single" w:sz="4" w:space="0" w:color="000000"/>
            </w:tcBorders>
            <w:shd w:val="clear" w:color="auto" w:fill="D9D9D9"/>
          </w:tcPr>
          <w:p w:rsidR="00E156B9" w:rsidRPr="00CE433C" w:rsidRDefault="00E156B9" w:rsidP="004321E0">
            <w:pPr>
              <w:tabs>
                <w:tab w:val="left" w:pos="12600"/>
              </w:tabs>
              <w:jc w:val="center"/>
              <w:rPr>
                <w:rFonts w:ascii="Arial" w:hAnsi="Arial" w:cs="Arial"/>
                <w:b/>
                <w:i/>
                <w:sz w:val="16"/>
                <w:szCs w:val="16"/>
              </w:rPr>
            </w:pPr>
            <w:r w:rsidRPr="00CE433C">
              <w:rPr>
                <w:rFonts w:ascii="Arial" w:hAnsi="Arial" w:cs="Arial"/>
                <w:b/>
                <w:i/>
                <w:sz w:val="16"/>
                <w:szCs w:val="16"/>
              </w:rPr>
              <w:t>Номер реєстраційного посвідчення</w:t>
            </w:r>
          </w:p>
        </w:tc>
      </w:tr>
      <w:tr w:rsidR="00E156B9" w:rsidRPr="00CE433C" w:rsidTr="004321E0">
        <w:tc>
          <w:tcPr>
            <w:tcW w:w="568"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E156B9">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4321E0">
            <w:pPr>
              <w:pStyle w:val="110"/>
              <w:tabs>
                <w:tab w:val="left" w:pos="12600"/>
              </w:tabs>
              <w:rPr>
                <w:rFonts w:ascii="Arial" w:hAnsi="Arial" w:cs="Arial"/>
                <w:b/>
                <w:i/>
                <w:sz w:val="16"/>
                <w:szCs w:val="16"/>
              </w:rPr>
            </w:pPr>
            <w:r w:rsidRPr="00CE433C">
              <w:rPr>
                <w:rFonts w:ascii="Arial" w:hAnsi="Arial" w:cs="Arial"/>
                <w:b/>
                <w:sz w:val="16"/>
                <w:szCs w:val="16"/>
              </w:rPr>
              <w:t>АБІЗОЛ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rPr>
                <w:rFonts w:ascii="Arial" w:hAnsi="Arial" w:cs="Arial"/>
                <w:sz w:val="16"/>
                <w:szCs w:val="16"/>
              </w:rPr>
            </w:pPr>
            <w:r w:rsidRPr="00CE433C">
              <w:rPr>
                <w:rFonts w:ascii="Arial" w:hAnsi="Arial" w:cs="Arial"/>
                <w:sz w:val="16"/>
                <w:szCs w:val="16"/>
              </w:rPr>
              <w:t>таблетки по 5 мг; по 14 таблеток у блістері, по 2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НОБЕЛ ІЛАЧ САНАЇ ВЕ ТІДЖАРЕТ А.Ш.</w:t>
            </w:r>
            <w:r w:rsidRPr="00CE433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Туреччина</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НОБЕЛ ІЛАЧ САНАЇ ВЕ ТІДЖАРЕТ А.Ш.</w:t>
            </w:r>
            <w:r w:rsidRPr="00CE433C">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Перереєстрація на необмежений термін</w:t>
            </w:r>
            <w:r w:rsidRPr="00CE433C">
              <w:rPr>
                <w:rFonts w:ascii="Arial" w:hAnsi="Arial" w:cs="Arial"/>
                <w:sz w:val="16"/>
                <w:szCs w:val="16"/>
              </w:rPr>
              <w:br/>
              <w:t xml:space="preserve">Оновлено інформацію в інструкції для медичного застосування лікарського засобу в розділах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інформації референтного лікарського засобу (Abilify, tablets 5 mg, 10 mg, 15 mg, 30 mg). </w:t>
            </w:r>
            <w:r w:rsidRPr="00CE433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sz w:val="16"/>
                <w:szCs w:val="16"/>
              </w:rPr>
            </w:pPr>
            <w:r w:rsidRPr="00CE433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UA/16417/01/01</w:t>
            </w:r>
          </w:p>
        </w:tc>
      </w:tr>
      <w:tr w:rsidR="00E156B9" w:rsidRPr="00CE433C" w:rsidTr="004321E0">
        <w:tc>
          <w:tcPr>
            <w:tcW w:w="568"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E156B9">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4321E0">
            <w:pPr>
              <w:pStyle w:val="110"/>
              <w:tabs>
                <w:tab w:val="left" w:pos="12600"/>
              </w:tabs>
              <w:rPr>
                <w:rFonts w:ascii="Arial" w:hAnsi="Arial" w:cs="Arial"/>
                <w:b/>
                <w:i/>
                <w:sz w:val="16"/>
                <w:szCs w:val="16"/>
              </w:rPr>
            </w:pPr>
            <w:r w:rsidRPr="00CE433C">
              <w:rPr>
                <w:rFonts w:ascii="Arial" w:hAnsi="Arial" w:cs="Arial"/>
                <w:b/>
                <w:sz w:val="16"/>
                <w:szCs w:val="16"/>
              </w:rPr>
              <w:t>АБІЗОЛ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rPr>
                <w:rFonts w:ascii="Arial" w:hAnsi="Arial" w:cs="Arial"/>
                <w:sz w:val="16"/>
                <w:szCs w:val="16"/>
              </w:rPr>
            </w:pPr>
            <w:r w:rsidRPr="00CE433C">
              <w:rPr>
                <w:rFonts w:ascii="Arial" w:hAnsi="Arial" w:cs="Arial"/>
                <w:sz w:val="16"/>
                <w:szCs w:val="16"/>
              </w:rPr>
              <w:t>таблетки по 10 мг; по 14 таблеток у блістері, по 2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НОБЕЛ ІЛАЧ САНАЇ ВЕ ТІДЖАРЕТ А.Ш.</w:t>
            </w:r>
            <w:r w:rsidRPr="00CE433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Туреччина</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НОБЕЛ ІЛАЧ САНАЇ ВЕ ТІДЖАРЕТ А.Ш.</w:t>
            </w:r>
            <w:r w:rsidRPr="00CE433C">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Перереєстрація на необмежений термін</w:t>
            </w:r>
            <w:r w:rsidRPr="00CE433C">
              <w:rPr>
                <w:rFonts w:ascii="Arial" w:hAnsi="Arial" w:cs="Arial"/>
                <w:sz w:val="16"/>
                <w:szCs w:val="16"/>
              </w:rPr>
              <w:br/>
              <w:t xml:space="preserve">Оновлено інформацію в інструкції для медичного застосування лікарського засобу в розділах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w:t>
            </w:r>
            <w:r w:rsidRPr="00CE433C">
              <w:rPr>
                <w:rFonts w:ascii="Arial" w:hAnsi="Arial" w:cs="Arial"/>
                <w:sz w:val="16"/>
                <w:szCs w:val="16"/>
              </w:rPr>
              <w:lastRenderedPageBreak/>
              <w:t xml:space="preserve">іншими механізмами, "Побічні реакції" відповідно до інформації референтного лікарського засобу (Abilify, tablets 5 mg, 10 mg, 15 mg, 30 mg). </w:t>
            </w:r>
            <w:r w:rsidRPr="00CE433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b/>
                <w:i/>
                <w:sz w:val="16"/>
                <w:szCs w:val="16"/>
              </w:rPr>
            </w:pPr>
            <w:r w:rsidRPr="00CE433C">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sz w:val="16"/>
                <w:szCs w:val="16"/>
              </w:rPr>
            </w:pPr>
            <w:r w:rsidRPr="00CE433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UA/16417/01/02</w:t>
            </w:r>
          </w:p>
        </w:tc>
      </w:tr>
      <w:tr w:rsidR="00E156B9" w:rsidRPr="00CE433C" w:rsidTr="004321E0">
        <w:tc>
          <w:tcPr>
            <w:tcW w:w="568"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E156B9">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4321E0">
            <w:pPr>
              <w:pStyle w:val="110"/>
              <w:tabs>
                <w:tab w:val="left" w:pos="12600"/>
              </w:tabs>
              <w:rPr>
                <w:rFonts w:ascii="Arial" w:hAnsi="Arial" w:cs="Arial"/>
                <w:b/>
                <w:i/>
                <w:sz w:val="16"/>
                <w:szCs w:val="16"/>
              </w:rPr>
            </w:pPr>
            <w:r w:rsidRPr="00CE433C">
              <w:rPr>
                <w:rFonts w:ascii="Arial" w:hAnsi="Arial" w:cs="Arial"/>
                <w:b/>
                <w:sz w:val="16"/>
                <w:szCs w:val="16"/>
              </w:rPr>
              <w:t>АБІЗОЛ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rPr>
                <w:rFonts w:ascii="Arial" w:hAnsi="Arial" w:cs="Arial"/>
                <w:sz w:val="16"/>
                <w:szCs w:val="16"/>
              </w:rPr>
            </w:pPr>
            <w:r w:rsidRPr="00CE433C">
              <w:rPr>
                <w:rFonts w:ascii="Arial" w:hAnsi="Arial" w:cs="Arial"/>
                <w:sz w:val="16"/>
                <w:szCs w:val="16"/>
              </w:rPr>
              <w:t>таблетки по 15 мг; по 14 таблеток у блістері, по 2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НОБЕЛ ІЛАЧ САНАЇ ВЕ ТІДЖАРЕТ А.Ш.</w:t>
            </w:r>
            <w:r w:rsidRPr="00CE433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Туреччина</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НОБЕЛ ІЛАЧ САНАЇ ВЕ ТІДЖАРЕТ А.Ш.</w:t>
            </w:r>
            <w:r w:rsidRPr="00CE433C">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Перереєстрація на необмежений термін</w:t>
            </w:r>
            <w:r w:rsidRPr="00CE433C">
              <w:rPr>
                <w:rFonts w:ascii="Arial" w:hAnsi="Arial" w:cs="Arial"/>
                <w:sz w:val="16"/>
                <w:szCs w:val="16"/>
              </w:rPr>
              <w:br/>
              <w:t xml:space="preserve">Оновлено інформацію в інструкції для медичного застосування лікарського засобу в розділах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інформації референтного лікарського засобу (Abilify, tablets 5 mg, 10 mg, 15 mg, 30 mg). </w:t>
            </w:r>
            <w:r w:rsidRPr="00CE433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sz w:val="16"/>
                <w:szCs w:val="16"/>
              </w:rPr>
            </w:pPr>
            <w:r w:rsidRPr="00CE433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UA/16417/01/03</w:t>
            </w:r>
          </w:p>
        </w:tc>
      </w:tr>
      <w:tr w:rsidR="00E156B9" w:rsidRPr="00CE433C" w:rsidTr="004321E0">
        <w:tc>
          <w:tcPr>
            <w:tcW w:w="568"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E156B9">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4321E0">
            <w:pPr>
              <w:pStyle w:val="110"/>
              <w:tabs>
                <w:tab w:val="left" w:pos="12600"/>
              </w:tabs>
              <w:rPr>
                <w:rFonts w:ascii="Arial" w:hAnsi="Arial" w:cs="Arial"/>
                <w:b/>
                <w:i/>
                <w:sz w:val="16"/>
                <w:szCs w:val="16"/>
              </w:rPr>
            </w:pPr>
            <w:r w:rsidRPr="00CE433C">
              <w:rPr>
                <w:rFonts w:ascii="Arial" w:hAnsi="Arial" w:cs="Arial"/>
                <w:b/>
                <w:sz w:val="16"/>
                <w:szCs w:val="16"/>
              </w:rPr>
              <w:t>АБІЗОЛ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rPr>
                <w:rFonts w:ascii="Arial" w:hAnsi="Arial" w:cs="Arial"/>
                <w:sz w:val="16"/>
                <w:szCs w:val="16"/>
              </w:rPr>
            </w:pPr>
            <w:r w:rsidRPr="00CE433C">
              <w:rPr>
                <w:rFonts w:ascii="Arial" w:hAnsi="Arial" w:cs="Arial"/>
                <w:sz w:val="16"/>
                <w:szCs w:val="16"/>
              </w:rPr>
              <w:t>таблетки по 30 мг; по 14 таблеток у блістері, по 2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НОБЕЛ ІЛАЧ САНАЇ ВЕ ТІДЖАРЕТ А.Ш.</w:t>
            </w:r>
            <w:r w:rsidRPr="00CE433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Туреччина</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НОБЕЛ ІЛАЧ САНАЇ ВЕ ТІДЖАРЕТ А.Ш.</w:t>
            </w:r>
            <w:r w:rsidRPr="00CE433C">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Перереєстрація на необмежений термін</w:t>
            </w:r>
            <w:r w:rsidRPr="00CE433C">
              <w:rPr>
                <w:rFonts w:ascii="Arial" w:hAnsi="Arial" w:cs="Arial"/>
                <w:sz w:val="16"/>
                <w:szCs w:val="16"/>
              </w:rPr>
              <w:br/>
              <w:t xml:space="preserve">Оновлено інформацію в інструкції для медичного застосування лікарського засобу в розділах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інформації референтного лікарського засобу (Abilify, tablets 5 mg, 10 mg, 15 mg, 30 mg). </w:t>
            </w:r>
            <w:r w:rsidRPr="00CE433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sz w:val="16"/>
                <w:szCs w:val="16"/>
              </w:rPr>
            </w:pPr>
            <w:r w:rsidRPr="00CE433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UA/16417/01/04</w:t>
            </w:r>
          </w:p>
        </w:tc>
      </w:tr>
      <w:tr w:rsidR="00E156B9" w:rsidRPr="00CE433C" w:rsidTr="004321E0">
        <w:tc>
          <w:tcPr>
            <w:tcW w:w="568"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E156B9">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4321E0">
            <w:pPr>
              <w:pStyle w:val="110"/>
              <w:tabs>
                <w:tab w:val="left" w:pos="12600"/>
              </w:tabs>
              <w:rPr>
                <w:rFonts w:ascii="Arial" w:hAnsi="Arial" w:cs="Arial"/>
                <w:b/>
                <w:i/>
                <w:sz w:val="16"/>
                <w:szCs w:val="16"/>
              </w:rPr>
            </w:pPr>
            <w:r w:rsidRPr="00CE433C">
              <w:rPr>
                <w:rFonts w:ascii="Arial" w:hAnsi="Arial" w:cs="Arial"/>
                <w:b/>
                <w:sz w:val="16"/>
                <w:szCs w:val="16"/>
              </w:rPr>
              <w:t>АРГІТЕК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rPr>
                <w:rFonts w:ascii="Arial" w:hAnsi="Arial" w:cs="Arial"/>
                <w:sz w:val="16"/>
                <w:szCs w:val="16"/>
              </w:rPr>
            </w:pPr>
            <w:r w:rsidRPr="00CE433C">
              <w:rPr>
                <w:rFonts w:ascii="Arial" w:hAnsi="Arial" w:cs="Arial"/>
                <w:sz w:val="16"/>
                <w:szCs w:val="16"/>
              </w:rPr>
              <w:t>розчин для інфузій, 8 мг/мл по 250 мл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ПрАТ "Фармацевтична фірма "Дарниця"</w:t>
            </w:r>
            <w:r w:rsidRPr="00CE433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ПрАТ "Фармацевтична фірма "Дарниця"</w:t>
            </w:r>
            <w:r w:rsidRPr="00CE433C">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Перереєстрація на необмежений термін. Оновлено інформацію у розділах інструкції для медичного застосування "Фармакологічні властивості", "Показання", "Спосіб застосування та дози", "Побічні реакції", "Несумісність" відповідно до інформації референтного лікарського засобу (Глутаргін, концентрат для розчину для інфузій 400 мг/мл)</w:t>
            </w:r>
            <w:r w:rsidRPr="00CE433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sz w:val="16"/>
                <w:szCs w:val="16"/>
              </w:rPr>
            </w:pPr>
            <w:r w:rsidRPr="00CE433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UA/16986/01/01</w:t>
            </w:r>
          </w:p>
        </w:tc>
      </w:tr>
      <w:tr w:rsidR="00E156B9" w:rsidRPr="00CE433C" w:rsidTr="004321E0">
        <w:tc>
          <w:tcPr>
            <w:tcW w:w="568"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E156B9">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4321E0">
            <w:pPr>
              <w:pStyle w:val="110"/>
              <w:tabs>
                <w:tab w:val="left" w:pos="12600"/>
              </w:tabs>
              <w:rPr>
                <w:rFonts w:ascii="Arial" w:hAnsi="Arial" w:cs="Arial"/>
                <w:b/>
                <w:i/>
                <w:sz w:val="16"/>
                <w:szCs w:val="16"/>
              </w:rPr>
            </w:pPr>
            <w:r w:rsidRPr="00CE433C">
              <w:rPr>
                <w:rFonts w:ascii="Arial" w:hAnsi="Arial" w:cs="Arial"/>
                <w:b/>
                <w:sz w:val="16"/>
                <w:szCs w:val="16"/>
              </w:rPr>
              <w:t>ДЕКСОБЕЛ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25 мг №20 (10х2) у блістерах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НОБЕЛ ІЛАЧ САНАЇ ВЕ ТІДЖАРЕТ А.Ш.</w:t>
            </w:r>
            <w:r w:rsidRPr="00CE433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Туреччина</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НОБЕЛ ІЛАЧ САНАЇ ВЕ ТІДЖАРЕТ А.Ш.</w:t>
            </w:r>
            <w:r w:rsidRPr="00CE433C">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(ДЕКСАЛГІН, таблетки, вкриті плівковою оболонкою)</w:t>
            </w:r>
            <w:r w:rsidRPr="00CE433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sz w:val="16"/>
                <w:szCs w:val="16"/>
              </w:rPr>
            </w:pPr>
            <w:r w:rsidRPr="00CE433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UA/16411/01/01</w:t>
            </w:r>
          </w:p>
        </w:tc>
      </w:tr>
      <w:tr w:rsidR="00E156B9" w:rsidRPr="00CE433C" w:rsidTr="004321E0">
        <w:tc>
          <w:tcPr>
            <w:tcW w:w="568"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E156B9">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4321E0">
            <w:pPr>
              <w:pStyle w:val="110"/>
              <w:tabs>
                <w:tab w:val="left" w:pos="12600"/>
              </w:tabs>
              <w:rPr>
                <w:rFonts w:ascii="Arial" w:hAnsi="Arial" w:cs="Arial"/>
                <w:b/>
                <w:i/>
                <w:sz w:val="16"/>
                <w:szCs w:val="16"/>
              </w:rPr>
            </w:pPr>
            <w:r w:rsidRPr="00CE433C">
              <w:rPr>
                <w:rFonts w:ascii="Arial" w:hAnsi="Arial" w:cs="Arial"/>
                <w:b/>
                <w:sz w:val="16"/>
                <w:szCs w:val="16"/>
              </w:rPr>
              <w:t>ДЖАЙДЕС®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rPr>
                <w:rFonts w:ascii="Arial" w:hAnsi="Arial" w:cs="Arial"/>
                <w:sz w:val="16"/>
                <w:szCs w:val="16"/>
              </w:rPr>
            </w:pPr>
            <w:r w:rsidRPr="00CE433C">
              <w:rPr>
                <w:rFonts w:ascii="Arial" w:hAnsi="Arial" w:cs="Arial"/>
                <w:sz w:val="16"/>
                <w:szCs w:val="16"/>
              </w:rPr>
              <w:t xml:space="preserve">внутрішньоматкова система з левоноргестрелом по 13,5 мг; </w:t>
            </w:r>
            <w:r w:rsidRPr="00CE433C">
              <w:rPr>
                <w:rFonts w:ascii="Arial" w:hAnsi="Arial" w:cs="Arial"/>
                <w:sz w:val="16"/>
                <w:szCs w:val="16"/>
              </w:rPr>
              <w:br/>
              <w:t>внутрішньоматкова система, встановлена на верхній частині пристрою для введення, запаяна в окремому блістері; по 1 блістеру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Байєр Оу</w:t>
            </w:r>
            <w:r w:rsidRPr="00CE433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Фiнляндiя</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Байєр Оу</w:t>
            </w:r>
            <w:r w:rsidRPr="00CE433C">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Фінляндія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Перереєстрація на 5 років</w:t>
            </w:r>
            <w:r w:rsidRPr="00CE433C">
              <w:rPr>
                <w:rFonts w:ascii="Arial" w:hAnsi="Arial" w:cs="Arial"/>
                <w:sz w:val="16"/>
                <w:szCs w:val="16"/>
              </w:rPr>
              <w:br/>
              <w:t>Оновлено інформацію в інструкції для медичного застосування лікарського засобу в розділах "Фармакотерапевтична група. Код АТХ" (редагування тексту розділу без фактичної зміни коду АТХ), "Особливості застосування", "Здатність впливати на швидкість реакції при керуванні автотранспортом або іншими механізмами" (редагування тексту та уточнення інформації), "Спосіб застосування та дози"(редагування тексту та уточнення інформації), "Діти" (редагування тексту та уточнення інформації), "Побічні реакції" відповідно до матеріалів реєстраційного досьє.</w:t>
            </w:r>
            <w:r w:rsidRPr="00CE433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sz w:val="16"/>
                <w:szCs w:val="16"/>
              </w:rPr>
            </w:pPr>
            <w:r w:rsidRPr="00CE433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UA/13283/01/01</w:t>
            </w:r>
          </w:p>
        </w:tc>
      </w:tr>
      <w:tr w:rsidR="00E156B9" w:rsidRPr="00CE433C" w:rsidTr="004321E0">
        <w:tc>
          <w:tcPr>
            <w:tcW w:w="568"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E156B9">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4321E0">
            <w:pPr>
              <w:pStyle w:val="110"/>
              <w:tabs>
                <w:tab w:val="left" w:pos="12600"/>
              </w:tabs>
              <w:rPr>
                <w:rFonts w:ascii="Arial" w:hAnsi="Arial" w:cs="Arial"/>
                <w:b/>
                <w:i/>
                <w:sz w:val="16"/>
                <w:szCs w:val="16"/>
              </w:rPr>
            </w:pPr>
            <w:r w:rsidRPr="00CE433C">
              <w:rPr>
                <w:rFonts w:ascii="Arial" w:hAnsi="Arial" w:cs="Arial"/>
                <w:b/>
                <w:sz w:val="16"/>
                <w:szCs w:val="16"/>
              </w:rPr>
              <w:t>ЕРІДОН®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rPr>
                <w:rFonts w:ascii="Arial" w:hAnsi="Arial" w:cs="Arial"/>
                <w:sz w:val="16"/>
                <w:szCs w:val="16"/>
              </w:rPr>
            </w:pPr>
            <w:r w:rsidRPr="00CE433C">
              <w:rPr>
                <w:rFonts w:ascii="Arial" w:hAnsi="Arial" w:cs="Arial"/>
                <w:sz w:val="16"/>
                <w:szCs w:val="16"/>
              </w:rPr>
              <w:t>розчин оральний, 1 мг/мл по 30 мл у флаконі; по 1 флакону у комплекті з дозуючою піпеткою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ТОВ "АСІНО УКРАЇНА" </w:t>
            </w:r>
            <w:r w:rsidRPr="00CE433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виробництво, пакування та контроль якості лікарського засобу: </w:t>
            </w:r>
            <w:r w:rsidRPr="00CE433C">
              <w:rPr>
                <w:rFonts w:ascii="Arial" w:hAnsi="Arial" w:cs="Arial"/>
                <w:sz w:val="16"/>
                <w:szCs w:val="16"/>
              </w:rPr>
              <w:br/>
              <w:t>Дар Аль Дава Девелопмент енд Інвестмент Ко. лтд., Йорданія</w:t>
            </w:r>
            <w:r w:rsidRPr="00CE433C">
              <w:rPr>
                <w:rFonts w:ascii="Arial" w:hAnsi="Arial" w:cs="Arial"/>
                <w:sz w:val="16"/>
                <w:szCs w:val="16"/>
              </w:rPr>
              <w:br/>
              <w:t>контроль якості та випуск серії:</w:t>
            </w:r>
            <w:r w:rsidRPr="00CE433C">
              <w:rPr>
                <w:rFonts w:ascii="Arial" w:hAnsi="Arial" w:cs="Arial"/>
                <w:sz w:val="16"/>
                <w:szCs w:val="16"/>
              </w:rPr>
              <w:br/>
              <w:t xml:space="preserve">Шанель Медікал Анлімітед Компані, Ірландія </w:t>
            </w:r>
            <w:r w:rsidRPr="00CE433C">
              <w:rPr>
                <w:rFonts w:ascii="Arial" w:hAnsi="Arial" w:cs="Arial"/>
                <w:sz w:val="16"/>
                <w:szCs w:val="16"/>
              </w:rPr>
              <w:br/>
              <w:t>контроль якості (мікробіологічний контроль):</w:t>
            </w:r>
            <w:r w:rsidRPr="00CE433C">
              <w:rPr>
                <w:rFonts w:ascii="Arial" w:hAnsi="Arial" w:cs="Arial"/>
                <w:sz w:val="16"/>
                <w:szCs w:val="16"/>
              </w:rPr>
              <w:br/>
              <w:t>Компліт Лабораторі Солушнз, Ірландія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Йорданія/</w:t>
            </w:r>
          </w:p>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Ірландія</w:t>
            </w:r>
          </w:p>
          <w:p w:rsidR="00E156B9" w:rsidRPr="00CE433C" w:rsidRDefault="00E156B9" w:rsidP="004321E0">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Перереєстрація на необмежений термін. </w:t>
            </w:r>
            <w:r w:rsidRPr="00CE433C">
              <w:rPr>
                <w:rFonts w:ascii="Arial" w:hAnsi="Arial" w:cs="Arial"/>
                <w:sz w:val="16"/>
                <w:szCs w:val="16"/>
              </w:rPr>
              <w:br/>
              <w:t>Оновлено інформацію у розділах "Показання", "Особливості застосування", "Застосування у період вагітності або годування груддю", "Спосіб застосування та дози", "Побічні реакції" інструкції для медичного застосування лікарського засобу відповідно до оновленої інформації референтного лікарського засобу Рисполепт, розчин оральний, 1 мг/мл.</w:t>
            </w:r>
            <w:r w:rsidRPr="00CE433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sz w:val="16"/>
                <w:szCs w:val="16"/>
              </w:rPr>
            </w:pPr>
            <w:r w:rsidRPr="00CE433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UA/16894/01/01</w:t>
            </w:r>
          </w:p>
        </w:tc>
      </w:tr>
      <w:tr w:rsidR="00E156B9" w:rsidRPr="00CE433C" w:rsidTr="004321E0">
        <w:tc>
          <w:tcPr>
            <w:tcW w:w="568"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E156B9">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4321E0">
            <w:pPr>
              <w:pStyle w:val="110"/>
              <w:tabs>
                <w:tab w:val="left" w:pos="12600"/>
              </w:tabs>
              <w:rPr>
                <w:rFonts w:ascii="Arial" w:hAnsi="Arial" w:cs="Arial"/>
                <w:b/>
                <w:i/>
                <w:sz w:val="16"/>
                <w:szCs w:val="16"/>
              </w:rPr>
            </w:pPr>
            <w:r w:rsidRPr="00CE433C">
              <w:rPr>
                <w:rFonts w:ascii="Arial" w:hAnsi="Arial" w:cs="Arial"/>
                <w:b/>
                <w:sz w:val="16"/>
                <w:szCs w:val="16"/>
              </w:rPr>
              <w:t>ЕСПА-ТИБОЛ®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rPr>
                <w:rFonts w:ascii="Arial" w:hAnsi="Arial" w:cs="Arial"/>
                <w:sz w:val="16"/>
                <w:szCs w:val="16"/>
              </w:rPr>
            </w:pPr>
            <w:r w:rsidRPr="00CE433C">
              <w:rPr>
                <w:rFonts w:ascii="Arial" w:hAnsi="Arial" w:cs="Arial"/>
                <w:sz w:val="16"/>
                <w:szCs w:val="16"/>
              </w:rPr>
              <w:t>таблетки по 2,5 мг, по 28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Еспарма ГмбХ</w:t>
            </w:r>
            <w:r w:rsidRPr="00CE433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Ліндофарм ГмбХ</w:t>
            </w:r>
            <w:r w:rsidRPr="00CE433C">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Перереєстрація на необмежений термін. </w:t>
            </w:r>
            <w:r w:rsidRPr="00CE433C">
              <w:rPr>
                <w:rFonts w:ascii="Arial" w:hAnsi="Arial" w:cs="Arial"/>
                <w:sz w:val="16"/>
                <w:szCs w:val="16"/>
              </w:rPr>
              <w:br/>
              <w:t>Оновлено інформацію в Інструкції для медичного застосування лікарського засобу у розділах "Протипоказання", "Особливості застосування", "Побічні реакції" відповідно до інформації референтного лікарського засобу Liviella ® 2,5 mg, tabletten.</w:t>
            </w:r>
            <w:r w:rsidRPr="00CE433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sz w:val="16"/>
                <w:szCs w:val="16"/>
              </w:rPr>
            </w:pPr>
            <w:r w:rsidRPr="00CE433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UA/17004/01/01</w:t>
            </w:r>
          </w:p>
        </w:tc>
      </w:tr>
      <w:tr w:rsidR="00E156B9" w:rsidRPr="00CE433C" w:rsidTr="004321E0">
        <w:tc>
          <w:tcPr>
            <w:tcW w:w="568"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E156B9">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4321E0">
            <w:pPr>
              <w:pStyle w:val="110"/>
              <w:tabs>
                <w:tab w:val="left" w:pos="12600"/>
              </w:tabs>
              <w:rPr>
                <w:rFonts w:ascii="Arial" w:hAnsi="Arial" w:cs="Arial"/>
                <w:b/>
                <w:i/>
                <w:sz w:val="16"/>
                <w:szCs w:val="16"/>
              </w:rPr>
            </w:pPr>
            <w:r w:rsidRPr="00CE433C">
              <w:rPr>
                <w:rFonts w:ascii="Arial" w:hAnsi="Arial" w:cs="Arial"/>
                <w:b/>
                <w:sz w:val="16"/>
                <w:szCs w:val="16"/>
              </w:rPr>
              <w:t>ІПРАТРОПІЮ БРОМІД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rPr>
                <w:rFonts w:ascii="Arial" w:hAnsi="Arial" w:cs="Arial"/>
                <w:sz w:val="16"/>
                <w:szCs w:val="16"/>
              </w:rPr>
            </w:pPr>
            <w:r w:rsidRPr="00CE433C">
              <w:rPr>
                <w:rFonts w:ascii="Arial" w:hAnsi="Arial" w:cs="Arial"/>
                <w:sz w:val="16"/>
                <w:szCs w:val="16"/>
              </w:rPr>
              <w:t>порошок кристалічний (субстанція) у подвійних пакетах з поліетилену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ТОВ "Мультіспрей"</w:t>
            </w:r>
            <w:r w:rsidRPr="00CE433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Лузохіміка С.п.А.</w:t>
            </w:r>
            <w:r w:rsidRPr="00CE433C">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b/>
                <w:i/>
                <w:sz w:val="16"/>
                <w:szCs w:val="16"/>
              </w:rPr>
            </w:pPr>
            <w:r w:rsidRPr="00CE433C">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sz w:val="16"/>
                <w:szCs w:val="16"/>
              </w:rPr>
            </w:pPr>
            <w:r w:rsidRPr="00CE433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UA/16306/01/01</w:t>
            </w:r>
          </w:p>
        </w:tc>
      </w:tr>
      <w:tr w:rsidR="00E156B9" w:rsidRPr="00CE433C" w:rsidTr="004321E0">
        <w:tc>
          <w:tcPr>
            <w:tcW w:w="568"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E156B9">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4321E0">
            <w:pPr>
              <w:pStyle w:val="110"/>
              <w:tabs>
                <w:tab w:val="left" w:pos="12600"/>
              </w:tabs>
              <w:rPr>
                <w:rFonts w:ascii="Arial" w:hAnsi="Arial" w:cs="Arial"/>
                <w:b/>
                <w:i/>
                <w:sz w:val="16"/>
                <w:szCs w:val="16"/>
              </w:rPr>
            </w:pPr>
            <w:r w:rsidRPr="00CE433C">
              <w:rPr>
                <w:rFonts w:ascii="Arial" w:hAnsi="Arial" w:cs="Arial"/>
                <w:b/>
                <w:sz w:val="16"/>
                <w:szCs w:val="16"/>
              </w:rPr>
              <w:t>КІОВІГ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rPr>
                <w:rFonts w:ascii="Arial" w:hAnsi="Arial" w:cs="Arial"/>
                <w:sz w:val="16"/>
                <w:szCs w:val="16"/>
              </w:rPr>
            </w:pPr>
            <w:r w:rsidRPr="00CE433C">
              <w:rPr>
                <w:rFonts w:ascii="Arial" w:hAnsi="Arial" w:cs="Arial"/>
                <w:sz w:val="16"/>
                <w:szCs w:val="16"/>
              </w:rPr>
              <w:t xml:space="preserve">розчин для інфузій 100 мг/мл, по 10 мл (1 г/10 мл), по 25 мл (2,5 г/25 мл), по 50 мл (5 г/50 мл), по 100 мл (10 г/100 мл), по 200 мл (20 г/200 мл), по 300 мл (30 г/300 мл) у флаконі; по 1 флакону в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Бакстер АГ</w:t>
            </w:r>
            <w:r w:rsidRPr="00CE433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Австрія</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первинне та вторинне пакування, контроль якості ГЛЗ, випуск серії:</w:t>
            </w:r>
            <w:r w:rsidRPr="00CE433C">
              <w:rPr>
                <w:rFonts w:ascii="Arial" w:hAnsi="Arial" w:cs="Arial"/>
                <w:sz w:val="16"/>
                <w:szCs w:val="16"/>
              </w:rPr>
              <w:br/>
              <w:t>Баксалта Белджіум Мануфектурінг СА, Бельгія</w:t>
            </w:r>
            <w:r w:rsidRPr="00CE433C">
              <w:rPr>
                <w:rFonts w:ascii="Arial" w:hAnsi="Arial" w:cs="Arial"/>
                <w:sz w:val="16"/>
                <w:szCs w:val="16"/>
              </w:rPr>
              <w:br/>
              <w:t>контроль якості ГЛЗ:</w:t>
            </w:r>
            <w:r w:rsidRPr="00CE433C">
              <w:rPr>
                <w:rFonts w:ascii="Arial" w:hAnsi="Arial" w:cs="Arial"/>
                <w:sz w:val="16"/>
                <w:szCs w:val="16"/>
              </w:rPr>
              <w:br/>
              <w:t>Такеда Мануфекчурінг Австрія АГ, Австрія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Бельгія/ Австрія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Перереєстрація на необмежений термін</w:t>
            </w:r>
            <w:r w:rsidRPr="00CE433C">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(уточнення інформації), "Показання" (внесено редакційну правку), "Взаємодія з іншими лікарськими засобами та інші види взаємодій", "Особливості застосування", "Спосіб застосування та дози" (уточнення інформації), "Побічні реакції" відповідно до інформації стосовно безпеки, яка зазначена в матеріалах реєстраційного досьє та розширено текстову частину назви фармакотерапевтичної групи згідно з міжнародним класифікатором ВООЗ без зміни коду АТХ у розділі "Фармакотерапевтична група. Код АТХ".</w:t>
            </w:r>
            <w:r w:rsidRPr="00CE433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sz w:val="16"/>
                <w:szCs w:val="16"/>
              </w:rPr>
            </w:pPr>
            <w:r w:rsidRPr="00CE433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UA/16884/01/01</w:t>
            </w:r>
          </w:p>
        </w:tc>
      </w:tr>
      <w:tr w:rsidR="00E156B9" w:rsidRPr="00CE433C" w:rsidTr="004321E0">
        <w:tc>
          <w:tcPr>
            <w:tcW w:w="568"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E156B9">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4321E0">
            <w:pPr>
              <w:pStyle w:val="110"/>
              <w:tabs>
                <w:tab w:val="left" w:pos="12600"/>
              </w:tabs>
              <w:rPr>
                <w:rFonts w:ascii="Arial" w:hAnsi="Arial" w:cs="Arial"/>
                <w:b/>
                <w:i/>
                <w:sz w:val="16"/>
                <w:szCs w:val="16"/>
              </w:rPr>
            </w:pPr>
            <w:r w:rsidRPr="00CE433C">
              <w:rPr>
                <w:rFonts w:ascii="Arial" w:hAnsi="Arial" w:cs="Arial"/>
                <w:b/>
                <w:sz w:val="16"/>
                <w:szCs w:val="16"/>
              </w:rPr>
              <w:t>РАБІДЖЕМ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кишковорозчинною оболонкою, по 20 мг по 10 таблеток у стрипі, по 1 стрипу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Туліп Лаб Прайвіт Лімітед</w:t>
            </w:r>
            <w:r w:rsidRPr="00CE433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Туліп Лаб Пвт. Лтд.</w:t>
            </w:r>
            <w:r w:rsidRPr="00CE433C">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Перереєстрація на необмежений термін</w:t>
            </w:r>
            <w:r w:rsidRPr="00CE433C">
              <w:rPr>
                <w:rFonts w:ascii="Arial" w:hAnsi="Arial" w:cs="Arial"/>
                <w:sz w:val="16"/>
                <w:szCs w:val="16"/>
              </w:rPr>
              <w:br/>
              <w:t>Оновлено інформацію в інструкції для медичного застосування лікарського засобу в розділах "Фармакотерапевтична група. Код АТХ " (уточнення інформації без зміни коду АТХ),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(ACIPHEX®, Delayed-Release Tablet, 20 mg (в Україні зареєстрований як Парієт®, таблетки кишковорозчинні 20 мг))</w:t>
            </w:r>
            <w:r w:rsidRPr="00CE433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sz w:val="16"/>
                <w:szCs w:val="16"/>
              </w:rPr>
            </w:pPr>
            <w:r w:rsidRPr="00CE433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UA/16507/01/01</w:t>
            </w:r>
          </w:p>
        </w:tc>
      </w:tr>
      <w:tr w:rsidR="00E156B9" w:rsidRPr="00CE433C" w:rsidTr="004321E0">
        <w:tc>
          <w:tcPr>
            <w:tcW w:w="568"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E156B9">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4321E0">
            <w:pPr>
              <w:pStyle w:val="110"/>
              <w:tabs>
                <w:tab w:val="left" w:pos="12600"/>
              </w:tabs>
              <w:rPr>
                <w:rFonts w:ascii="Arial" w:hAnsi="Arial" w:cs="Arial"/>
                <w:b/>
                <w:i/>
                <w:sz w:val="16"/>
                <w:szCs w:val="16"/>
              </w:rPr>
            </w:pPr>
            <w:r w:rsidRPr="00CE433C">
              <w:rPr>
                <w:rFonts w:ascii="Arial" w:hAnsi="Arial" w:cs="Arial"/>
                <w:b/>
                <w:sz w:val="16"/>
                <w:szCs w:val="16"/>
              </w:rPr>
              <w:t>СМЕКТА® ПОЛУНИЦЯ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rPr>
                <w:rFonts w:ascii="Arial" w:hAnsi="Arial" w:cs="Arial"/>
                <w:sz w:val="16"/>
                <w:szCs w:val="16"/>
                <w:lang w:val="ru-RU"/>
              </w:rPr>
            </w:pPr>
            <w:r w:rsidRPr="00CE433C">
              <w:rPr>
                <w:rFonts w:ascii="Arial" w:hAnsi="Arial" w:cs="Arial"/>
                <w:sz w:val="16"/>
                <w:szCs w:val="16"/>
                <w:lang w:val="ru-RU"/>
              </w:rPr>
              <w:t xml:space="preserve">порошок для оральної суспензії, 3 г; по 3,76 г порошку у пакетику; по 12 пакетиків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ІПСЕН КОНСЬЮМЕР ХЕЛСКЕА, Акціонерне товариство спрощеного типу</w:t>
            </w:r>
            <w:r w:rsidRPr="00CE433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Францiя</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БОФУР ІПСЕН ІНДУСТРІ</w:t>
            </w:r>
            <w:r w:rsidRPr="00CE433C">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Перереєстрація на необмежений термін</w:t>
            </w:r>
            <w:r w:rsidRPr="00CE433C">
              <w:rPr>
                <w:rFonts w:ascii="Arial" w:hAnsi="Arial" w:cs="Arial"/>
                <w:sz w:val="16"/>
                <w:szCs w:val="16"/>
              </w:rPr>
              <w:br/>
              <w:t>Оновлено інформацію в інструкції для медичного застосування лікарського засобу, а саме у розділі "Фармакотерапевтична група. Код АТХ" надано розширену назву фармакотерапевтичної групи та редаговано розділи "Побічні реакції" (щодо повідомлень про підозрювані побічні реакції), "Заявник", "Місцезнаходження заявника та/або представника заявника".</w:t>
            </w:r>
            <w:r w:rsidRPr="00CE433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sz w:val="16"/>
                <w:szCs w:val="16"/>
              </w:rPr>
            </w:pPr>
            <w:r w:rsidRPr="00CE433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UA/16117/01/01</w:t>
            </w:r>
          </w:p>
        </w:tc>
      </w:tr>
      <w:tr w:rsidR="00E156B9" w:rsidRPr="00CE433C" w:rsidTr="004321E0">
        <w:tc>
          <w:tcPr>
            <w:tcW w:w="568"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E156B9">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4321E0">
            <w:pPr>
              <w:pStyle w:val="110"/>
              <w:tabs>
                <w:tab w:val="left" w:pos="12600"/>
              </w:tabs>
              <w:rPr>
                <w:rFonts w:ascii="Arial" w:hAnsi="Arial" w:cs="Arial"/>
                <w:b/>
                <w:i/>
                <w:sz w:val="16"/>
                <w:szCs w:val="16"/>
              </w:rPr>
            </w:pPr>
            <w:r w:rsidRPr="00CE433C">
              <w:rPr>
                <w:rFonts w:ascii="Arial" w:hAnsi="Arial" w:cs="Arial"/>
                <w:b/>
                <w:sz w:val="16"/>
                <w:szCs w:val="16"/>
              </w:rPr>
              <w:t>ФЕРРОЛЕК-ЗДОРОВ`Я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rPr>
                <w:rFonts w:ascii="Arial" w:hAnsi="Arial" w:cs="Arial"/>
                <w:sz w:val="16"/>
                <w:szCs w:val="16"/>
              </w:rPr>
            </w:pPr>
            <w:r w:rsidRPr="00CE433C">
              <w:rPr>
                <w:rFonts w:ascii="Arial" w:hAnsi="Arial" w:cs="Arial"/>
                <w:sz w:val="16"/>
                <w:szCs w:val="16"/>
              </w:rPr>
              <w:t>сироп по 100 мл у флаконі зі скла, закритому кришкою; по 1 флакону зі стаканом мірним у коробці з картону;</w:t>
            </w:r>
            <w:r w:rsidRPr="00CE433C">
              <w:rPr>
                <w:rFonts w:ascii="Arial" w:hAnsi="Arial" w:cs="Arial"/>
                <w:sz w:val="16"/>
                <w:szCs w:val="16"/>
              </w:rPr>
              <w:br/>
              <w:t xml:space="preserve">по 200 мл у флаконі зі скла, закритому кришкою; по 1 флакону зі шприц-піпеткою дозуючою у коробці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Товариство з обмеженою відповідальністю "Фармацевтична компанія "Здоров'я"</w:t>
            </w:r>
            <w:r w:rsidRPr="00CE433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Товариство з обмеженою відповідальністю "Фармацевтична компанія "Здоров'я"</w:t>
            </w:r>
            <w:r w:rsidRPr="00CE433C">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Перереєстрація на 5 років.</w:t>
            </w:r>
            <w:r w:rsidRPr="00CE433C">
              <w:rPr>
                <w:rFonts w:ascii="Arial" w:hAnsi="Arial" w:cs="Arial"/>
                <w:sz w:val="16"/>
                <w:szCs w:val="16"/>
              </w:rPr>
              <w:br/>
              <w:t>Оновлено інформацію у розділах "Взаємодія з іншими лікарськими засобами та інші види взаємодій", "Особливості застосування", "Передозування", "Побічні реакції" інструкції для медичного застосування лікарського засобу відповідно до оновленої інформації референтного лікарського засобу Актиферин®.</w:t>
            </w:r>
            <w:r w:rsidRPr="00CE433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sz w:val="16"/>
                <w:szCs w:val="16"/>
              </w:rPr>
            </w:pPr>
            <w:r w:rsidRPr="00CE433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UA/16899/01/01</w:t>
            </w:r>
          </w:p>
        </w:tc>
      </w:tr>
      <w:tr w:rsidR="00E156B9" w:rsidRPr="00CE433C" w:rsidTr="004321E0">
        <w:tc>
          <w:tcPr>
            <w:tcW w:w="568"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E156B9">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156B9" w:rsidRPr="00CE433C" w:rsidRDefault="00E156B9" w:rsidP="004321E0">
            <w:pPr>
              <w:pStyle w:val="110"/>
              <w:tabs>
                <w:tab w:val="left" w:pos="12600"/>
              </w:tabs>
              <w:rPr>
                <w:rFonts w:ascii="Arial" w:hAnsi="Arial" w:cs="Arial"/>
                <w:b/>
                <w:i/>
                <w:sz w:val="16"/>
                <w:szCs w:val="16"/>
              </w:rPr>
            </w:pPr>
            <w:r w:rsidRPr="00CE433C">
              <w:rPr>
                <w:rFonts w:ascii="Arial" w:hAnsi="Arial" w:cs="Arial"/>
                <w:b/>
                <w:sz w:val="16"/>
                <w:szCs w:val="16"/>
              </w:rPr>
              <w:t>ХОНДРОІТИН®-ФІТОФАРМ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rPr>
                <w:rFonts w:ascii="Arial" w:hAnsi="Arial" w:cs="Arial"/>
                <w:sz w:val="16"/>
                <w:szCs w:val="16"/>
              </w:rPr>
            </w:pPr>
            <w:r w:rsidRPr="00CE433C">
              <w:rPr>
                <w:rFonts w:ascii="Arial" w:hAnsi="Arial" w:cs="Arial"/>
                <w:sz w:val="16"/>
                <w:szCs w:val="16"/>
              </w:rPr>
              <w:t>емульгель для зовнішнього застосування, 5%, по 25 г або 40 г у тубі, по 1 тубі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ПРАТ "ФІТОФАРМ"</w:t>
            </w:r>
            <w:r w:rsidRPr="00CE433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ПРАТ "ФІТОФАРМ"</w:t>
            </w:r>
            <w:r w:rsidRPr="00CE433C">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Перереєстрація на необмежений термін</w:t>
            </w:r>
            <w:r w:rsidRPr="00CE433C">
              <w:rPr>
                <w:rFonts w:ascii="Arial" w:hAnsi="Arial" w:cs="Arial"/>
                <w:sz w:val="16"/>
                <w:szCs w:val="16"/>
              </w:rPr>
              <w:br/>
              <w:t>Оновлено інформацію в Інструкції для медичного застосування лікарського засобу у розділі "Побічні реакції" відповідно до оновленої інформації щодо важливості інформування про побічні реакції.</w:t>
            </w:r>
            <w:r w:rsidRPr="00CE433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sz w:val="16"/>
                <w:szCs w:val="16"/>
              </w:rPr>
            </w:pPr>
            <w:r w:rsidRPr="00CE433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56B9" w:rsidRPr="00CE433C" w:rsidRDefault="00E156B9" w:rsidP="004321E0">
            <w:pPr>
              <w:pStyle w:val="110"/>
              <w:tabs>
                <w:tab w:val="left" w:pos="12600"/>
              </w:tabs>
              <w:jc w:val="center"/>
              <w:rPr>
                <w:rFonts w:ascii="Arial" w:hAnsi="Arial" w:cs="Arial"/>
                <w:sz w:val="16"/>
                <w:szCs w:val="16"/>
              </w:rPr>
            </w:pPr>
            <w:r w:rsidRPr="00CE433C">
              <w:rPr>
                <w:rFonts w:ascii="Arial" w:hAnsi="Arial" w:cs="Arial"/>
                <w:sz w:val="16"/>
                <w:szCs w:val="16"/>
              </w:rPr>
              <w:t>UA/17346/01/01</w:t>
            </w:r>
          </w:p>
        </w:tc>
      </w:tr>
    </w:tbl>
    <w:p w:rsidR="00E156B9" w:rsidRDefault="00E156B9" w:rsidP="00E156B9">
      <w:pPr>
        <w:pStyle w:val="11"/>
      </w:pPr>
    </w:p>
    <w:p w:rsidR="00E156B9" w:rsidRPr="00CE433C" w:rsidRDefault="00E156B9" w:rsidP="00E156B9">
      <w:pPr>
        <w:pStyle w:val="11"/>
      </w:pPr>
    </w:p>
    <w:p w:rsidR="00E156B9" w:rsidRPr="00B4644C" w:rsidRDefault="00E156B9" w:rsidP="00E156B9">
      <w:pPr>
        <w:pStyle w:val="11"/>
        <w:rPr>
          <w:b/>
          <w:sz w:val="28"/>
          <w:szCs w:val="28"/>
        </w:rPr>
      </w:pPr>
      <w:r w:rsidRPr="00B4644C">
        <w:rPr>
          <w:b/>
          <w:sz w:val="28"/>
          <w:szCs w:val="28"/>
        </w:rPr>
        <w:t xml:space="preserve">Начальник </w:t>
      </w:r>
    </w:p>
    <w:p w:rsidR="00E156B9" w:rsidRPr="00CE433C" w:rsidRDefault="00E156B9" w:rsidP="00E156B9">
      <w:pPr>
        <w:pStyle w:val="11"/>
      </w:pPr>
      <w:r w:rsidRPr="00B4644C">
        <w:rPr>
          <w:b/>
          <w:sz w:val="28"/>
          <w:szCs w:val="28"/>
        </w:rPr>
        <w:t xml:space="preserve">Фармацевтичного управління             </w:t>
      </w:r>
      <w:r>
        <w:rPr>
          <w:b/>
          <w:sz w:val="28"/>
          <w:szCs w:val="28"/>
        </w:rPr>
        <w:t xml:space="preserve">                                                                         </w:t>
      </w:r>
      <w:r w:rsidRPr="00B4644C">
        <w:rPr>
          <w:b/>
          <w:sz w:val="28"/>
          <w:szCs w:val="28"/>
        </w:rPr>
        <w:t xml:space="preserve">          Тарас ЛЯСКОВСЬКИЙ</w:t>
      </w:r>
    </w:p>
    <w:p w:rsidR="00E156B9" w:rsidRDefault="00E156B9" w:rsidP="00FC73F7">
      <w:pPr>
        <w:pStyle w:val="31"/>
        <w:spacing w:after="0"/>
        <w:ind w:left="0"/>
        <w:rPr>
          <w:b/>
          <w:sz w:val="28"/>
          <w:szCs w:val="28"/>
          <w:lang w:val="uk-UA"/>
        </w:rPr>
        <w:sectPr w:rsidR="00E156B9" w:rsidSect="004321E0">
          <w:headerReference w:type="default" r:id="rId15"/>
          <w:footerReference w:type="default" r:id="rId16"/>
          <w:pgSz w:w="16838" w:h="11906" w:orient="landscape"/>
          <w:pgMar w:top="709"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E24DB9" w:rsidRPr="00CE433C" w:rsidTr="004321E0">
        <w:tc>
          <w:tcPr>
            <w:tcW w:w="3828" w:type="dxa"/>
          </w:tcPr>
          <w:p w:rsidR="00E24DB9" w:rsidRPr="00021C98" w:rsidRDefault="00E24DB9" w:rsidP="0017653F">
            <w:pPr>
              <w:keepNext/>
              <w:tabs>
                <w:tab w:val="left" w:pos="12600"/>
              </w:tabs>
              <w:outlineLvl w:val="3"/>
              <w:rPr>
                <w:b/>
                <w:iCs/>
                <w:sz w:val="18"/>
                <w:szCs w:val="18"/>
              </w:rPr>
            </w:pPr>
            <w:r w:rsidRPr="00021C98">
              <w:rPr>
                <w:b/>
                <w:iCs/>
                <w:sz w:val="18"/>
                <w:szCs w:val="18"/>
              </w:rPr>
              <w:t>Додаток 3</w:t>
            </w:r>
          </w:p>
          <w:p w:rsidR="00E24DB9" w:rsidRPr="00021C98" w:rsidRDefault="00E24DB9" w:rsidP="0017653F">
            <w:pPr>
              <w:pStyle w:val="4"/>
              <w:tabs>
                <w:tab w:val="left" w:pos="12600"/>
              </w:tabs>
              <w:spacing w:before="0" w:after="0"/>
              <w:rPr>
                <w:iCs/>
                <w:sz w:val="18"/>
                <w:szCs w:val="18"/>
              </w:rPr>
            </w:pPr>
            <w:r w:rsidRPr="00021C98">
              <w:rPr>
                <w:iCs/>
                <w:sz w:val="18"/>
                <w:szCs w:val="18"/>
              </w:rPr>
              <w:t>до наказу Міністерства охорони</w:t>
            </w:r>
          </w:p>
          <w:p w:rsidR="00E24DB9" w:rsidRPr="00021C98" w:rsidRDefault="00E24DB9" w:rsidP="0017653F">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E24DB9" w:rsidRPr="002C2091" w:rsidRDefault="00E24DB9" w:rsidP="0017653F">
            <w:pPr>
              <w:tabs>
                <w:tab w:val="left" w:pos="12600"/>
              </w:tabs>
              <w:rPr>
                <w:rFonts w:ascii="Arial" w:hAnsi="Arial" w:cs="Arial"/>
                <w:b/>
                <w:sz w:val="18"/>
                <w:szCs w:val="18"/>
                <w:u w:val="single"/>
              </w:rPr>
            </w:pPr>
            <w:r w:rsidRPr="002C2091">
              <w:rPr>
                <w:b/>
                <w:sz w:val="18"/>
                <w:szCs w:val="18"/>
                <w:u w:val="single"/>
              </w:rPr>
              <w:t>від 03 серпня 2023 року № 1397</w:t>
            </w:r>
          </w:p>
        </w:tc>
      </w:tr>
    </w:tbl>
    <w:p w:rsidR="00E24DB9" w:rsidRPr="00CE433C" w:rsidRDefault="00E24DB9" w:rsidP="00E24DB9">
      <w:pPr>
        <w:tabs>
          <w:tab w:val="left" w:pos="12600"/>
        </w:tabs>
        <w:jc w:val="center"/>
        <w:rPr>
          <w:rFonts w:ascii="Arial" w:hAnsi="Arial" w:cs="Arial"/>
          <w:sz w:val="18"/>
          <w:szCs w:val="18"/>
          <w:u w:val="single"/>
        </w:rPr>
      </w:pPr>
    </w:p>
    <w:p w:rsidR="00E24DB9" w:rsidRPr="004B381D" w:rsidRDefault="00E24DB9" w:rsidP="00E24DB9">
      <w:pPr>
        <w:pStyle w:val="3a"/>
        <w:jc w:val="center"/>
        <w:rPr>
          <w:b/>
          <w:caps/>
          <w:sz w:val="28"/>
          <w:szCs w:val="28"/>
          <w:lang w:eastAsia="uk-UA"/>
        </w:rPr>
      </w:pPr>
      <w:r w:rsidRPr="004B381D">
        <w:rPr>
          <w:b/>
          <w:caps/>
          <w:sz w:val="28"/>
          <w:szCs w:val="28"/>
          <w:lang w:eastAsia="uk-UA"/>
        </w:rPr>
        <w:t>ПЕРЕЛІК</w:t>
      </w:r>
    </w:p>
    <w:p w:rsidR="00E24DB9" w:rsidRPr="002666E5" w:rsidRDefault="00E24DB9" w:rsidP="00E24DB9">
      <w:pPr>
        <w:pStyle w:val="3a"/>
        <w:jc w:val="center"/>
        <w:rPr>
          <w:rFonts w:ascii="Arial" w:hAnsi="Arial" w:cs="Arial"/>
          <w:color w:val="000000"/>
          <w:sz w:val="26"/>
          <w:szCs w:val="26"/>
        </w:rPr>
      </w:pPr>
      <w:r w:rsidRPr="004B381D">
        <w:rPr>
          <w:b/>
          <w:caps/>
          <w:sz w:val="28"/>
          <w:szCs w:val="28"/>
          <w:lang w:eastAsia="uk-UA"/>
        </w:rPr>
        <w:t xml:space="preserve">ЛІКАРСЬКИХ ЗАСОБІВ (МЕДИЧНИХ ІМУНОБІОЛОГІЧНИХ ПРЕПАРАТІВ), ЩОДО ЯКИХ БУЛИ ВНЕСЕНІ ЗМІНИ ДО </w:t>
      </w:r>
      <w:r w:rsidRPr="004B381D">
        <w:rPr>
          <w:b/>
          <w:caps/>
          <w:sz w:val="28"/>
          <w:szCs w:val="28"/>
        </w:rPr>
        <w:t>реєстраційних матеріалів</w:t>
      </w:r>
      <w:r w:rsidRPr="004B381D">
        <w:rPr>
          <w:b/>
          <w:caps/>
          <w:sz w:val="28"/>
          <w:szCs w:val="28"/>
          <w:lang w:eastAsia="uk-UA"/>
        </w:rPr>
        <w:t>, ЯКІ ВНОСЯТЬСЯ ДО ДЕРЖАВНОГО РЕЄСТРУ ЛІКАРСЬКИХ ЗАСОБІВ УКРАЇНИ</w:t>
      </w:r>
    </w:p>
    <w:p w:rsidR="00E24DB9" w:rsidRPr="00CF2C09" w:rsidRDefault="00E24DB9" w:rsidP="00E24DB9">
      <w:pPr>
        <w:keepNext/>
        <w:jc w:val="center"/>
        <w:outlineLvl w:val="3"/>
        <w:rPr>
          <w:rFonts w:ascii="Arial" w:hAnsi="Arial" w:cs="Arial"/>
          <w:b/>
          <w:caps/>
          <w:sz w:val="26"/>
          <w:szCs w:val="26"/>
          <w:lang w:val="uk-UA"/>
        </w:rPr>
      </w:pPr>
    </w:p>
    <w:tbl>
      <w:tblPr>
        <w:tblW w:w="16161"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9"/>
        <w:gridCol w:w="1985"/>
        <w:gridCol w:w="1276"/>
        <w:gridCol w:w="992"/>
        <w:gridCol w:w="1418"/>
        <w:gridCol w:w="1133"/>
        <w:gridCol w:w="3827"/>
        <w:gridCol w:w="1134"/>
        <w:gridCol w:w="851"/>
        <w:gridCol w:w="1560"/>
      </w:tblGrid>
      <w:tr w:rsidR="00E24DB9" w:rsidRPr="00CE433C" w:rsidTr="004321E0">
        <w:trPr>
          <w:tblHeader/>
        </w:trPr>
        <w:tc>
          <w:tcPr>
            <w:tcW w:w="566" w:type="dxa"/>
            <w:tcBorders>
              <w:top w:val="single" w:sz="4" w:space="0" w:color="000000"/>
            </w:tcBorders>
            <w:shd w:val="clear" w:color="auto" w:fill="D9D9D9"/>
          </w:tcPr>
          <w:p w:rsidR="00E24DB9" w:rsidRPr="00CE433C" w:rsidRDefault="00E24DB9" w:rsidP="004321E0">
            <w:pPr>
              <w:tabs>
                <w:tab w:val="left" w:pos="12600"/>
              </w:tabs>
              <w:jc w:val="center"/>
              <w:rPr>
                <w:rFonts w:ascii="Arial" w:hAnsi="Arial" w:cs="Arial"/>
                <w:b/>
                <w:i/>
                <w:sz w:val="16"/>
                <w:szCs w:val="16"/>
              </w:rPr>
            </w:pPr>
            <w:r w:rsidRPr="00CE433C">
              <w:rPr>
                <w:rFonts w:ascii="Arial" w:hAnsi="Arial" w:cs="Arial"/>
                <w:b/>
                <w:i/>
                <w:sz w:val="16"/>
                <w:szCs w:val="16"/>
              </w:rPr>
              <w:t>№ п/п</w:t>
            </w:r>
          </w:p>
        </w:tc>
        <w:tc>
          <w:tcPr>
            <w:tcW w:w="1419" w:type="dxa"/>
            <w:tcBorders>
              <w:top w:val="single" w:sz="4" w:space="0" w:color="000000"/>
            </w:tcBorders>
            <w:shd w:val="clear" w:color="auto" w:fill="D9D9D9"/>
          </w:tcPr>
          <w:p w:rsidR="00E24DB9" w:rsidRPr="00CE433C" w:rsidRDefault="00E24DB9" w:rsidP="004321E0">
            <w:pPr>
              <w:tabs>
                <w:tab w:val="left" w:pos="12600"/>
              </w:tabs>
              <w:jc w:val="center"/>
              <w:rPr>
                <w:rFonts w:ascii="Arial" w:hAnsi="Arial" w:cs="Arial"/>
                <w:b/>
                <w:i/>
                <w:sz w:val="16"/>
                <w:szCs w:val="16"/>
              </w:rPr>
            </w:pPr>
            <w:r w:rsidRPr="00CE433C">
              <w:rPr>
                <w:rFonts w:ascii="Arial" w:hAnsi="Arial" w:cs="Arial"/>
                <w:b/>
                <w:i/>
                <w:sz w:val="16"/>
                <w:szCs w:val="16"/>
              </w:rPr>
              <w:t>Назва лікарського засобу</w:t>
            </w:r>
          </w:p>
        </w:tc>
        <w:tc>
          <w:tcPr>
            <w:tcW w:w="1985" w:type="dxa"/>
            <w:tcBorders>
              <w:top w:val="single" w:sz="4" w:space="0" w:color="000000"/>
            </w:tcBorders>
            <w:shd w:val="clear" w:color="auto" w:fill="D9D9D9"/>
          </w:tcPr>
          <w:p w:rsidR="00E24DB9" w:rsidRPr="00CE433C" w:rsidRDefault="00E24DB9" w:rsidP="004321E0">
            <w:pPr>
              <w:tabs>
                <w:tab w:val="left" w:pos="12600"/>
              </w:tabs>
              <w:jc w:val="center"/>
              <w:rPr>
                <w:rFonts w:ascii="Arial" w:hAnsi="Arial" w:cs="Arial"/>
                <w:b/>
                <w:i/>
                <w:sz w:val="16"/>
                <w:szCs w:val="16"/>
              </w:rPr>
            </w:pPr>
            <w:r w:rsidRPr="00CE433C">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E24DB9" w:rsidRPr="00CE433C" w:rsidRDefault="00E24DB9" w:rsidP="004321E0">
            <w:pPr>
              <w:tabs>
                <w:tab w:val="left" w:pos="12600"/>
              </w:tabs>
              <w:jc w:val="center"/>
              <w:rPr>
                <w:rFonts w:ascii="Arial" w:hAnsi="Arial" w:cs="Arial"/>
                <w:b/>
                <w:i/>
                <w:sz w:val="16"/>
                <w:szCs w:val="16"/>
              </w:rPr>
            </w:pPr>
            <w:r w:rsidRPr="00CE433C">
              <w:rPr>
                <w:rFonts w:ascii="Arial" w:hAnsi="Arial" w:cs="Arial"/>
                <w:b/>
                <w:i/>
                <w:sz w:val="16"/>
                <w:szCs w:val="16"/>
              </w:rPr>
              <w:t>Заявник</w:t>
            </w:r>
          </w:p>
        </w:tc>
        <w:tc>
          <w:tcPr>
            <w:tcW w:w="992" w:type="dxa"/>
            <w:tcBorders>
              <w:top w:val="single" w:sz="4" w:space="0" w:color="000000"/>
            </w:tcBorders>
            <w:shd w:val="clear" w:color="auto" w:fill="D9D9D9"/>
          </w:tcPr>
          <w:p w:rsidR="00E24DB9" w:rsidRPr="00CE433C" w:rsidRDefault="00E24DB9" w:rsidP="004321E0">
            <w:pPr>
              <w:tabs>
                <w:tab w:val="left" w:pos="12600"/>
              </w:tabs>
              <w:jc w:val="center"/>
              <w:rPr>
                <w:rFonts w:ascii="Arial" w:hAnsi="Arial" w:cs="Arial"/>
                <w:b/>
                <w:i/>
                <w:sz w:val="16"/>
                <w:szCs w:val="16"/>
              </w:rPr>
            </w:pPr>
            <w:r w:rsidRPr="00CE433C">
              <w:rPr>
                <w:rFonts w:ascii="Arial" w:hAnsi="Arial" w:cs="Arial"/>
                <w:b/>
                <w:i/>
                <w:sz w:val="16"/>
                <w:szCs w:val="16"/>
              </w:rPr>
              <w:t>Країна заявника</w:t>
            </w:r>
          </w:p>
        </w:tc>
        <w:tc>
          <w:tcPr>
            <w:tcW w:w="1418" w:type="dxa"/>
            <w:tcBorders>
              <w:top w:val="single" w:sz="4" w:space="0" w:color="000000"/>
            </w:tcBorders>
            <w:shd w:val="clear" w:color="auto" w:fill="D9D9D9"/>
          </w:tcPr>
          <w:p w:rsidR="00E24DB9" w:rsidRPr="00CE433C" w:rsidRDefault="00E24DB9" w:rsidP="004321E0">
            <w:pPr>
              <w:tabs>
                <w:tab w:val="left" w:pos="12600"/>
              </w:tabs>
              <w:jc w:val="center"/>
              <w:rPr>
                <w:rFonts w:ascii="Arial" w:hAnsi="Arial" w:cs="Arial"/>
                <w:b/>
                <w:i/>
                <w:sz w:val="16"/>
                <w:szCs w:val="16"/>
              </w:rPr>
            </w:pPr>
            <w:r w:rsidRPr="00CE433C">
              <w:rPr>
                <w:rFonts w:ascii="Arial" w:hAnsi="Arial" w:cs="Arial"/>
                <w:b/>
                <w:i/>
                <w:sz w:val="16"/>
                <w:szCs w:val="16"/>
              </w:rPr>
              <w:t>Виробник</w:t>
            </w:r>
          </w:p>
        </w:tc>
        <w:tc>
          <w:tcPr>
            <w:tcW w:w="1133" w:type="dxa"/>
            <w:tcBorders>
              <w:top w:val="single" w:sz="4" w:space="0" w:color="000000"/>
            </w:tcBorders>
            <w:shd w:val="clear" w:color="auto" w:fill="D9D9D9"/>
          </w:tcPr>
          <w:p w:rsidR="00E24DB9" w:rsidRPr="00CE433C" w:rsidRDefault="00E24DB9" w:rsidP="004321E0">
            <w:pPr>
              <w:tabs>
                <w:tab w:val="left" w:pos="12600"/>
              </w:tabs>
              <w:jc w:val="center"/>
              <w:rPr>
                <w:rFonts w:ascii="Arial" w:hAnsi="Arial" w:cs="Arial"/>
                <w:b/>
                <w:i/>
                <w:sz w:val="16"/>
                <w:szCs w:val="16"/>
              </w:rPr>
            </w:pPr>
            <w:r w:rsidRPr="00CE433C">
              <w:rPr>
                <w:rFonts w:ascii="Arial" w:hAnsi="Arial" w:cs="Arial"/>
                <w:b/>
                <w:i/>
                <w:sz w:val="16"/>
                <w:szCs w:val="16"/>
              </w:rPr>
              <w:t>Країна виробника</w:t>
            </w:r>
          </w:p>
        </w:tc>
        <w:tc>
          <w:tcPr>
            <w:tcW w:w="3827" w:type="dxa"/>
            <w:tcBorders>
              <w:top w:val="single" w:sz="4" w:space="0" w:color="000000"/>
            </w:tcBorders>
            <w:shd w:val="clear" w:color="auto" w:fill="D9D9D9"/>
          </w:tcPr>
          <w:p w:rsidR="00E24DB9" w:rsidRPr="00CE433C" w:rsidRDefault="00E24DB9" w:rsidP="004321E0">
            <w:pPr>
              <w:tabs>
                <w:tab w:val="left" w:pos="12600"/>
              </w:tabs>
              <w:jc w:val="center"/>
              <w:rPr>
                <w:rFonts w:ascii="Arial" w:hAnsi="Arial" w:cs="Arial"/>
                <w:b/>
                <w:i/>
                <w:sz w:val="16"/>
                <w:szCs w:val="16"/>
              </w:rPr>
            </w:pPr>
            <w:r w:rsidRPr="00CE433C">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24DB9" w:rsidRPr="00CE433C" w:rsidRDefault="00E24DB9" w:rsidP="004321E0">
            <w:pPr>
              <w:tabs>
                <w:tab w:val="left" w:pos="12600"/>
              </w:tabs>
              <w:jc w:val="center"/>
              <w:rPr>
                <w:rFonts w:ascii="Arial" w:hAnsi="Arial" w:cs="Arial"/>
                <w:b/>
                <w:i/>
                <w:sz w:val="16"/>
                <w:szCs w:val="16"/>
              </w:rPr>
            </w:pPr>
            <w:r w:rsidRPr="00CE433C">
              <w:rPr>
                <w:rFonts w:ascii="Arial" w:hAnsi="Arial" w:cs="Arial"/>
                <w:b/>
                <w:i/>
                <w:sz w:val="16"/>
                <w:szCs w:val="16"/>
              </w:rPr>
              <w:t>Умови відпуску</w:t>
            </w:r>
          </w:p>
        </w:tc>
        <w:tc>
          <w:tcPr>
            <w:tcW w:w="851" w:type="dxa"/>
            <w:tcBorders>
              <w:top w:val="single" w:sz="4" w:space="0" w:color="000000"/>
            </w:tcBorders>
            <w:shd w:val="clear" w:color="auto" w:fill="D9D9D9"/>
          </w:tcPr>
          <w:p w:rsidR="00E24DB9" w:rsidRPr="00CE433C" w:rsidRDefault="00E24DB9" w:rsidP="004321E0">
            <w:pPr>
              <w:tabs>
                <w:tab w:val="left" w:pos="12600"/>
              </w:tabs>
              <w:jc w:val="center"/>
              <w:rPr>
                <w:rFonts w:ascii="Arial" w:hAnsi="Arial" w:cs="Arial"/>
                <w:b/>
                <w:i/>
                <w:sz w:val="16"/>
                <w:szCs w:val="16"/>
              </w:rPr>
            </w:pPr>
            <w:r w:rsidRPr="00CE433C">
              <w:rPr>
                <w:rFonts w:ascii="Arial" w:hAnsi="Arial" w:cs="Arial"/>
                <w:b/>
                <w:i/>
                <w:sz w:val="16"/>
                <w:szCs w:val="16"/>
              </w:rPr>
              <w:t>Рекламування*</w:t>
            </w:r>
          </w:p>
        </w:tc>
        <w:tc>
          <w:tcPr>
            <w:tcW w:w="1560" w:type="dxa"/>
            <w:tcBorders>
              <w:top w:val="single" w:sz="4" w:space="0" w:color="000000"/>
            </w:tcBorders>
            <w:shd w:val="clear" w:color="auto" w:fill="D9D9D9"/>
          </w:tcPr>
          <w:p w:rsidR="00E24DB9" w:rsidRPr="00CE433C" w:rsidRDefault="00E24DB9" w:rsidP="004321E0">
            <w:pPr>
              <w:tabs>
                <w:tab w:val="left" w:pos="12600"/>
              </w:tabs>
              <w:jc w:val="center"/>
              <w:rPr>
                <w:rFonts w:ascii="Arial" w:hAnsi="Arial" w:cs="Arial"/>
                <w:b/>
                <w:i/>
                <w:sz w:val="16"/>
                <w:szCs w:val="16"/>
              </w:rPr>
            </w:pPr>
            <w:r w:rsidRPr="00CE433C">
              <w:rPr>
                <w:rFonts w:ascii="Arial" w:hAnsi="Arial" w:cs="Arial"/>
                <w:b/>
                <w:i/>
                <w:sz w:val="16"/>
                <w:szCs w:val="16"/>
              </w:rPr>
              <w:t>Номер реєстраційного посвідчення</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АІМАФІКС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КЕДРІОН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КЕДРІОН С.П.А.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Італiя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ФАЛОРНІ С.Р.Л., Італія, на якій проводиться вторинне пакування готового лікарського засобу.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від уже затвердженого виробника (OPORCIN S.p.A.) для допоміжної речовини – гепарину натрію. Затверджено: R1-CEP-2002-006-Rev 08. Запропоновано: R1-CEP-2002-006-Rev 09.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w:t>
            </w:r>
            <w:r w:rsidRPr="00CE433C">
              <w:rPr>
                <w:rFonts w:ascii="Arial" w:hAnsi="Arial" w:cs="Arial"/>
                <w:sz w:val="16"/>
                <w:szCs w:val="16"/>
              </w:rPr>
              <w:br/>
              <w:t>Додавання альтернативної виробничої дільниці ЕУРОФІНС БІОЛАБ СРЛ, Італія (EUROFINS BIOLAB SRL, Via Bruno Bouzzi 2, 20055 – Vimodrone (MI) - Italy), на якій здійснюється контроль якості готового лікарського засобу за показником "Пірогени”.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UA/17426/01/01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АІМАФІКС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КЕДРІОН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КЕДРІОН С.П.А.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Італiя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ФАЛОРНІ С.Р.Л., Італія, на якій проводиться вторинне пакування готового лікарського засобу.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від уже затвердженого виробника (OPORCIN S.p.A.) для допоміжної речовини – гепарину натрію. Затверджено: R1-CEP-2002-006-Rev 08. Запропоновано: R1-CEP-2002-006-Rev 09.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w:t>
            </w:r>
            <w:r w:rsidRPr="00CE433C">
              <w:rPr>
                <w:rFonts w:ascii="Arial" w:hAnsi="Arial" w:cs="Arial"/>
                <w:sz w:val="16"/>
                <w:szCs w:val="16"/>
              </w:rPr>
              <w:br/>
              <w:t>Додавання альтернативної виробничої дільниці ЕУРОФІНС БІОЛАБ СРЛ, Італія (EUROFINS BIOLAB SRL, Via Bruno Bouzzi 2, 20055 – Vimodrone (MI) - Italy), на якій здійснюється контроль якості готового лікарського засобу за показником "Пірогени”.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UA/17426/01/02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АЙЛІЯ®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розчин для ін'єкцій, 40 мг/мл; по 0,165 мл у попередньо заповненому шприці; по 1 шприцу (запаяному у блістер) у картонній упаковці; </w:t>
            </w:r>
            <w:r w:rsidRPr="00CE433C">
              <w:rPr>
                <w:rFonts w:ascii="Arial" w:hAnsi="Arial" w:cs="Arial"/>
                <w:sz w:val="16"/>
                <w:szCs w:val="16"/>
              </w:rPr>
              <w:br/>
              <w:t>по 0,278 мл у скляному флаконі; по 1 флакону з фільтрувальною голкою 18 G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Байєр АГ, Берлін, Німеччина (виробництво (включаючи стерильну фільтрацію, наповнення - первинна упаковка), вторинна упаковка, контроль серії, відповідальний за випуск серії для флаконів, маркування, блістерна упаковка, стерилізація, вторинна упаковка, виробничий контроль, контроль якості, відповідальний за випуск серії для попередньо заповнених шприців); Байєр АГ, Німеччина, Вупперталь, Німеччина (контроль серії); Байєр АГ, Німеччина, Леверкузен, Німеччина (контроль якості для попередньо заповнених шприців, контроль якості (тільки тест на механічні включення) для флаконів); Веттер Фарма-Фертігунг ГмбХ і Ко. КГ, Німеччина (виробництво (включаючи стерильну фільтрацію, наповнення - первинна упаковка), виробничий контроль, контроль якості, візуальна інспекція для флаконів; виробничий контроль, контроль якості, візуальна інспекція для попередньо заповнених шприців); Єврофінс Ланкастер Лабораторіз, Інк., США (контроль якості нерозфасованої продукції); Редженерон Фармасьютікалс, Інк., США (виробництво нерозфасованої продукції, контроль якості нерозфасованої продукції)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США </w:t>
            </w:r>
            <w:r w:rsidRPr="00CE433C">
              <w:rPr>
                <w:rFonts w:ascii="Arial" w:hAnsi="Arial" w:cs="Arial"/>
                <w:sz w:val="16"/>
                <w:szCs w:val="16"/>
              </w:rPr>
              <w:br/>
            </w:r>
          </w:p>
          <w:p w:rsidR="00E24DB9" w:rsidRPr="00CE433C" w:rsidRDefault="00E24DB9" w:rsidP="004321E0">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"Спосіб застосування та дози", "Побічні реакції". Термін введення змін протягом 4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UA/12600/01/01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АКЛІФ</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крем 0,005 %; по 30 г крему у контейнері;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Галдерма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ЛАБОРАТОРІЇ ГАЛДЕРМА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діючої речовини Трифаротен. Місце виробництва, адреса та всі виробничі операції залишилися незмінними. Діюча редакція: HELSINN Advanced Synthesis SA Via Industria 24, 6710 Biasca, Switzerland Пропонована редакція: HAS Healthcare Advanced Synthesis S.A. Via Industria 24, 6710 Biasca, Switzerland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UA/19623/01/01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 xml:space="preserve">АМБІТ®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розчин для ін'єкцій, 30 мг/мл; по 1 мл в ампулі, по 10 ампул у блістері, по 1 блістеру у пачці; по 1 мл в ампулі, по 5 ампул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рекомендації PRAC EMA. Термін введення змін - протягом 6 місяців після затвердження</w:t>
            </w:r>
            <w:r w:rsidRPr="00CE433C">
              <w:rPr>
                <w:rFonts w:ascii="Arial" w:hAnsi="Arial" w:cs="Arial"/>
                <w:sz w:val="16"/>
                <w:szCs w:val="16"/>
              </w:rPr>
              <w:b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інформації стосовно повідомленнь про побічні реакції. </w:t>
            </w:r>
            <w:r w:rsidRPr="00CE433C">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UA/18024/01/01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АМБІТ®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таблетки, вкриті плівковою оболонкою, по 10 мг по 10 таблеток у блістері; по 1 або 10 блістерів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рекомендації PRAC EMA. Термін введення змін протягом 6 місяців після затвердження.</w:t>
            </w:r>
            <w:r w:rsidRPr="00CE433C">
              <w:rPr>
                <w:rFonts w:ascii="Arial" w:hAnsi="Arial" w:cs="Arial"/>
                <w:sz w:val="16"/>
                <w:szCs w:val="16"/>
              </w:rPr>
              <w:b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інформації стосовно повідомленнь про побічні реакції. </w:t>
            </w:r>
            <w:r w:rsidRPr="00CE433C">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UA/19563/01/01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АМІНОКАПРОНОВА КИСЛОТА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500 мг;</w:t>
            </w:r>
            <w:r w:rsidRPr="00CE433C">
              <w:rPr>
                <w:rFonts w:ascii="Arial" w:hAnsi="Arial" w:cs="Arial"/>
                <w:sz w:val="16"/>
                <w:szCs w:val="16"/>
              </w:rPr>
              <w:br/>
              <w:t>по 10 таблеток у блістері; по 2 блістери у пачці; по 20 таблеток у контейнері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"ФІТОФАРМ"</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"ФІТОФАРМ"</w:t>
            </w:r>
            <w:r w:rsidRPr="00CE433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UA/7449/01/01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АМІНОПЛАЗМАЛЬ Б.БРАУН 10% 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розчин для інфузій по 500 мл у флаконі; по 10 флаконів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 Браун Мельзунген АГ, Німеччина (виробництво, первинна та вторинна упаковка, випуск серії); Б. Браун Мельзунген АГ, Німеччина (контроль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w:t>
            </w:r>
            <w:r w:rsidRPr="00CE433C">
              <w:rPr>
                <w:rFonts w:ascii="Arial" w:hAnsi="Arial" w:cs="Arial"/>
                <w:b/>
                <w:sz w:val="16"/>
                <w:szCs w:val="16"/>
              </w:rPr>
              <w:t>уточнення реєстраційної процедури в наказі МОЗ України № 490 від 14.03.2023</w:t>
            </w:r>
            <w:r w:rsidRPr="00CE433C">
              <w:rPr>
                <w:rFonts w:ascii="Arial" w:hAnsi="Arial" w:cs="Arial"/>
                <w:sz w:val="16"/>
                <w:szCs w:val="16"/>
              </w:rPr>
              <w:t xml:space="preserve"> - Зміни І типу - Зміни щодо безпеки/ефективності та фармаконагляду (інші зміни) - </w:t>
            </w:r>
            <w:r w:rsidRPr="00CE433C">
              <w:rPr>
                <w:rFonts w:ascii="Arial" w:hAnsi="Arial" w:cs="Arial"/>
                <w:b/>
                <w:sz w:val="16"/>
                <w:szCs w:val="16"/>
              </w:rPr>
              <w:t>Зміни внесені в текст маркування первинної та вторинної упаковок лікарського засобу</w:t>
            </w:r>
            <w:r w:rsidRPr="00CE433C">
              <w:rPr>
                <w:rFonts w:ascii="Arial" w:hAnsi="Arial" w:cs="Arial"/>
                <w:sz w:val="16"/>
                <w:szCs w:val="16"/>
              </w:rPr>
              <w:t xml:space="preserve"> щодо зазначення дати закінчення терміну придатності.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UA/13161/01/01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АМІЦИТРОН® БЕЗ ЦУКРУ</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порошок для орального розчину, по 13 г у саше; по 13 г у саше; по 10 саше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Товариство з додатковою відповідальністю "ІНТЕРХІМ"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діючих речовин згідно з рекомендацією PRAC. 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UA/14116/01/01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АМІЦИТРОН® ЕКСТРАТАБ</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10 таблеток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Товариство з додатковою відповідальністю "ІНТЕРХІМ"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діючих речовин згідно з рекомендацією PRAC. 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UA/15430/01/01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АМІЦИТРОН® ПЛЮС БЕЗ ЦУКРУ</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порошок для орального розчину по 5 г у саше; по 10 саше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Товариство з додатковою відповідальністю "ІНТЕРХІМ"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діючих речовин згідно з рекомендацією PRAC. Введення змін протягом 3-ох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UA/16182/01/01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АМІЦИТРОН® ФОРТЕ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порошок для орального розчину по 23 г у саше; по 23 г у саше; по 10 саше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Товариство з додатковою відповідальністю "ІНТЕРХІМ"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діючих речовин згідно з рекомендацією PRAC. 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UA/13912/01/01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АМІЦИТРОН® ФОРТЕ БЕЗ ЦУКРУ</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порошок для орального розчину по 13 г у саше; по 13 г у саше; по 10 саше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Товариство з додатковою відповідальністю "ІНТЕРХІМ"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діючих речовин згідно з рекомендацією PRAC. 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UA/14117/01/01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АМЛОДИПІН ЄВРО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5 мг, по 10 таблеток у контурній чарунковій упаковці з алюмінієвої фольги (стрипі), по 2 або по 3 стрипа у коробці з пакувального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Юнік Фармасьютикал Лабораторіз (відділення фірми "Дж. Б. Кемікалз енд Фармасьютикалз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розділу "Передозування" щодо безпеки застосування лікарського засобу. 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UA/15752/01/01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АМЛОДИПІН ЄВРО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10 мг, по 10 таблеток у контурній чарунковій упаковці з алюмінієвої фольги (стрипі), по 2 або по 3 стрипа у коробці з пакувального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Юнік Фармасьютикал Лабораторіз (відділення фірми "Дж. Б. Кемікалз енд Фармасьютикалз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розділу "Передозування" щодо безпеки застосування лікарського засобу. 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UA/15752/01/02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АМЛОДИПІН-ДАРНИЦЯ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таблетки по 5 мг; по 10 таблеток у контурній чарунковій упаковці; по 2 контурні чарункові упаковки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показників якості «Залізо» та «Алюміній» зі специфікації допоміжної речовини Кремнію діоксид колоїдний безводний, відповідно до матеріалів виробника згідно з ICH Guideline «Q3D Еlemental impurities» та вимог діючої монографії ЄФ «Silica, colloidal anhydrous»; показник «Насипна густина» вилучено зі специфікації відповідно до вимог монографії ЄФ «Silica, colloidal anhydrous».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методик контролю якості на допоміжну речовину Кремнію діоксид колоїдний безводний у відповідність до вимог діючої монографії ЄФ «Silica, colloidal anhydrous». У зв’язку з цим внесено зміни до 3.2.Р.4.1 Специфікація і 3.2.Р.4.2 Аналітичні методи зміни та/або редакційні уточнення до розділів: «Опис», «Втрата в масі при прожарюванні»; показник «Розчинність» відповідно до вимог ДФУ, 1.4 «Монографії» даний показник має рекомендаційний характер, на цій підставі, вимоги до розчинності субстанції перенесено до загальних властивостей. Введено контроль за показником Хлориди відповідно до вимог діючої монографії ЄФ «Silica, colloidal anhydrous»; «Кількісне визначення» приведено до вимог діючої монографії ЄФ «Silica, colloidal anhydrous».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внесення змін у специфікацію та методи контролю на допоміжну речовину Кремнію діоксид колоїдний безводний, а саме показник «Мікробіологічна чистота» приведений відповідно до вимог ЄФ, 2.6.12,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UA/7940/01/01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АМЛОДИПІН-ДАРНИЦЯ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таблетки по 10 мг по 10 таблеток у контурній чарунковій упаковці; по 2 контурні чарункові упаковки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показників якості «Залізо» та «Алюміній» зі специфікації допоміжної речовини Кремнію діоксид колоїдний безводний, відповідно до матеріалів виробника згідно з ICH Guideline «Q3D Еlemental impurities» та вимог діючої монографії ЄФ «Silica, colloidal anhydrous»; показник «Насипна густина» вилучено зі специфікації відповідно до вимог монографії ЄФ «Silica, colloidal anhydrous».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методик контролю якості на допоміжну речовину Кремнію діоксид колоїдний безводний у відповідність до вимог діючої монографії ЄФ «Silica, colloidal anhydrous». У зв’язку з цим внесено зміни до 3.2.Р.4.1 Специфікація і 3.2.Р.4.2 Аналітичні методи зміни та/або редакційні уточнення до розділів: «Опис», «Втрата в масі при прожарюванні»; показник «Розчинність» відповідно до вимог ДФУ, 1.4 «Монографії» даний показник має рекомендаційний характер, на цій підставі, вимоги до розчинності субстанції перенесено до загальних властивостей. Введено контроль за показником Хлориди відповідно до вимог діючої монографії ЄФ «Silica, colloidal anhydrous»; «Кількісне визначення» приведено до вимог діючої монографії ЄФ «Silica, colloidal anhydrous».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внесення змін у специфікацію та методи контролю на допоміжну речовину Кремнію діоксид колоїдний безводний, а саме показник «Мікробіологічна чистота» приведений відповідно до вимог ЄФ, 2.6.12,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UA/7940/01/02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АСПІГРЕЛЬ</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капсули по 10 капсул (що містять гранульований порошок та таблетку, вкриту оболонкою уповільненої дії) у блістері; по 3 або 10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Мепро Фармасьютикалс Пріват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рекомендацій Центру оцінки та дослідження лікарськіх засобів FDA (CDER);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"Показання" (редагування медичного терміну), "Протипоказання", "Взаємодія з іншими лікарськими засобами та інші види взаємодій", "Особливості застосування", "Спосіб застосування та дози", "Передозування", "Побічні реакції" відповідно до інформації з безпеки діючих речовин клопідогрелю та ацетилсаліцилової кислоти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UA/7304/01/01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АСПІРИН® 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шипучі; по 2 таблетки у стрипі; по 5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Байєр Консьюмер Кер АГ</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Байєр Біттерфельд ГмбХ</w:t>
            </w:r>
            <w:r w:rsidRPr="00CE433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лікарського засобу в розділ "Спосіб застосування та дози" (редагування тексту).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Редакційна зміна назви допоміжних речовин Кислота лимонна та Натрію карбонат, у зв’язку з приведенням до монографій ЕР. Затверджено Кислота лимонна безводна Натрію карбонат безводний Запропоновано Кислота лимонна Натрію карбонат Зміни внесені до інструкції для медичного застосування лікарського засобу в розділи "Склад" (уточнення інформації) , "Фармакологічні властивості" підрозділ "Фармакокінетика".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в розділ "Взаємодія з іншими лікарськими засобами та інші види взаємодій" (вплив вітаміну С на показники лабораторних досліджень).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CE433C">
              <w:rPr>
                <w:rFonts w:ascii="Arial" w:hAnsi="Arial" w:cs="Arial"/>
                <w:sz w:val="16"/>
                <w:szCs w:val="16"/>
              </w:rPr>
              <w:br/>
              <w:t>Зміни внесені до інструкції для медичного застосування лікарського засобу в розділ "Протипоказання".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в розділ "Передозування".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CE433C">
              <w:rPr>
                <w:rFonts w:ascii="Arial" w:hAnsi="Arial" w:cs="Arial"/>
                <w:sz w:val="16"/>
                <w:szCs w:val="16"/>
              </w:rPr>
              <w:br/>
              <w:t>Зміни внесені до інструкції для медичного застосування лікарського засобу в розділ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UA/4398/01/01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АЦЕЛІЗИН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порошок для розчину для ін'єкцій по 1,0 г; 10 флаконів з порошком у контурній чарунковій упаковці, по 1 контурній чарунковій упаковці в пачці, флакони з порошком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ПАТ "Київмедпрепарат"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вилучення з р. 3.2.Р.7. Система контейнер/ закупорювальний засіб найменування фірм-виробників первинних пакувальних матеріалів (скляних флаконів та гумових пробок) та виробника пакувального матеріалу (скляні флакони) ВАТ «Медстекло», г. Клин, Росія.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UA/2181/01/01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БЕТАЛОК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розчин для ін'єкцій, 1 мг/мл; по 5 мл в ампулі; по 5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Сенексі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а також внесення редакційних правок, редагування та уточнення перекладу відповідно до оригінальних матеріалів заявника. </w:t>
            </w:r>
            <w:r w:rsidRPr="00CE433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UA/2769/01/01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БЕТАЛОК ЗОК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з уповільненим вивільненням по 50 мг,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пакування, контроль якості та випуск серії готового лікарського засобу: АстраЗенека АБ</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а також внесення редакційних правок, редагування та уточнення перекладу відповідно до оригінальних матеріалів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UA/3066/01/01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БЕТАЛОК ЗОК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з уповільненим вивільненням по 100 мг,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Виробництво, пакування, контроль якості та випуск серії готового лікарського засобу: АстраЗенека АБ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а також внесення редакційних правок, редагування та уточнення перекладу відповідно до оригінальних матеріалів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UA/3066/01/02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БЕТАЛОК ЗОК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з уповільненим вивільненням по 25 мг, по 14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Виробництво, пакування, контроль якості та випуск серії готового лікарського засобу: АстраЗенека АБ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а також внесення редакційних правок, редагування та уточнення перекладу відповідно до оригінальних матеріалів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UA/3066/01/03</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БІ-САКОРД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5 мг/80 мг; по 10 таблеток у блістері; по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"УНІВЕРСАЛЬНЕ АГЕНТСТВО "ПРО-ФАРМА"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пакування, контроль якості та випуск серії: Балканфарма - Дупниця АД, Болгарія; виробництво, пакування та контроль якості: Актавіс Лтд, Мальта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Болгарія/ Мальта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"Передозування" відповідно до рекомендацій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UA/16286/01/01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БІСОПРОЛОЛ-КВ</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5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АТ "КИЇВСЬКИЙ ВІТАМІННИЙ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АФІ Бісопрололу фумарат Sichuan Qingmu Pharmaceutical Co., Ltd., Китай. Затверджено: Moehs Catalana S.L., Іспанія, Corden Pharma Chenove, Франція. Запропоновано: Moehs Catalana S.L., Іспанія, Corden Pharma Chenove, Франція, Sichuan Qingmu Pharmaceutical Co., Ltd.,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UA/8672/01/01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БІСОПРОЛОЛ-КВ</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10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АТ "КИЇВСЬКИЙ ВІТАМІННИЙ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АФІ Бісопрололу фумарат Sichuan Qingmu Pharmaceutical Co., Ltd., Китай. Затверджено: Moehs Catalana S.L., Іспанія, Corden Pharma Chenove, Франція. Запропоновано: Moehs Catalana S.L., Іспанія, Corden Pharma Chenove, Франція, Sichuan Qingmu Pharmaceutical Co., Ltd.,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UA/8672/01/02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БРИЛІНТА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таблетки, вкриті плівковою оболонкою, по 60 мг по 14 таблеток у блістері; по 4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таблеток, випробування, пакування лікарського засобу, випуск серії: АстраЗенека АБ</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лікарського засобу: Діюча редакція: Частота подання РОЗБ – 1 рік; Кінцева дата для включення даних до РОЗБ – 30.12.2018 р.; Дата подання – 10.03.2019 р. Пропонована редакція: Частота подання РОЗБ – 3 роки; Кінцева дата для включення даних до РОЗБ – 31.12.2023 р.; Дата подання – 30.03.2024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UA/12164/01/02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БРОНХО БАЛМ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бальзам; по 30 г у банці; по 1 банці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Ментолатум Компані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Ментолатум Компані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E433C">
              <w:rPr>
                <w:rFonts w:ascii="Arial" w:hAnsi="Arial" w:cs="Arial"/>
                <w:sz w:val="16"/>
                <w:szCs w:val="16"/>
              </w:rPr>
              <w:br/>
              <w:t>Діюча редакція: Pantea Cameron. Пропонована редакція: Sarah Bailey.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UA/9758/01/01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ВАЛОДІП</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5 мг/80 мг, по 10 таблеток у блістері, по 3, по 6, по 9 або по 10 блістерів у картонній коробці; по 14 таблеток у блістері, по 1, по 2 , по 4 або по 7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КРКА, д.д., Ново место</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відповідальний за виробництво "in bulk", первинне та вторинне пакування, контроль та випуск серії: </w:t>
            </w:r>
            <w:r w:rsidRPr="00CE433C">
              <w:rPr>
                <w:rFonts w:ascii="Arial" w:hAnsi="Arial" w:cs="Arial"/>
                <w:sz w:val="16"/>
                <w:szCs w:val="16"/>
              </w:rPr>
              <w:br/>
              <w:t>КРКА, д.д., Ново место, Словенія</w:t>
            </w:r>
            <w:r w:rsidRPr="00CE433C">
              <w:rPr>
                <w:rFonts w:ascii="Arial" w:hAnsi="Arial" w:cs="Arial"/>
                <w:sz w:val="16"/>
                <w:szCs w:val="16"/>
              </w:rPr>
              <w:br/>
              <w:t>відповідальний за контроль серії:</w:t>
            </w:r>
            <w:r w:rsidRPr="00CE433C">
              <w:rPr>
                <w:rFonts w:ascii="Arial" w:hAnsi="Arial" w:cs="Arial"/>
                <w:sz w:val="16"/>
                <w:szCs w:val="16"/>
              </w:rPr>
              <w:br/>
              <w:t>КРКА, д.д., Ново место, Словенія</w:t>
            </w:r>
            <w:r w:rsidRPr="00CE433C">
              <w:rPr>
                <w:rFonts w:ascii="Arial" w:hAnsi="Arial" w:cs="Arial"/>
                <w:sz w:val="16"/>
                <w:szCs w:val="16"/>
              </w:rPr>
              <w:br/>
              <w:t>Виробник, відповідальний за виробництво "in bulk":</w:t>
            </w:r>
            <w:r w:rsidRPr="00CE433C">
              <w:rPr>
                <w:rFonts w:ascii="Arial" w:hAnsi="Arial" w:cs="Arial"/>
                <w:sz w:val="16"/>
                <w:szCs w:val="16"/>
              </w:rPr>
              <w:br/>
              <w:t>Нінгбо Меново Тіанканг Фармасьютикалс Ко., Лтд,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Словенія/ 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методу випробування ГЛЗ за показником «Супутні домішки» (метод ВЕРХ).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виробника, відповідального за виробництво "in bulk" – Нінгбо Меново Тіанканг Фармасьютикалс Ко., Лтд., Китай / Ningbo Menovo Tiankang Pharmaceuticals Co., Ltd., China.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ГЛЗ (затверджено: 100 000; 1 500 000 film-coated tablets; запропоновано: 100 000; 1 920 000 film-coated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UA/14357/01/01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ВАЛОДІП</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10 мг/160 мг по 7 таблеток у блістері, по 2, по 4, по 8 або по 14 блістерів у картонній коробці; по 10 таблеток у блістері, по 3, по 6, по 9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КРКА, д.д., Ново место </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відповідальний за виробництво "in bulk", первинне та вторинне пакування, контроль та випуск серії: КРКА, д.д., Ново место, Словенія; </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відповідальний за контроль серії: КРКА, д.д., Ново место,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методу випробування ГЛЗ за показником «Супутні домішки» (метод 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UA/14357/01/02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ВАЛЬСАКОР® Н 80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80 мг/12,5 мг; по 14 таблеток у блістері; по 2, по 4 або по 6 блістерів в коробці; по 15 таблеток у блістері; по 2 або 4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КРКА, д.д., Ново место</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Виробник, відповідальний за виробництво «in bulk», первинне та вторинне пакування, контроль та випуск серії:</w:t>
            </w:r>
            <w:r w:rsidRPr="00CE433C">
              <w:rPr>
                <w:rFonts w:ascii="Arial" w:hAnsi="Arial" w:cs="Arial"/>
                <w:sz w:val="16"/>
                <w:szCs w:val="16"/>
              </w:rPr>
              <w:br/>
              <w:t xml:space="preserve">КРКА, д.д., Ново место, Словенія </w:t>
            </w:r>
            <w:r w:rsidRPr="00CE433C">
              <w:rPr>
                <w:rFonts w:ascii="Arial" w:hAnsi="Arial" w:cs="Arial"/>
                <w:sz w:val="16"/>
                <w:szCs w:val="16"/>
              </w:rPr>
              <w:br/>
              <w:t xml:space="preserve">Виробник, відповідальний за контроль серії: </w:t>
            </w:r>
            <w:r w:rsidRPr="00CE433C">
              <w:rPr>
                <w:rFonts w:ascii="Arial" w:hAnsi="Arial" w:cs="Arial"/>
                <w:sz w:val="16"/>
                <w:szCs w:val="16"/>
              </w:rPr>
              <w:br/>
              <w:t>КРКА, д.д., Ново место, Словенія</w:t>
            </w:r>
            <w:r w:rsidRPr="00CE433C">
              <w:rPr>
                <w:rFonts w:ascii="Arial" w:hAnsi="Arial" w:cs="Arial"/>
                <w:sz w:val="16"/>
                <w:szCs w:val="16"/>
              </w:rPr>
              <w:br/>
              <w:t xml:space="preserve">Виробник, відповідальний за контроль серії: </w:t>
            </w:r>
            <w:r w:rsidRPr="00CE433C">
              <w:rPr>
                <w:rFonts w:ascii="Arial" w:hAnsi="Arial" w:cs="Arial"/>
                <w:sz w:val="16"/>
                <w:szCs w:val="16"/>
              </w:rPr>
              <w:br/>
              <w:t>Кемілаб д.о.о.,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а саме незначне коригування часу змішування та швидкості робочого колеса (крок 01), часу та швидкості змішування (крок 05,06), детальніший опис виробничих параметрів (тривалість приготування суспензії для покриття (крок 10) і тривалість процесу нанесення плівкового покриття (крок 11), параметри процесу, застосовні до пілотних партій, були видалені з досьє;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Незначні зміни частоти проведення аналітичних процедур для внктрішнього контролю в процесі виробництва готового продукту, а саме індівідуальні маси, середні маси та опис таблеток перевіряються щогодини замість кожні 15 хвилин. Стиранність, час розпадання, стійкість до роздавлювання і товщину таблеток контролюють щонайменше. два рази на зміну.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незначні зміни для аналітичної процедури «середня маса» для внутрішнього контролю в процесі виробництва (кількість таблеток, що використовуються для розрахунку середньої маси ядра для внутрішнього контролю в процесі виробництва змінено з N=10 на N=20; метод ЕР 2.9.5 для ядер та таблеток, вкритих плівковою оболонкою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незначні зміни для аналітичної процедури «втрата маси при висушуванні» для внутрішнього контролю в процесі виробництва готового продукту з ЕР 2.2.32 (метод d) на ЕР 2.2.32, оскільки в поточній монографії відсутній метод d , а примітка шодо автоматичного впровадження внутрішнього контролю в процесі виробництва на етапі таблетування видалена;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випробування "Кількісне визначення валсартану та гідрохлоротіазиду" та метод "Ідентифікація валсартану та гідрохлоротіазиду" у специфікації випуску на новий.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"Однорідність дозованих одиниць - Однорідність дозування, кількісний вміст та ідентифікація валсартану та гідрохлортіазиду", а саме підвищення репрезентативності зразка для аналізу шляхом змін в підготовці розчину зразка, також додана інформація про хроматографічні умови, інформація про стабільність розчинів тощо.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"Кількісний вміст та ідентифікація валсартану та гідрохлортіазиду", а саме підвищення репрезентативності зразка для аналізу шляхом змін в підготовці розчину зразка, також додана інформація про хроматографічні умови, інформація про стабільність розчинів тощо.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"Розчинення валсартану та гідрохлортіазиду", а саме середовище розчинення повинне бути не деаерованим; розчини для вимірювань методом ВЕРХ та опис методики, де додана інформація про стабільність розчинів; інші незначні зміни в процедурі тестування через додавання інформації для вищих дозувань, адмістративні оновлення через більш точне визначення ефективності тестування та додавання хроматограм для вищих дозувань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«Мікробіологічна якість» , а саме виправлення назви з «Мікробіологічна чистота» , «Мікробіологічна якість» , та більш детальний опис виконання методики, використання поживних середовищ і розчинів та розрахунку згідно вимог фармакопеї.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Зміна вноситься в зв’язку із додаванням дільниці, на якій здійснюється контроль серії для готового продукту, а саме Кемілаб д.о.о., Словенія;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валсартану - КРКА, д.д., Ново место, Словенія з версії R1-CEP 2011-148-Rev 01 до версії R1-CEP 2011-148-Rev 02. Як наслідок додавання допустимих меж для домішок NDMA(не більше 0,03 ppm) та NDEA(0,03 ppm) та оновлення специфікації АФІ від виробника ЛЗ з додаванням примітки щодо NDMA та NDEA у специфікації АФІ для валсартану: "Не застосовується до серій, у яких було ідентифіковано більше ніж один із зазначених вище N-нітрозамінів одночасно; такі серії будуть забраковані;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валсартану - КРКА, д.д., Ново место, Словенія з версії R1-CEP 2011-148-Rev 02 до версії R1-CEP 2011-148-Rev 03;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зміна час зберігання проміжного продукту ЛЗ перед пакуванням у первинну блістерну упаковку у мішки LDPE/пакеті триплекс Аlu: з 6 місяців до 12 місяців при температурі 25 ±2 °С та відносній вологості 60±5 %.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Переклад МКЯ з російської мови на українську для приведення у відповідність із вимогами чинної редакції Наказу МОЗ України №426 від 26.08.2005 (зі змінами) із внесенням незначних корекцій опису методів контролю якості, включаючи уніфікацію опису приготування розчинів, без зміни аналітичних методів, у відповідності до онвлених змін в МКЯ ЛЗ та як наслідок зміни у специфікації.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UA/9450/01/02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ВЕРАПАМІЛ-ДАРНИЦЯ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40 мг, по 10 таблеток у контурній чарунковій упаковці, по 2 контурні чарункові упаковки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методик контролю якості на допоміжну речовину Кремнію діоксид колоїдний безводний у відповідність до вимог діючої монографії ЄФ «Silica, colloidal anhydrous», з врахуванням вимог та рекомендацій ДФУ. У зв’язку з цим внесено зміни до 3.2.Р.4.1 Специфікація і 3.2.Р.4.2 Аналітичні методи зміни та/або редакційні уточнення до розділів: «Опис», «Ідентифікація», «рН», «Втрата в масі при прожарюванні», «Кількісне визначення»; додано розділ «Хлориди»; вилучено розділи: «Насипна густина», «Залізо», «Алюміній».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w:t>
            </w:r>
            <w:r w:rsidRPr="00CE433C">
              <w:rPr>
                <w:rFonts w:ascii="Arial" w:hAnsi="Arial" w:cs="Arial"/>
                <w:sz w:val="16"/>
                <w:szCs w:val="16"/>
              </w:rPr>
              <w:br/>
              <w:t>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приведення специфікації та методів контролю якості на допоміжну речовину Кремнію діоксид колоїдний у відповідність до вимог Європейської Фармакопеї, з врахуванням діючих вимог та рекомендацій ДФУ. У зв’язку з цим внесено зміни та редакційні уточнення до розділу «Мікробіологічна чистота».</w:t>
            </w:r>
            <w:r w:rsidRPr="00CE433C">
              <w:rPr>
                <w:rFonts w:ascii="Arial" w:hAnsi="Arial" w:cs="Arial"/>
                <w:sz w:val="16"/>
                <w:szCs w:val="16"/>
              </w:rPr>
              <w:b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CE433C">
              <w:rPr>
                <w:rFonts w:ascii="Arial" w:hAnsi="Arial" w:cs="Arial"/>
                <w:sz w:val="16"/>
                <w:szCs w:val="16"/>
              </w:rPr>
              <w:br/>
              <w:t>внесення змін до специфікації на допоміжну речовину Кремнію діоксид колоїдний безводний, а саме показник «Розчинність» перенесено до розділу загальні властивості, оскільки має рекомендаційний характер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UA/3582/01/02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ВЕРАПАМІЛ-ДАРНИЦЯ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80 мг, по 10 таблеток у контурній чарунковій упаковці; по 5 контурних чарункових упаковок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методик контролю якості на допоміжну речовину Кремнію діоксид колоїдний безводний у відповідність до вимог діючої монографії ЄФ «Silica, colloidal anhydrous», з врахуванням вимог та рекомендацій ДФУ. У зв’язку з цим внесено зміни до 3.2.Р.4.1 Специфікація і 3.2.Р.4.2 Аналітичні методи зміни та/або редакційні уточнення до розділів: «Опис», «Ідентифікація», «рН», «Втрата в масі при прожарюванні», «Кількісне визначення»; додано розділ «Хлориди»; вилучено розділи: «Насипна густина», «Залізо», «Алюміній».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w:t>
            </w:r>
            <w:r w:rsidRPr="00CE433C">
              <w:rPr>
                <w:rFonts w:ascii="Arial" w:hAnsi="Arial" w:cs="Arial"/>
                <w:sz w:val="16"/>
                <w:szCs w:val="16"/>
              </w:rPr>
              <w:br/>
              <w:t>Супутня зміна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приведення специфікації та методів контролю якості на допоміжну речовину Кремнію діоксид колоїдний у відповідність до вимог Європейської Фармакопеї, з врахуванням діючих вимог та рекомендацій ДФУ. У зв’язку з цим внесено зміни та редакційні уточнення до розділу «Мікробіологічна чистота».</w:t>
            </w:r>
            <w:r w:rsidRPr="00CE433C">
              <w:rPr>
                <w:rFonts w:ascii="Arial" w:hAnsi="Arial" w:cs="Arial"/>
                <w:sz w:val="16"/>
                <w:szCs w:val="16"/>
              </w:rPr>
              <w:b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CE433C">
              <w:rPr>
                <w:rFonts w:ascii="Arial" w:hAnsi="Arial" w:cs="Arial"/>
                <w:sz w:val="16"/>
                <w:szCs w:val="16"/>
              </w:rPr>
              <w:br/>
              <w:t>внесення змін до специфікації на допоміжну речовину Кремнію діоксид колоїдний безводний, а саме показник «Розчинність» перенесено до розділу загальні властивості, оскільки має рекомендаційний характер.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UA/3582/01/01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ВЕРОРАБ® / VERORAB ВАКЦИНА АНТИРАБІЧНА ІНАКТИВОВАНА СУХА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Порошок та розчинник для приготування суспензії для ін'єкцій, не менше 2,5 МО/доза; по 1 флакону з порошком (1 доза) та 1 попередньо заповненому шприцу (0,5 мл), що містить розчинник (0,4 % розчин натрію хлориду), в картонній упаковці з маркуванням українською мовою; по 1 флакону з порошком (1 доза) та 1 попередньо заповненому шприцу (0,5 мл), що містить розчинник, в стандартно-експортній упаковці, яка міститься у картонній коробці з інструкцією для медичного застосування; по 5 флаконів з порошком (1 доза) у комплекті з розчинником (0,4 % розчин натрію хлориду) в ампулах по 0,5 мл № 5 в картонній упаковці з маркуванням українською мовою; по 5 флаконів з порошком (1 доза) у комплекті з розчинником (0,4 % розчин натрію хлориду) в ампулах по 0,5 мл № 5 в стандартно-експортній упаковці, яка міститься у картонній коробці з інструкцією для медичного застосування; по 10 флаконів з порошком та по 10 попередньо заповнених шприців (0,5 мл), що містять розчинник (0,4 % розчин натрію хлориду), в картонній упаковці з маркуванням українською мовою; по 10 флаконів з порошком та по 10 попередньо заповнених шприців (0,5 мл), що містять розчинник (0,4 % розчин натрію хлориду), в стандартно-експортній упаковці, яка міститься у картонній коробці з інструкцією для медичного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повний цикл виробництва, контроль якості, вторинне пакування, випуск серії порошку; вторинне пакування, випуск серії розчинника; контроль якості, вторинне пакування, випуск серії порошку; повний цикл виробництва, контроль якості, вторинне пакування, випуск серії розчинника: Санофі Пастер, Францiя; вторинне пакування, випуск серії: Санофі-Авентіс Прайвіт Ко. Лтд., Платформа логістики та дистрибуції у м. Будапешт, Угорщина; повний цикл виробництва, контроль якості розчинника в ампулах: ГАУПТ ФАРМА ЛІВРОН, Францiя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Францiя/</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Угорщина</w:t>
            </w:r>
            <w:r w:rsidRPr="00CE433C">
              <w:rPr>
                <w:rFonts w:ascii="Arial" w:hAnsi="Arial" w:cs="Arial"/>
                <w:sz w:val="16"/>
                <w:szCs w:val="16"/>
              </w:rPr>
              <w:br/>
            </w:r>
          </w:p>
          <w:p w:rsidR="00E24DB9" w:rsidRPr="00CE433C" w:rsidRDefault="00E24DB9" w:rsidP="004321E0">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тесту на визначення гістаміну зі специфікації допоміжної речовини Трипсин кристалічний (Crystallised Trypsin type IX), що використовується при виробництві діючої речовини. Термін введення змін - 4 квартал 2026 року.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Введення додаткових критеріїв прийнятності, а саме: визначення загального числа аеробних мікроорганізмів (TAMC) і тесту на вміст бактеріальних ендотоксинів до специфікацій допоміжних речовин, які використовуються у виробництві готового лікарського засобу, відповідно до вимог Ph. Eur. Монографія 2034 «Субстанції для фармацевтичного застосування». Термін введення змін - березень 2024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UA/13038/01/01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ВІГАМОКС®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краплі очні, 0,5 %; по 5 мл у флаконі-крапельниці "Дроп-Тейнер®"; по 1 флакону-крапельниці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Алкон-Куврьор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2008-067 - Rev 02 для АФІ моксифлоксацину гідрохлориду від затвердженого виробника Bayer AG, Німеччина; Зміни І типу - Зміни з якості. АФІ. Контроль АФІ (інші зміни) - зміни у підрозділах 3.2.S.4.1. Специфікація та 3.2.S.4.2. Аналітичні методики, а саме: видалення інформації про рівень вхідного контролю діючої речовини моксифлоксацину гідрохлориду, що проводить виробник ГЛЗ при отриманні серії АФІ. Також редакційні зміни у підрозділах 3.2.S.4.1, 3.2.S.4.2 та 3.2.S.5.;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у специфікації та методах контролю якості діючої речовини моксифлоксацину гідрохлориду обумовлено приведенням у відповідність до оновленої монографії Європейської фармакопеї;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2008-067 - Rev 01 (затверджено: R1-CEP 2008-067 - Rev 00) для АФІ моксифлоксацину гідрохлориду від затвердженого виробника Bayer Pharma AG, Німеччина, який змінив назву на Bayer AG,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UA/9153/01/01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ВОЛЬТАРЕН®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гастрорезистентні по 50 мг; по 10 таблеток у блістері; по 2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Новартіс Саглік, Гіда ве Тарім Урунлері Сан. Ве Тік. А.С.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"Застосування у період вагітності або годування груддю" (оновлено інформацію з безпеки застосування діючої речовини) та редаговано розділ "Протипоказання".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UA/9383/02/02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ВОЛЬТАРЕН®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гастрорезистентні по 25 мг; по 10 таблеток у блістері; по 3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spacing w:after="240"/>
              <w:jc w:val="center"/>
              <w:rPr>
                <w:rFonts w:ascii="Arial" w:hAnsi="Arial" w:cs="Arial"/>
                <w:sz w:val="16"/>
                <w:szCs w:val="16"/>
              </w:rPr>
            </w:pPr>
            <w:r w:rsidRPr="00CE433C">
              <w:rPr>
                <w:rFonts w:ascii="Arial" w:hAnsi="Arial" w:cs="Arial"/>
                <w:sz w:val="16"/>
                <w:szCs w:val="16"/>
              </w:rPr>
              <w:t>Новартіс Саглік, Гіда ве Тарім Урунлері Сан. Ве Тік. А.С.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"Застосування у період вагітності або годування груддю" (оновлено інформацію з безпеки застосування діючої речовини) та редаговано розділ "Протипоказання".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UA/9383/02/01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ВОЛЬТАРЕН®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гастрорезистентні по 25 мг; по 10 таблеток у блістері; по 3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Новартіс Фарма АГ</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Новартіс Саглік, Гіда ве Тарім Урунлері Сан. Ве Тік. А.С.</w:t>
            </w:r>
            <w:r w:rsidRPr="00CE433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виробника готового лікарського засобу Новартіс Фарма С.п. А., Італія (для стадій виробництво, первинне пакування, вторинне пакування, випуск серії). Зміни внесені в розділи "Виробник" та "Місцезнаходження виробника та його адреса місця провадження діяльності" в інструкцію для медичного застосування лікарського засобу у зв'зку з вилученням одного з виробників, як наслідок - вилучення тексту маркування упаковки лікарського засобу для цього виробника.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 незначні зміни у процесі виробництва проміжного продукту, який застосовується у процесі виробництва АФІ для етапу виробництва Compound 2 на площадці Unique Chemicals, а саме: додавання опції використання відновленого розчинника 2-етоксиетанолу; зміна температури охолодження з 300 на 600 для меншого розміру серії (800 кг); зміна виходу для Compound 2 з 1450 кг на 1470 кг для більшого розміру серії (1200 кг). В цілому схема синтезу АФІ залишається незмінною;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(зменшення обсягу виробництва до 10 разів) - зміна розміру серії проміжного продукту Compound 3 та вихідної кількості реагентів, що використовується АФІ Натрію диклофенаку на площадці Unique Chemicals, а саме вихідна кількість N-хлорацетил-2,6-дихлордифеніламіну (480 кг); вихідна кількість алюмінію хлориду (150 кг) та вихідна кількість N-хлорацетил -2,6- дихлордифеніламіну (280 кг) використовувались Unique Chemicals з самого початку;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додавання специфікації для відновленого 2-етоксиетанолу, що використовується в додаток до свіжоприготовленого 2-етоксиетанолу у виробництві АФІ Диклофенаку натрію на площадці Unique Chemicals;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місця провадження діяльності виробника Cambay Organics для вихідного матеріалу (хлорацетил хлориду), що застосовується у виробництві АФІ Натрію Диклофенаку, а саме замість зазначеної адреси офісу виробника необхідно зазначити адресу виробничої дільниці;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проміжного продукту Compound 2 (зміна розміру виходу продукту для Стадії 1; тільки для серії меншого розміру) для виробничої дільниці Unique Chemicals;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проміжного продукту Compound 3 (зміна розміру виходу продукту для Стадії 2; для більшого та меншого розмірів серії) для виробничої дільниці Unique Chemicals;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проміжного продукту Compound 4 (зміна розміру виходу продукту для Стадії 3) для виробничої дільниці Unique Chemicals;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виробничої дільниці, що здійснює контроль якості під час виробництва АФІ диклофенак натрію (з Novartis International Pharmaceutical Ltd. Branch Ireland на Novartis Intergrated Services Limited- International Service Laboratory). Виробнича дільниця та усі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UA/9383/02/01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ВОЛЬТАРЕН®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spacing w:after="240"/>
              <w:rPr>
                <w:rFonts w:ascii="Arial" w:hAnsi="Arial" w:cs="Arial"/>
                <w:sz w:val="16"/>
                <w:szCs w:val="16"/>
              </w:rPr>
            </w:pPr>
            <w:r w:rsidRPr="00CE433C">
              <w:rPr>
                <w:rFonts w:ascii="Arial" w:hAnsi="Arial" w:cs="Arial"/>
                <w:sz w:val="16"/>
                <w:szCs w:val="16"/>
              </w:rPr>
              <w:t>таблетки гастрорезистентні по 50 мг; по 10 таблеток у блістері; по 2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Новартіс Фарма АГ</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Новартіс Саглік, Гіда ве Тарім Урунлері Сан. Ве Тік. А.С.</w:t>
            </w:r>
            <w:r w:rsidRPr="00CE433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виробника готового лікарського засобу Новартіс Фарма С.п. А., Італія (для стадій виробництво, первинне пакування, вторинне пакування, випуск серії). Зміни внесені в розділи "Виробник" та "Місцезнаходження виробника та його адреса місця провадження діяльності" в інструкцію для медичного застосування лікарського засобу у зв'зку з вилученням одного з виробників, як наслідок - вилучення тексту маркування упаковки лікарського засобу для цього виробника.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 незначні зміни у процесі виробництва проміжного продукту, який застосовується у процесі виробництва АФІ для етапу виробництва Compound 2 на площадці Unique Chemicals, а саме: додавання опції використання відновленого розчинника 2-етоксиетанолу; зміна температури охолодження з 300 на 600 для меншого розміру серії (800 кг); зміна виходу для Compound 2 з 1450 кг на 1470 кг для більшого розміру серії (1200 кг). В цілому схема синтезу АФІ залишається незмінною;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(зменшення обсягу виробництва до 10 разів) - зміна розміру серії проміжного продукту Compound 3 та вихідної кількості реагентів, що використовується АФІ Натрію диклофенаку на площадці Unique Chemicals, а саме вихідна кількість N-хлорацетил-2,6-дихлордифеніламіну (480 кг); вихідна кількість алюмінію хлориду (150 кг) та вихідна кількість N-хлорацетил -2,6- дихлордифеніламіну (280 кг) використовувались Unique Chemicals з самого початку;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додавання специфікації для відновленого 2-етоксиетанолу, що використовується в додаток до свіжоприготовленого 2-етоксиетанолу у виробництві АФІ Диклофенаку натрію на площадці Unique Chemicals;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місця провадження діяльності виробника Cambay Organics для вихідного матеріалу (хлорацетил хлориду), що застосовується у виробництві АФІ Натрію Диклофенаку, а саме замість зазначеної адреси офісу виробника необхідно зазначити адресу виробничої дільниці;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проміжного продукту Compound 2 (зміна розміру виходу продукту для Стадії 1; тільки для серії меншого розміру) для виробничої дільниці Unique Chemicals;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проміжного продукту Compound 3 (зміна розміру виходу продукту для Стадії 2; для більшого та меншого розмірів серії) для виробничої дільниці Unique Chemicals;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проміжного продукту Compound 4 (зміна розміру виходу продукту для Стадії 3) для виробничої дільниці Unique Chemicals;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виробничої дільниці, що здійснює контроль якості під час виробництва АФІ диклофенак натрію (з Novartis International Pharmaceutical Ltd. Branch Ireland на Novartis Intergrated Services Limited- International Service Laboratory). Виробнича дільниця та усі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UA/9383/02/02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готового нерозфасованого продукту, заповнення, вторинне пакування, контроль якості, випуск серій: Санофі Пастер, Франція; виробництво готового нерозфасованого продукту, вторинне пакування (шприци), контроль якості, випуск серій: Санофі Пастер, Францiя; вторинне пакування, випуск серій: Санофі-Авентіс Прайвіт Ко. Лтд., Платформа логістики та дистрибуції у м. Будапешт,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Франція/</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Угорщина</w:t>
            </w:r>
          </w:p>
          <w:p w:rsidR="00E24DB9" w:rsidRPr="00CE433C" w:rsidRDefault="00E24DB9" w:rsidP="004321E0">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у специфікації для готового нерозфасованого продукту (Final bulk product - FBP) та у специфікації на кінець терміну придатності для готового розфасованого продукту (End of Shelf-Life Specifications of the Filled Product) для показника Hepaitis B potency test, а саме: додавання одиниць вимірювання Antigenic Unit (AU)/mL згідно рекомендацій EMA та зміна назви тесту In-Vitro Relative Potency test (IVRP) на Hepatitis B antigenicity titer . </w:t>
            </w:r>
            <w:r w:rsidRPr="00CE433C">
              <w:rPr>
                <w:rFonts w:ascii="Arial" w:hAnsi="Arial" w:cs="Arial"/>
                <w:sz w:val="16"/>
                <w:szCs w:val="16"/>
              </w:rPr>
              <w:br/>
              <w:t>Термін введення змін - серпень 2024.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Заміна серії еталонної стандартної вакцини, яка використовується для тестів Hepaitis B In-Vitro Relative Potency test (IVRP) і Hepaitis B percent adsorbtion test з відповідним Протоколом кваліфікації. Затверджено: DTaP-IPV-HB-Hib batch P3F32. Запропоновано: DTaP-IPV-HB-Hib batch U3G48. Термін введення змін - серпень 2024.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UA/13080/01/01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ГЕНОТРОПІН®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порошок ліофілізований та розчинник для розчину для ін'єкцій по 16 МО (5,3 мг); 1 попередньо наповнена ручка, що містить 1 двокамерний картридж (передня камера з порошком та задня камера з розчинником по 1,14 мл (м-крезол, маніт (Е 421), вода для ін’єкцій)), у картонній коробці; 1 попередньо наповнена ручка, що містить 1 двокамерний картридж (передня камера з порошком та задня камера з розчинником по 1,14 мл (м-крезол, маніт (Е 421), вода для ін’єкцій)),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повний цикл виробництва, випуск серії: Пфайзер Менюфекчуринг Бельгія НВ, Бельгія; виробництво in bulk, контроль якості, первинне пакування: Ветер Фарма-Фертигунг ГмбХ і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Бельгія/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(зміна потребує подальшого обґрунтування новими додатковими даними) -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соматропіну згідно з рекомендаціями PRAC.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UA/11798/01/01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ГЕНОТРОПІН®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порошок ліофілізований та розчинник для розчину для ін'єкцій по 36 МО (12 мг); 1 або 5 попередньо наповнених ручок, що містять 1 двокамерний картридж (передня камера з порошком та задня камера з розчинником по 1,13 мл (м-крезол, маніт (Е 421), вода для ін’єкцій)) кожна, у картонній коробці; 1 або 5 попередньо наповнених ручок, що містять 1 двокамерний картридж (передня камера з порошком та задня камера з розчинником по 1,13 мл (м-крезол, маніт (Е 421), вода для ін’єкцій)) кожна,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Пфайзер Менюфекчуринг Бельгія НВ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(зміна потребує подальшого обґрунтування новими додатковими даними) -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соматропіну згідно з рекомендаціями PRAC.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UA/11798/01/02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ГЕПАРИН-ДАРНИЦЯ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гель, 600 МО/г, по 30 г у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2005-270-Rev 11 (затверджено: R1-CEP 2005-270-Rev 10) для АФІ гепарину натрію від вже затвердженого виробника Hebei Changshan Biochemical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UA/2577/01/02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 xml:space="preserve">ГЕРЦЕПТИН®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ліофілізат для концентрату для розчину для інфузій по 150 мг, ліофілізат для концентрату для розчину для інфузій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ТОВ «Рош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Виробництво нерозфасованої продукції, первинне пакування: Дженентек Інк., США; Виробництво нерозфасованої продукції, первинне пакування, вторинне пакування, випробування контролю якості, випуск серії: Рош Діагностикс ГмбХ, Німеччина; Вторинне пакування, випробування контролю якості, випуск серії: Ф.Хоффманн-Ля Рош Лтд, Швейцарія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США/</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p w:rsidR="00E24DB9" w:rsidRPr="00CE433C" w:rsidRDefault="00E24DB9" w:rsidP="004321E0">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E24DB9" w:rsidRDefault="00E24DB9" w:rsidP="004321E0">
            <w:pPr>
              <w:jc w:val="center"/>
              <w:rPr>
                <w:rFonts w:ascii="Arial" w:hAnsi="Arial" w:cs="Arial"/>
                <w:sz w:val="16"/>
                <w:szCs w:val="16"/>
                <w:lang w:val="uk-UA"/>
              </w:rPr>
            </w:pPr>
            <w:r w:rsidRPr="00E24DB9">
              <w:rPr>
                <w:rFonts w:ascii="Arial" w:hAnsi="Arial" w:cs="Arial"/>
                <w:sz w:val="16"/>
                <w:szCs w:val="16"/>
                <w:lang w:val="uk-UA"/>
              </w:rPr>
              <w:t xml:space="preserve">внесення змін до реєстраційних матеріалів: зміни </w:t>
            </w:r>
            <w:r w:rsidRPr="00CE433C">
              <w:rPr>
                <w:rFonts w:ascii="Arial" w:hAnsi="Arial" w:cs="Arial"/>
                <w:sz w:val="16"/>
                <w:szCs w:val="16"/>
              </w:rPr>
              <w:t>I</w:t>
            </w:r>
            <w:r w:rsidRPr="00E24DB9">
              <w:rPr>
                <w:rFonts w:ascii="Arial" w:hAnsi="Arial" w:cs="Arial"/>
                <w:sz w:val="16"/>
                <w:szCs w:val="16"/>
                <w:lang w:val="uk-UA"/>
              </w:rPr>
              <w:t xml:space="preserve"> типу: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додано альтернативний метод спектроскопії в УФ-видимих областях за допомогою системи </w:t>
            </w:r>
            <w:r w:rsidRPr="00CE433C">
              <w:rPr>
                <w:rFonts w:ascii="Arial" w:hAnsi="Arial" w:cs="Arial"/>
                <w:sz w:val="16"/>
                <w:szCs w:val="16"/>
              </w:rPr>
              <w:t>SoloVPE</w:t>
            </w:r>
            <w:r w:rsidRPr="00E24DB9">
              <w:rPr>
                <w:rFonts w:ascii="Arial" w:hAnsi="Arial" w:cs="Arial"/>
                <w:sz w:val="16"/>
                <w:szCs w:val="16"/>
                <w:lang w:val="uk-UA"/>
              </w:rPr>
              <w:t xml:space="preserve"> </w:t>
            </w:r>
            <w:r w:rsidRPr="00CE433C">
              <w:rPr>
                <w:rFonts w:ascii="Arial" w:hAnsi="Arial" w:cs="Arial"/>
                <w:sz w:val="16"/>
                <w:szCs w:val="16"/>
              </w:rPr>
              <w:t>Slope</w:t>
            </w:r>
            <w:r w:rsidRPr="00E24DB9">
              <w:rPr>
                <w:rFonts w:ascii="Arial" w:hAnsi="Arial" w:cs="Arial"/>
                <w:sz w:val="16"/>
                <w:szCs w:val="16"/>
                <w:lang w:val="uk-UA"/>
              </w:rPr>
              <w:t xml:space="preserve"> для визначення концентрації білка у процесі виробництва діючої речовини трастузумабу без зміни діючих меж; Зміни </w:t>
            </w:r>
            <w:r w:rsidRPr="00CE433C">
              <w:rPr>
                <w:rFonts w:ascii="Arial" w:hAnsi="Arial" w:cs="Arial"/>
                <w:sz w:val="16"/>
                <w:szCs w:val="16"/>
              </w:rPr>
              <w:t>I</w:t>
            </w:r>
            <w:r w:rsidRPr="00E24DB9">
              <w:rPr>
                <w:rFonts w:ascii="Arial" w:hAnsi="Arial" w:cs="Arial"/>
                <w:sz w:val="16"/>
                <w:szCs w:val="16"/>
                <w:lang w:val="uk-UA"/>
              </w:rPr>
              <w:t xml:space="preserve"> типу: Зміни з якості. АФІ. Виробництво. Зміни випробувань або допустимих меж у процесі    виробництва АФІ, що встановлені у специфікаціях (інші зміни) -  зміни випробувань та допустимих меж у виробничому процесі діючої речовини трастузумабу на виробничих дільницях </w:t>
            </w:r>
            <w:r w:rsidRPr="00CE433C">
              <w:rPr>
                <w:rFonts w:ascii="Arial" w:hAnsi="Arial" w:cs="Arial"/>
                <w:sz w:val="16"/>
                <w:szCs w:val="16"/>
              </w:rPr>
              <w:t>Roche</w:t>
            </w:r>
            <w:r w:rsidRPr="00E24DB9">
              <w:rPr>
                <w:rFonts w:ascii="Arial" w:hAnsi="Arial" w:cs="Arial"/>
                <w:sz w:val="16"/>
                <w:szCs w:val="16"/>
                <w:lang w:val="uk-UA"/>
              </w:rPr>
              <w:t xml:space="preserve"> </w:t>
            </w:r>
            <w:r w:rsidRPr="00CE433C">
              <w:rPr>
                <w:rFonts w:ascii="Arial" w:hAnsi="Arial" w:cs="Arial"/>
                <w:sz w:val="16"/>
                <w:szCs w:val="16"/>
              </w:rPr>
              <w:t>Diagnostics</w:t>
            </w:r>
            <w:r w:rsidRPr="00E24DB9">
              <w:rPr>
                <w:rFonts w:ascii="Arial" w:hAnsi="Arial" w:cs="Arial"/>
                <w:sz w:val="16"/>
                <w:szCs w:val="16"/>
                <w:lang w:val="uk-UA"/>
              </w:rPr>
              <w:t xml:space="preserve"> </w:t>
            </w:r>
            <w:r w:rsidRPr="00CE433C">
              <w:rPr>
                <w:rFonts w:ascii="Arial" w:hAnsi="Arial" w:cs="Arial"/>
                <w:sz w:val="16"/>
                <w:szCs w:val="16"/>
              </w:rPr>
              <w:t>GmbH</w:t>
            </w:r>
            <w:r w:rsidRPr="00E24DB9">
              <w:rPr>
                <w:rFonts w:ascii="Arial" w:hAnsi="Arial" w:cs="Arial"/>
                <w:sz w:val="16"/>
                <w:szCs w:val="16"/>
                <w:lang w:val="uk-UA"/>
              </w:rPr>
              <w:t xml:space="preserve">, </w:t>
            </w:r>
            <w:r w:rsidRPr="00CE433C">
              <w:rPr>
                <w:rFonts w:ascii="Arial" w:hAnsi="Arial" w:cs="Arial"/>
                <w:sz w:val="16"/>
                <w:szCs w:val="16"/>
              </w:rPr>
              <w:t>Germany</w:t>
            </w:r>
            <w:r w:rsidRPr="00E24DB9">
              <w:rPr>
                <w:rFonts w:ascii="Arial" w:hAnsi="Arial" w:cs="Arial"/>
                <w:sz w:val="16"/>
                <w:szCs w:val="16"/>
                <w:lang w:val="uk-UA"/>
              </w:rPr>
              <w:t xml:space="preserve"> та </w:t>
            </w:r>
            <w:r w:rsidRPr="00CE433C">
              <w:rPr>
                <w:rFonts w:ascii="Arial" w:hAnsi="Arial" w:cs="Arial"/>
                <w:sz w:val="16"/>
                <w:szCs w:val="16"/>
              </w:rPr>
              <w:t>Roche</w:t>
            </w:r>
            <w:r w:rsidRPr="00E24DB9">
              <w:rPr>
                <w:rFonts w:ascii="Arial" w:hAnsi="Arial" w:cs="Arial"/>
                <w:sz w:val="16"/>
                <w:szCs w:val="16"/>
                <w:lang w:val="uk-UA"/>
              </w:rPr>
              <w:t xml:space="preserve"> </w:t>
            </w:r>
            <w:r w:rsidRPr="00CE433C">
              <w:rPr>
                <w:rFonts w:ascii="Arial" w:hAnsi="Arial" w:cs="Arial"/>
                <w:sz w:val="16"/>
                <w:szCs w:val="16"/>
              </w:rPr>
              <w:t>Singapore</w:t>
            </w:r>
            <w:r w:rsidRPr="00E24DB9">
              <w:rPr>
                <w:rFonts w:ascii="Arial" w:hAnsi="Arial" w:cs="Arial"/>
                <w:sz w:val="16"/>
                <w:szCs w:val="16"/>
                <w:lang w:val="uk-UA"/>
              </w:rPr>
              <w:t xml:space="preserve"> </w:t>
            </w:r>
            <w:r w:rsidRPr="00CE433C">
              <w:rPr>
                <w:rFonts w:ascii="Arial" w:hAnsi="Arial" w:cs="Arial"/>
                <w:sz w:val="16"/>
                <w:szCs w:val="16"/>
              </w:rPr>
              <w:t>Technical</w:t>
            </w:r>
            <w:r w:rsidRPr="00E24DB9">
              <w:rPr>
                <w:rFonts w:ascii="Arial" w:hAnsi="Arial" w:cs="Arial"/>
                <w:sz w:val="16"/>
                <w:szCs w:val="16"/>
                <w:lang w:val="uk-UA"/>
              </w:rPr>
              <w:t xml:space="preserve"> </w:t>
            </w:r>
            <w:r w:rsidRPr="00CE433C">
              <w:rPr>
                <w:rFonts w:ascii="Arial" w:hAnsi="Arial" w:cs="Arial"/>
                <w:sz w:val="16"/>
                <w:szCs w:val="16"/>
              </w:rPr>
              <w:t>Operations</w:t>
            </w:r>
            <w:r w:rsidRPr="00E24DB9">
              <w:rPr>
                <w:rFonts w:ascii="Arial" w:hAnsi="Arial" w:cs="Arial"/>
                <w:sz w:val="16"/>
                <w:szCs w:val="16"/>
                <w:lang w:val="uk-UA"/>
              </w:rPr>
              <w:t xml:space="preserve"> </w:t>
            </w:r>
            <w:r w:rsidRPr="00CE433C">
              <w:rPr>
                <w:rFonts w:ascii="Arial" w:hAnsi="Arial" w:cs="Arial"/>
                <w:sz w:val="16"/>
                <w:szCs w:val="16"/>
              </w:rPr>
              <w:t>Pte</w:t>
            </w:r>
            <w:r w:rsidRPr="00E24DB9">
              <w:rPr>
                <w:rFonts w:ascii="Arial" w:hAnsi="Arial" w:cs="Arial"/>
                <w:sz w:val="16"/>
                <w:szCs w:val="16"/>
                <w:lang w:val="uk-UA"/>
              </w:rPr>
              <w:t xml:space="preserve">. </w:t>
            </w:r>
            <w:r w:rsidRPr="00CE433C">
              <w:rPr>
                <w:rFonts w:ascii="Arial" w:hAnsi="Arial" w:cs="Arial"/>
                <w:sz w:val="16"/>
                <w:szCs w:val="16"/>
              </w:rPr>
              <w:t>Ltd</w:t>
            </w:r>
            <w:r w:rsidRPr="00E24DB9">
              <w:rPr>
                <w:rFonts w:ascii="Arial" w:hAnsi="Arial" w:cs="Arial"/>
                <w:sz w:val="16"/>
                <w:szCs w:val="16"/>
                <w:lang w:val="uk-UA"/>
              </w:rPr>
              <w:t xml:space="preserve">., </w:t>
            </w:r>
            <w:r w:rsidRPr="00CE433C">
              <w:rPr>
                <w:rFonts w:ascii="Arial" w:hAnsi="Arial" w:cs="Arial"/>
                <w:sz w:val="16"/>
                <w:szCs w:val="16"/>
              </w:rPr>
              <w:t>Singapore</w:t>
            </w:r>
            <w:r w:rsidRPr="00E24DB9">
              <w:rPr>
                <w:rFonts w:ascii="Arial" w:hAnsi="Arial" w:cs="Arial"/>
                <w:sz w:val="16"/>
                <w:szCs w:val="16"/>
                <w:lang w:val="uk-UA"/>
              </w:rPr>
              <w:t xml:space="preserve">, а саме узгодження випробування мікоплазми за допомогою використання методики ПЛР для мікоплазми, включаючи додатковий позитивний контроль (з додаванням живої </w:t>
            </w:r>
            <w:r w:rsidRPr="00CE433C">
              <w:rPr>
                <w:rFonts w:ascii="Arial" w:hAnsi="Arial" w:cs="Arial"/>
                <w:sz w:val="16"/>
                <w:szCs w:val="16"/>
              </w:rPr>
              <w:t>M</w:t>
            </w:r>
            <w:r w:rsidRPr="00E24DB9">
              <w:rPr>
                <w:rFonts w:ascii="Arial" w:hAnsi="Arial" w:cs="Arial"/>
                <w:sz w:val="16"/>
                <w:szCs w:val="16"/>
                <w:lang w:val="uk-UA"/>
              </w:rPr>
              <w:t xml:space="preserve">. </w:t>
            </w:r>
            <w:r w:rsidRPr="00CE433C">
              <w:rPr>
                <w:rFonts w:ascii="Arial" w:hAnsi="Arial" w:cs="Arial"/>
                <w:sz w:val="16"/>
                <w:szCs w:val="16"/>
              </w:rPr>
              <w:t>orale</w:t>
            </w:r>
            <w:r w:rsidRPr="00E24DB9">
              <w:rPr>
                <w:rFonts w:ascii="Arial" w:hAnsi="Arial" w:cs="Arial"/>
                <w:sz w:val="16"/>
                <w:szCs w:val="16"/>
                <w:lang w:val="uk-UA"/>
              </w:rPr>
              <w:t xml:space="preserve">) для тестування </w:t>
            </w:r>
            <w:r w:rsidRPr="00CE433C">
              <w:rPr>
                <w:rFonts w:ascii="Arial" w:hAnsi="Arial" w:cs="Arial"/>
                <w:sz w:val="16"/>
                <w:szCs w:val="16"/>
              </w:rPr>
              <w:t>trastuzumab</w:t>
            </w:r>
            <w:r w:rsidRPr="00E24DB9">
              <w:rPr>
                <w:rFonts w:ascii="Arial" w:hAnsi="Arial" w:cs="Arial"/>
                <w:sz w:val="16"/>
                <w:szCs w:val="16"/>
                <w:lang w:val="uk-UA"/>
              </w:rPr>
              <w:t xml:space="preserve"> </w:t>
            </w:r>
            <w:r w:rsidRPr="00CE433C">
              <w:rPr>
                <w:rFonts w:ascii="Arial" w:hAnsi="Arial" w:cs="Arial"/>
                <w:sz w:val="16"/>
                <w:szCs w:val="16"/>
              </w:rPr>
              <w:t>IV</w:t>
            </w:r>
            <w:r w:rsidRPr="00E24DB9">
              <w:rPr>
                <w:rFonts w:ascii="Arial" w:hAnsi="Arial" w:cs="Arial"/>
                <w:sz w:val="16"/>
                <w:szCs w:val="16"/>
                <w:lang w:val="uk-UA"/>
              </w:rPr>
              <w:t xml:space="preserve"> та </w:t>
            </w:r>
            <w:r w:rsidRPr="00CE433C">
              <w:rPr>
                <w:rFonts w:ascii="Arial" w:hAnsi="Arial" w:cs="Arial"/>
                <w:sz w:val="16"/>
                <w:szCs w:val="16"/>
              </w:rPr>
              <w:t>trastuzumab</w:t>
            </w:r>
            <w:r w:rsidRPr="00E24DB9">
              <w:rPr>
                <w:rFonts w:ascii="Arial" w:hAnsi="Arial" w:cs="Arial"/>
                <w:sz w:val="16"/>
                <w:szCs w:val="16"/>
                <w:lang w:val="uk-UA"/>
              </w:rPr>
              <w:t xml:space="preserve"> </w:t>
            </w:r>
            <w:r w:rsidRPr="00CE433C">
              <w:rPr>
                <w:rFonts w:ascii="Arial" w:hAnsi="Arial" w:cs="Arial"/>
                <w:sz w:val="16"/>
                <w:szCs w:val="16"/>
              </w:rPr>
              <w:t>SC</w:t>
            </w:r>
            <w:r w:rsidRPr="00E24DB9">
              <w:rPr>
                <w:rFonts w:ascii="Arial" w:hAnsi="Arial" w:cs="Arial"/>
                <w:sz w:val="16"/>
                <w:szCs w:val="16"/>
                <w:lang w:val="uk-UA"/>
              </w:rPr>
              <w:t xml:space="preserve">; Зміни </w:t>
            </w:r>
            <w:r w:rsidRPr="00CE433C">
              <w:rPr>
                <w:rFonts w:ascii="Arial" w:hAnsi="Arial" w:cs="Arial"/>
                <w:sz w:val="16"/>
                <w:szCs w:val="16"/>
              </w:rPr>
              <w:t>I</w:t>
            </w:r>
            <w:r w:rsidRPr="00E24DB9">
              <w:rPr>
                <w:rFonts w:ascii="Arial" w:hAnsi="Arial" w:cs="Arial"/>
                <w:sz w:val="16"/>
                <w:szCs w:val="16"/>
                <w:lang w:val="uk-UA"/>
              </w:rPr>
              <w:t xml:space="preserve">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впроваджено тест «</w:t>
            </w:r>
            <w:r w:rsidRPr="00CE433C">
              <w:rPr>
                <w:rFonts w:ascii="Arial" w:hAnsi="Arial" w:cs="Arial"/>
                <w:sz w:val="16"/>
                <w:szCs w:val="16"/>
              </w:rPr>
              <w:t>Bioburden</w:t>
            </w:r>
            <w:r w:rsidRPr="00E24DB9">
              <w:rPr>
                <w:rFonts w:ascii="Arial" w:hAnsi="Arial" w:cs="Arial"/>
                <w:sz w:val="16"/>
                <w:szCs w:val="16"/>
                <w:lang w:val="uk-UA"/>
              </w:rPr>
              <w:t xml:space="preserve">» (з допустимою межею ≤ 10 КУО/10 мл) до сертифікату аналізу на випуск </w:t>
            </w:r>
            <w:r w:rsidRPr="00CE433C">
              <w:rPr>
                <w:rFonts w:ascii="Arial" w:hAnsi="Arial" w:cs="Arial"/>
                <w:sz w:val="16"/>
                <w:szCs w:val="16"/>
              </w:rPr>
              <w:t>trastuzumab</w:t>
            </w:r>
            <w:r w:rsidRPr="00E24DB9">
              <w:rPr>
                <w:rFonts w:ascii="Arial" w:hAnsi="Arial" w:cs="Arial"/>
                <w:sz w:val="16"/>
                <w:szCs w:val="16"/>
                <w:lang w:val="uk-UA"/>
              </w:rPr>
              <w:t xml:space="preserve"> </w:t>
            </w:r>
            <w:r w:rsidRPr="00CE433C">
              <w:rPr>
                <w:rFonts w:ascii="Arial" w:hAnsi="Arial" w:cs="Arial"/>
                <w:sz w:val="16"/>
                <w:szCs w:val="16"/>
              </w:rPr>
              <w:t>IV</w:t>
            </w:r>
            <w:r w:rsidRPr="00E24DB9">
              <w:rPr>
                <w:rFonts w:ascii="Arial" w:hAnsi="Arial" w:cs="Arial"/>
                <w:sz w:val="16"/>
                <w:szCs w:val="16"/>
                <w:lang w:val="uk-UA"/>
              </w:rPr>
              <w:t xml:space="preserve"> виробництва </w:t>
            </w:r>
            <w:r w:rsidRPr="00CE433C">
              <w:rPr>
                <w:rFonts w:ascii="Arial" w:hAnsi="Arial" w:cs="Arial"/>
                <w:sz w:val="16"/>
                <w:szCs w:val="16"/>
              </w:rPr>
              <w:t>Roche</w:t>
            </w:r>
            <w:r w:rsidRPr="00E24DB9">
              <w:rPr>
                <w:rFonts w:ascii="Arial" w:hAnsi="Arial" w:cs="Arial"/>
                <w:sz w:val="16"/>
                <w:szCs w:val="16"/>
                <w:lang w:val="uk-UA"/>
              </w:rPr>
              <w:t xml:space="preserve"> </w:t>
            </w:r>
            <w:r w:rsidRPr="00CE433C">
              <w:rPr>
                <w:rFonts w:ascii="Arial" w:hAnsi="Arial" w:cs="Arial"/>
                <w:sz w:val="16"/>
                <w:szCs w:val="16"/>
              </w:rPr>
              <w:t>Singapore</w:t>
            </w:r>
            <w:r w:rsidRPr="00E24DB9">
              <w:rPr>
                <w:rFonts w:ascii="Arial" w:hAnsi="Arial" w:cs="Arial"/>
                <w:sz w:val="16"/>
                <w:szCs w:val="16"/>
                <w:lang w:val="uk-UA"/>
              </w:rPr>
              <w:t xml:space="preserve"> </w:t>
            </w:r>
            <w:r w:rsidRPr="00CE433C">
              <w:rPr>
                <w:rFonts w:ascii="Arial" w:hAnsi="Arial" w:cs="Arial"/>
                <w:sz w:val="16"/>
                <w:szCs w:val="16"/>
              </w:rPr>
              <w:t>Technical</w:t>
            </w:r>
            <w:r w:rsidRPr="00E24DB9">
              <w:rPr>
                <w:rFonts w:ascii="Arial" w:hAnsi="Arial" w:cs="Arial"/>
                <w:sz w:val="16"/>
                <w:szCs w:val="16"/>
                <w:lang w:val="uk-UA"/>
              </w:rPr>
              <w:t xml:space="preserve"> </w:t>
            </w:r>
            <w:r w:rsidRPr="00CE433C">
              <w:rPr>
                <w:rFonts w:ascii="Arial" w:hAnsi="Arial" w:cs="Arial"/>
                <w:sz w:val="16"/>
                <w:szCs w:val="16"/>
              </w:rPr>
              <w:t>Operations</w:t>
            </w:r>
            <w:r w:rsidRPr="00E24DB9">
              <w:rPr>
                <w:rFonts w:ascii="Arial" w:hAnsi="Arial" w:cs="Arial"/>
                <w:sz w:val="16"/>
                <w:szCs w:val="16"/>
                <w:lang w:val="uk-UA"/>
              </w:rPr>
              <w:t xml:space="preserve"> </w:t>
            </w:r>
            <w:r w:rsidRPr="00CE433C">
              <w:rPr>
                <w:rFonts w:ascii="Arial" w:hAnsi="Arial" w:cs="Arial"/>
                <w:sz w:val="16"/>
                <w:szCs w:val="16"/>
              </w:rPr>
              <w:t>Pte</w:t>
            </w:r>
            <w:r w:rsidRPr="00E24DB9">
              <w:rPr>
                <w:rFonts w:ascii="Arial" w:hAnsi="Arial" w:cs="Arial"/>
                <w:sz w:val="16"/>
                <w:szCs w:val="16"/>
                <w:lang w:val="uk-UA"/>
              </w:rPr>
              <w:t xml:space="preserve">. </w:t>
            </w:r>
            <w:r w:rsidRPr="00CE433C">
              <w:rPr>
                <w:rFonts w:ascii="Arial" w:hAnsi="Arial" w:cs="Arial"/>
                <w:sz w:val="16"/>
                <w:szCs w:val="16"/>
              </w:rPr>
              <w:t>Ltd</w:t>
            </w:r>
            <w:r w:rsidRPr="00E24DB9">
              <w:rPr>
                <w:rFonts w:ascii="Arial" w:hAnsi="Arial" w:cs="Arial"/>
                <w:sz w:val="16"/>
                <w:szCs w:val="16"/>
                <w:lang w:val="uk-UA"/>
              </w:rPr>
              <w:t xml:space="preserve">., </w:t>
            </w:r>
            <w:r w:rsidRPr="00CE433C">
              <w:rPr>
                <w:rFonts w:ascii="Arial" w:hAnsi="Arial" w:cs="Arial"/>
                <w:sz w:val="16"/>
                <w:szCs w:val="16"/>
              </w:rPr>
              <w:t>Singapore</w:t>
            </w:r>
            <w:r w:rsidRPr="00E24DB9">
              <w:rPr>
                <w:rFonts w:ascii="Arial" w:hAnsi="Arial" w:cs="Arial"/>
                <w:sz w:val="16"/>
                <w:szCs w:val="16"/>
                <w:lang w:val="uk-UA"/>
              </w:rPr>
              <w:t xml:space="preserve">; Зміни </w:t>
            </w:r>
            <w:r w:rsidRPr="00CE433C">
              <w:rPr>
                <w:rFonts w:ascii="Arial" w:hAnsi="Arial" w:cs="Arial"/>
                <w:sz w:val="16"/>
                <w:szCs w:val="16"/>
              </w:rPr>
              <w:t>I</w:t>
            </w:r>
            <w:r w:rsidRPr="00E24DB9">
              <w:rPr>
                <w:rFonts w:ascii="Arial" w:hAnsi="Arial" w:cs="Arial"/>
                <w:sz w:val="16"/>
                <w:szCs w:val="16"/>
                <w:lang w:val="uk-UA"/>
              </w:rPr>
              <w:t xml:space="preserve">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додано альтернативне випробування ідентифікації (</w:t>
            </w:r>
            <w:r w:rsidRPr="00CE433C">
              <w:rPr>
                <w:rFonts w:ascii="Arial" w:hAnsi="Arial" w:cs="Arial"/>
                <w:sz w:val="16"/>
                <w:szCs w:val="16"/>
              </w:rPr>
              <w:t>NuPage</w:t>
            </w:r>
            <w:r w:rsidRPr="00E24DB9">
              <w:rPr>
                <w:rFonts w:ascii="Arial" w:hAnsi="Arial" w:cs="Arial"/>
                <w:sz w:val="16"/>
                <w:szCs w:val="16"/>
                <w:lang w:val="uk-UA"/>
              </w:rPr>
              <w:t xml:space="preserve"> </w:t>
            </w:r>
            <w:r w:rsidRPr="00CE433C">
              <w:rPr>
                <w:rFonts w:ascii="Arial" w:hAnsi="Arial" w:cs="Arial"/>
                <w:sz w:val="16"/>
                <w:szCs w:val="16"/>
              </w:rPr>
              <w:t>Gel</w:t>
            </w:r>
            <w:r w:rsidRPr="00E24DB9">
              <w:rPr>
                <w:rFonts w:ascii="Arial" w:hAnsi="Arial" w:cs="Arial"/>
                <w:sz w:val="16"/>
                <w:szCs w:val="16"/>
                <w:lang w:val="uk-UA"/>
              </w:rPr>
              <w:t xml:space="preserve"> </w:t>
            </w:r>
            <w:r w:rsidRPr="00CE433C">
              <w:rPr>
                <w:rFonts w:ascii="Arial" w:hAnsi="Arial" w:cs="Arial"/>
                <w:sz w:val="16"/>
                <w:szCs w:val="16"/>
              </w:rPr>
              <w:t>test</w:t>
            </w:r>
            <w:r w:rsidRPr="00E24DB9">
              <w:rPr>
                <w:rFonts w:ascii="Arial" w:hAnsi="Arial" w:cs="Arial"/>
                <w:sz w:val="16"/>
                <w:szCs w:val="16"/>
                <w:lang w:val="uk-UA"/>
              </w:rPr>
              <w:t xml:space="preserve">) для гідролізованого пептону, що використовується при виробництві </w:t>
            </w:r>
            <w:r w:rsidRPr="00CE433C">
              <w:rPr>
                <w:rFonts w:ascii="Arial" w:hAnsi="Arial" w:cs="Arial"/>
                <w:sz w:val="16"/>
                <w:szCs w:val="16"/>
              </w:rPr>
              <w:t>trastuzumab</w:t>
            </w:r>
            <w:r w:rsidRPr="00E24DB9">
              <w:rPr>
                <w:rFonts w:ascii="Arial" w:hAnsi="Arial" w:cs="Arial"/>
                <w:sz w:val="16"/>
                <w:szCs w:val="16"/>
                <w:lang w:val="uk-UA"/>
              </w:rPr>
              <w:t xml:space="preserve"> </w:t>
            </w:r>
            <w:r w:rsidRPr="00CE433C">
              <w:rPr>
                <w:rFonts w:ascii="Arial" w:hAnsi="Arial" w:cs="Arial"/>
                <w:sz w:val="16"/>
                <w:szCs w:val="16"/>
              </w:rPr>
              <w:t>IV</w:t>
            </w:r>
            <w:r w:rsidRPr="00E24DB9">
              <w:rPr>
                <w:rFonts w:ascii="Arial" w:hAnsi="Arial" w:cs="Arial"/>
                <w:sz w:val="16"/>
                <w:szCs w:val="16"/>
                <w:lang w:val="uk-UA"/>
              </w:rPr>
              <w:t xml:space="preserve"> на виробничій дільниці </w:t>
            </w:r>
            <w:r w:rsidRPr="00CE433C">
              <w:rPr>
                <w:rFonts w:ascii="Arial" w:hAnsi="Arial" w:cs="Arial"/>
                <w:sz w:val="16"/>
                <w:szCs w:val="16"/>
              </w:rPr>
              <w:t>Roche</w:t>
            </w:r>
            <w:r w:rsidRPr="00E24DB9">
              <w:rPr>
                <w:rFonts w:ascii="Arial" w:hAnsi="Arial" w:cs="Arial"/>
                <w:sz w:val="16"/>
                <w:szCs w:val="16"/>
                <w:lang w:val="uk-UA"/>
              </w:rPr>
              <w:t xml:space="preserve"> </w:t>
            </w:r>
            <w:r w:rsidRPr="00CE433C">
              <w:rPr>
                <w:rFonts w:ascii="Arial" w:hAnsi="Arial" w:cs="Arial"/>
                <w:sz w:val="16"/>
                <w:szCs w:val="16"/>
              </w:rPr>
              <w:t>Diagnostics</w:t>
            </w:r>
            <w:r w:rsidRPr="00E24DB9">
              <w:rPr>
                <w:rFonts w:ascii="Arial" w:hAnsi="Arial" w:cs="Arial"/>
                <w:sz w:val="16"/>
                <w:szCs w:val="16"/>
                <w:lang w:val="uk-UA"/>
              </w:rPr>
              <w:t xml:space="preserve"> </w:t>
            </w:r>
            <w:r w:rsidRPr="00CE433C">
              <w:rPr>
                <w:rFonts w:ascii="Arial" w:hAnsi="Arial" w:cs="Arial"/>
                <w:sz w:val="16"/>
                <w:szCs w:val="16"/>
              </w:rPr>
              <w:t>GmbH</w:t>
            </w:r>
            <w:r w:rsidRPr="00E24DB9">
              <w:rPr>
                <w:rFonts w:ascii="Arial" w:hAnsi="Arial" w:cs="Arial"/>
                <w:sz w:val="16"/>
                <w:szCs w:val="16"/>
                <w:lang w:val="uk-UA"/>
              </w:rPr>
              <w:t xml:space="preserve">, </w:t>
            </w:r>
            <w:r w:rsidRPr="00CE433C">
              <w:rPr>
                <w:rFonts w:ascii="Arial" w:hAnsi="Arial" w:cs="Arial"/>
                <w:sz w:val="16"/>
                <w:szCs w:val="16"/>
              </w:rPr>
              <w:t>Germany</w:t>
            </w:r>
            <w:r w:rsidRPr="00E24DB9">
              <w:rPr>
                <w:rFonts w:ascii="Arial" w:hAnsi="Arial" w:cs="Arial"/>
                <w:sz w:val="16"/>
                <w:szCs w:val="16"/>
                <w:lang w:val="uk-UA"/>
              </w:rPr>
              <w:t xml:space="preserve">; Зміни </w:t>
            </w:r>
            <w:r w:rsidRPr="00CE433C">
              <w:rPr>
                <w:rFonts w:ascii="Arial" w:hAnsi="Arial" w:cs="Arial"/>
                <w:sz w:val="16"/>
                <w:szCs w:val="16"/>
              </w:rPr>
              <w:t>I</w:t>
            </w:r>
            <w:r w:rsidRPr="00E24DB9">
              <w:rPr>
                <w:rFonts w:ascii="Arial" w:hAnsi="Arial" w:cs="Arial"/>
                <w:sz w:val="16"/>
                <w:szCs w:val="16"/>
                <w:lang w:val="uk-UA"/>
              </w:rPr>
              <w:t xml:space="preserve">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оновлення методики за показником «</w:t>
            </w:r>
            <w:r w:rsidRPr="00CE433C">
              <w:rPr>
                <w:rFonts w:ascii="Arial" w:hAnsi="Arial" w:cs="Arial"/>
                <w:sz w:val="16"/>
                <w:szCs w:val="16"/>
              </w:rPr>
              <w:t>Polysorbate</w:t>
            </w:r>
            <w:r w:rsidRPr="00E24DB9">
              <w:rPr>
                <w:rFonts w:ascii="Arial" w:hAnsi="Arial" w:cs="Arial"/>
                <w:sz w:val="16"/>
                <w:szCs w:val="16"/>
                <w:lang w:val="uk-UA"/>
              </w:rPr>
              <w:t xml:space="preserve"> 20 </w:t>
            </w:r>
            <w:r w:rsidRPr="00CE433C">
              <w:rPr>
                <w:rFonts w:ascii="Arial" w:hAnsi="Arial" w:cs="Arial"/>
                <w:sz w:val="16"/>
                <w:szCs w:val="16"/>
              </w:rPr>
              <w:t>Content</w:t>
            </w:r>
            <w:r w:rsidRPr="00E24DB9">
              <w:rPr>
                <w:rFonts w:ascii="Arial" w:hAnsi="Arial" w:cs="Arial"/>
                <w:sz w:val="16"/>
                <w:szCs w:val="16"/>
                <w:lang w:val="uk-UA"/>
              </w:rPr>
              <w:t xml:space="preserve">» при випуску діючої речовини трастузумабу на виробничій дільниці </w:t>
            </w:r>
            <w:r w:rsidRPr="00CE433C">
              <w:rPr>
                <w:rFonts w:ascii="Arial" w:hAnsi="Arial" w:cs="Arial"/>
                <w:sz w:val="16"/>
                <w:szCs w:val="16"/>
              </w:rPr>
              <w:t>Roche</w:t>
            </w:r>
            <w:r w:rsidRPr="00E24DB9">
              <w:rPr>
                <w:rFonts w:ascii="Arial" w:hAnsi="Arial" w:cs="Arial"/>
                <w:sz w:val="16"/>
                <w:szCs w:val="16"/>
                <w:lang w:val="uk-UA"/>
              </w:rPr>
              <w:t xml:space="preserve"> </w:t>
            </w:r>
            <w:r w:rsidRPr="00CE433C">
              <w:rPr>
                <w:rFonts w:ascii="Arial" w:hAnsi="Arial" w:cs="Arial"/>
                <w:sz w:val="16"/>
                <w:szCs w:val="16"/>
              </w:rPr>
              <w:t>Diagnostics</w:t>
            </w:r>
            <w:r w:rsidRPr="00E24DB9">
              <w:rPr>
                <w:rFonts w:ascii="Arial" w:hAnsi="Arial" w:cs="Arial"/>
                <w:sz w:val="16"/>
                <w:szCs w:val="16"/>
                <w:lang w:val="uk-UA"/>
              </w:rPr>
              <w:t xml:space="preserve"> </w:t>
            </w:r>
            <w:r w:rsidRPr="00CE433C">
              <w:rPr>
                <w:rFonts w:ascii="Arial" w:hAnsi="Arial" w:cs="Arial"/>
                <w:sz w:val="16"/>
                <w:szCs w:val="16"/>
              </w:rPr>
              <w:t>GmbH</w:t>
            </w:r>
            <w:r w:rsidRPr="00E24DB9">
              <w:rPr>
                <w:rFonts w:ascii="Arial" w:hAnsi="Arial" w:cs="Arial"/>
                <w:sz w:val="16"/>
                <w:szCs w:val="16"/>
                <w:lang w:val="uk-UA"/>
              </w:rPr>
              <w:t xml:space="preserve">, </w:t>
            </w:r>
            <w:r w:rsidRPr="00CE433C">
              <w:rPr>
                <w:rFonts w:ascii="Arial" w:hAnsi="Arial" w:cs="Arial"/>
                <w:sz w:val="16"/>
                <w:szCs w:val="16"/>
              </w:rPr>
              <w:t>Germany</w:t>
            </w:r>
            <w:r w:rsidRPr="00E24DB9">
              <w:rPr>
                <w:rFonts w:ascii="Arial" w:hAnsi="Arial" w:cs="Arial"/>
                <w:sz w:val="16"/>
                <w:szCs w:val="16"/>
                <w:lang w:val="uk-UA"/>
              </w:rPr>
              <w:t xml:space="preserve">, а саме, в протоколі інжекцій змінено кількість випробуваного зразка (з «не визначено» на «максимум 3 випробуваних зразків на аналіз кількісного визначення») та впроваджено нові критерії придатності системи для точності та похибки аналізу кількісного визначення; Зміни </w:t>
            </w:r>
            <w:r w:rsidRPr="00CE433C">
              <w:rPr>
                <w:rFonts w:ascii="Arial" w:hAnsi="Arial" w:cs="Arial"/>
                <w:sz w:val="16"/>
                <w:szCs w:val="16"/>
              </w:rPr>
              <w:t>I</w:t>
            </w:r>
            <w:r w:rsidRPr="00E24DB9">
              <w:rPr>
                <w:rFonts w:ascii="Arial" w:hAnsi="Arial" w:cs="Arial"/>
                <w:sz w:val="16"/>
                <w:szCs w:val="16"/>
                <w:lang w:val="uk-UA"/>
              </w:rPr>
              <w:t xml:space="preserve"> типу: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додано випробування на ендотоксини (</w:t>
            </w:r>
            <w:r w:rsidRPr="00CE433C">
              <w:rPr>
                <w:rFonts w:ascii="Arial" w:hAnsi="Arial" w:cs="Arial"/>
                <w:sz w:val="16"/>
                <w:szCs w:val="16"/>
              </w:rPr>
              <w:t>LAL</w:t>
            </w:r>
            <w:r w:rsidRPr="00E24DB9">
              <w:rPr>
                <w:rFonts w:ascii="Arial" w:hAnsi="Arial" w:cs="Arial"/>
                <w:sz w:val="16"/>
                <w:szCs w:val="16"/>
                <w:lang w:val="uk-UA"/>
              </w:rPr>
              <w:t xml:space="preserve"> </w:t>
            </w:r>
            <w:r w:rsidRPr="00CE433C">
              <w:rPr>
                <w:rFonts w:ascii="Arial" w:hAnsi="Arial" w:cs="Arial"/>
                <w:sz w:val="16"/>
                <w:szCs w:val="16"/>
              </w:rPr>
              <w:t>test</w:t>
            </w:r>
            <w:r w:rsidRPr="00E24DB9">
              <w:rPr>
                <w:rFonts w:ascii="Arial" w:hAnsi="Arial" w:cs="Arial"/>
                <w:sz w:val="16"/>
                <w:szCs w:val="16"/>
                <w:lang w:val="uk-UA"/>
              </w:rPr>
              <w:t xml:space="preserve">) у пулі </w:t>
            </w:r>
            <w:r w:rsidRPr="00CE433C">
              <w:rPr>
                <w:rFonts w:ascii="Arial" w:hAnsi="Arial" w:cs="Arial"/>
                <w:sz w:val="16"/>
                <w:szCs w:val="16"/>
              </w:rPr>
              <w:t>ProSep</w:t>
            </w:r>
            <w:r w:rsidRPr="00E24DB9">
              <w:rPr>
                <w:rFonts w:ascii="Arial" w:hAnsi="Arial" w:cs="Arial"/>
                <w:sz w:val="16"/>
                <w:szCs w:val="16"/>
                <w:lang w:val="uk-UA"/>
              </w:rPr>
              <w:t xml:space="preserve"> </w:t>
            </w:r>
            <w:r w:rsidRPr="00CE433C">
              <w:rPr>
                <w:rFonts w:ascii="Arial" w:hAnsi="Arial" w:cs="Arial"/>
                <w:sz w:val="16"/>
                <w:szCs w:val="16"/>
              </w:rPr>
              <w:t>vA</w:t>
            </w:r>
            <w:r w:rsidRPr="00E24DB9">
              <w:rPr>
                <w:rFonts w:ascii="Arial" w:hAnsi="Arial" w:cs="Arial"/>
                <w:sz w:val="16"/>
                <w:szCs w:val="16"/>
                <w:lang w:val="uk-UA"/>
              </w:rPr>
              <w:t xml:space="preserve"> в процесі виробництва діючої речовини трастузумабу на виробничій діляниці </w:t>
            </w:r>
            <w:r w:rsidRPr="00CE433C">
              <w:rPr>
                <w:rFonts w:ascii="Arial" w:hAnsi="Arial" w:cs="Arial"/>
                <w:sz w:val="16"/>
                <w:szCs w:val="16"/>
              </w:rPr>
              <w:t>Roche</w:t>
            </w:r>
            <w:r w:rsidRPr="00E24DB9">
              <w:rPr>
                <w:rFonts w:ascii="Arial" w:hAnsi="Arial" w:cs="Arial"/>
                <w:sz w:val="16"/>
                <w:szCs w:val="16"/>
                <w:lang w:val="uk-UA"/>
              </w:rPr>
              <w:t xml:space="preserve"> </w:t>
            </w:r>
            <w:r w:rsidRPr="00CE433C">
              <w:rPr>
                <w:rFonts w:ascii="Arial" w:hAnsi="Arial" w:cs="Arial"/>
                <w:sz w:val="16"/>
                <w:szCs w:val="16"/>
              </w:rPr>
              <w:t>Diagnostics</w:t>
            </w:r>
            <w:r w:rsidRPr="00E24DB9">
              <w:rPr>
                <w:rFonts w:ascii="Arial" w:hAnsi="Arial" w:cs="Arial"/>
                <w:sz w:val="16"/>
                <w:szCs w:val="16"/>
                <w:lang w:val="uk-UA"/>
              </w:rPr>
              <w:t xml:space="preserve"> </w:t>
            </w:r>
            <w:r w:rsidRPr="00CE433C">
              <w:rPr>
                <w:rFonts w:ascii="Arial" w:hAnsi="Arial" w:cs="Arial"/>
                <w:sz w:val="16"/>
                <w:szCs w:val="16"/>
              </w:rPr>
              <w:t>GmbH</w:t>
            </w:r>
            <w:r w:rsidRPr="00E24DB9">
              <w:rPr>
                <w:rFonts w:ascii="Arial" w:hAnsi="Arial" w:cs="Arial"/>
                <w:sz w:val="16"/>
                <w:szCs w:val="16"/>
                <w:lang w:val="uk-UA"/>
              </w:rPr>
              <w:t xml:space="preserve">, </w:t>
            </w:r>
            <w:r w:rsidRPr="00CE433C">
              <w:rPr>
                <w:rFonts w:ascii="Arial" w:hAnsi="Arial" w:cs="Arial"/>
                <w:sz w:val="16"/>
                <w:szCs w:val="16"/>
              </w:rPr>
              <w:t>Germany</w:t>
            </w:r>
            <w:r w:rsidRPr="00E24DB9">
              <w:rPr>
                <w:rFonts w:ascii="Arial" w:hAnsi="Arial" w:cs="Arial"/>
                <w:sz w:val="16"/>
                <w:szCs w:val="16"/>
                <w:lang w:val="uk-UA"/>
              </w:rPr>
              <w:t xml:space="preserve">; Зміни </w:t>
            </w:r>
            <w:r w:rsidRPr="00CE433C">
              <w:rPr>
                <w:rFonts w:ascii="Arial" w:hAnsi="Arial" w:cs="Arial"/>
                <w:sz w:val="16"/>
                <w:szCs w:val="16"/>
              </w:rPr>
              <w:t>I</w:t>
            </w:r>
            <w:r w:rsidRPr="00E24DB9">
              <w:rPr>
                <w:rFonts w:ascii="Arial" w:hAnsi="Arial" w:cs="Arial"/>
                <w:sz w:val="16"/>
                <w:szCs w:val="16"/>
                <w:lang w:val="uk-UA"/>
              </w:rPr>
              <w:t xml:space="preserve"> типу: Зміни з якості. АФІ. Виробництво. Зміни в процесі виробництва АФІ (незначна зміна у процесі виробництва АФІ) - зміна верхньої межі значення рН для інактивації вірусу у процесі очищення діючої речовини тра</w:t>
            </w:r>
            <w:r w:rsidRPr="00CE433C">
              <w:rPr>
                <w:rFonts w:ascii="Arial" w:hAnsi="Arial" w:cs="Arial"/>
                <w:sz w:val="16"/>
                <w:szCs w:val="16"/>
              </w:rPr>
              <w:t>c</w:t>
            </w:r>
            <w:r w:rsidRPr="00E24DB9">
              <w:rPr>
                <w:rFonts w:ascii="Arial" w:hAnsi="Arial" w:cs="Arial"/>
                <w:sz w:val="16"/>
                <w:szCs w:val="16"/>
                <w:lang w:val="uk-UA"/>
              </w:rPr>
              <w:t xml:space="preserve">тузумабу на виробничій дільниці </w:t>
            </w:r>
            <w:r w:rsidRPr="00CE433C">
              <w:rPr>
                <w:rFonts w:ascii="Arial" w:hAnsi="Arial" w:cs="Arial"/>
                <w:sz w:val="16"/>
                <w:szCs w:val="16"/>
              </w:rPr>
              <w:t>Roche</w:t>
            </w:r>
            <w:r w:rsidRPr="00E24DB9">
              <w:rPr>
                <w:rFonts w:ascii="Arial" w:hAnsi="Arial" w:cs="Arial"/>
                <w:sz w:val="16"/>
                <w:szCs w:val="16"/>
                <w:lang w:val="uk-UA"/>
              </w:rPr>
              <w:t xml:space="preserve"> </w:t>
            </w:r>
            <w:r w:rsidRPr="00CE433C">
              <w:rPr>
                <w:rFonts w:ascii="Arial" w:hAnsi="Arial" w:cs="Arial"/>
                <w:sz w:val="16"/>
                <w:szCs w:val="16"/>
              </w:rPr>
              <w:t>Diagnostics</w:t>
            </w:r>
            <w:r w:rsidRPr="00E24DB9">
              <w:rPr>
                <w:rFonts w:ascii="Arial" w:hAnsi="Arial" w:cs="Arial"/>
                <w:sz w:val="16"/>
                <w:szCs w:val="16"/>
                <w:lang w:val="uk-UA"/>
              </w:rPr>
              <w:t xml:space="preserve"> </w:t>
            </w:r>
            <w:r w:rsidRPr="00CE433C">
              <w:rPr>
                <w:rFonts w:ascii="Arial" w:hAnsi="Arial" w:cs="Arial"/>
                <w:sz w:val="16"/>
                <w:szCs w:val="16"/>
              </w:rPr>
              <w:t>GmbH</w:t>
            </w:r>
            <w:r w:rsidRPr="00E24DB9">
              <w:rPr>
                <w:rFonts w:ascii="Arial" w:hAnsi="Arial" w:cs="Arial"/>
                <w:sz w:val="16"/>
                <w:szCs w:val="16"/>
                <w:lang w:val="uk-UA"/>
              </w:rPr>
              <w:t xml:space="preserve">, </w:t>
            </w:r>
            <w:r w:rsidRPr="00CE433C">
              <w:rPr>
                <w:rFonts w:ascii="Arial" w:hAnsi="Arial" w:cs="Arial"/>
                <w:sz w:val="16"/>
                <w:szCs w:val="16"/>
              </w:rPr>
              <w:t>Germany</w:t>
            </w:r>
            <w:r w:rsidRPr="00E24DB9">
              <w:rPr>
                <w:rFonts w:ascii="Arial" w:hAnsi="Arial" w:cs="Arial"/>
                <w:sz w:val="16"/>
                <w:szCs w:val="16"/>
                <w:lang w:val="uk-UA"/>
              </w:rPr>
              <w:t xml:space="preserve"> (затверджено: ≤ 3,7; запропоновано: ≤ 3,6); Зміни </w:t>
            </w:r>
            <w:r w:rsidRPr="00CE433C">
              <w:rPr>
                <w:rFonts w:ascii="Arial" w:hAnsi="Arial" w:cs="Arial"/>
                <w:sz w:val="16"/>
                <w:szCs w:val="16"/>
              </w:rPr>
              <w:t>I</w:t>
            </w:r>
            <w:r w:rsidRPr="00E24DB9">
              <w:rPr>
                <w:rFonts w:ascii="Arial" w:hAnsi="Arial" w:cs="Arial"/>
                <w:sz w:val="16"/>
                <w:szCs w:val="16"/>
                <w:lang w:val="uk-UA"/>
              </w:rPr>
              <w:t xml:space="preserve"> типу: Зміни з якості. АФІ. Виробництво. Зміни в процесі виробництва АФІ (незначна зміна у процесі виробництва АФІ)- зміна діапазону висоти шару в аніонообмінній хроматографії (</w:t>
            </w:r>
            <w:r w:rsidRPr="00CE433C">
              <w:rPr>
                <w:rFonts w:ascii="Arial" w:hAnsi="Arial" w:cs="Arial"/>
                <w:sz w:val="16"/>
                <w:szCs w:val="16"/>
              </w:rPr>
              <w:t>Q</w:t>
            </w:r>
            <w:r w:rsidRPr="00E24DB9">
              <w:rPr>
                <w:rFonts w:ascii="Arial" w:hAnsi="Arial" w:cs="Arial"/>
                <w:sz w:val="16"/>
                <w:szCs w:val="16"/>
                <w:lang w:val="uk-UA"/>
              </w:rPr>
              <w:t>-</w:t>
            </w:r>
            <w:r w:rsidRPr="00CE433C">
              <w:rPr>
                <w:rFonts w:ascii="Arial" w:hAnsi="Arial" w:cs="Arial"/>
                <w:sz w:val="16"/>
                <w:szCs w:val="16"/>
              </w:rPr>
              <w:t>Sepharose</w:t>
            </w:r>
            <w:r w:rsidRPr="00E24DB9">
              <w:rPr>
                <w:rFonts w:ascii="Arial" w:hAnsi="Arial" w:cs="Arial"/>
                <w:sz w:val="16"/>
                <w:szCs w:val="16"/>
                <w:lang w:val="uk-UA"/>
              </w:rPr>
              <w:t xml:space="preserve"> </w:t>
            </w:r>
            <w:r w:rsidRPr="00CE433C">
              <w:rPr>
                <w:rFonts w:ascii="Arial" w:hAnsi="Arial" w:cs="Arial"/>
                <w:sz w:val="16"/>
                <w:szCs w:val="16"/>
              </w:rPr>
              <w:t>Fast</w:t>
            </w:r>
            <w:r w:rsidRPr="00E24DB9">
              <w:rPr>
                <w:rFonts w:ascii="Arial" w:hAnsi="Arial" w:cs="Arial"/>
                <w:sz w:val="16"/>
                <w:szCs w:val="16"/>
                <w:lang w:val="uk-UA"/>
              </w:rPr>
              <w:t xml:space="preserve"> </w:t>
            </w:r>
            <w:r w:rsidRPr="00CE433C">
              <w:rPr>
                <w:rFonts w:ascii="Arial" w:hAnsi="Arial" w:cs="Arial"/>
                <w:sz w:val="16"/>
                <w:szCs w:val="16"/>
              </w:rPr>
              <w:t>Flow</w:t>
            </w:r>
            <w:r w:rsidRPr="00E24DB9">
              <w:rPr>
                <w:rFonts w:ascii="Arial" w:hAnsi="Arial" w:cs="Arial"/>
                <w:sz w:val="16"/>
                <w:szCs w:val="16"/>
                <w:lang w:val="uk-UA"/>
              </w:rPr>
              <w:t>) у процесі очищення діючої речовини тра</w:t>
            </w:r>
            <w:r w:rsidRPr="00CE433C">
              <w:rPr>
                <w:rFonts w:ascii="Arial" w:hAnsi="Arial" w:cs="Arial"/>
                <w:sz w:val="16"/>
                <w:szCs w:val="16"/>
              </w:rPr>
              <w:t>c</w:t>
            </w:r>
            <w:r w:rsidRPr="00E24DB9">
              <w:rPr>
                <w:rFonts w:ascii="Arial" w:hAnsi="Arial" w:cs="Arial"/>
                <w:sz w:val="16"/>
                <w:szCs w:val="16"/>
                <w:lang w:val="uk-UA"/>
              </w:rPr>
              <w:t xml:space="preserve">тузумабу на виробничій дільниці </w:t>
            </w:r>
            <w:r w:rsidRPr="00CE433C">
              <w:rPr>
                <w:rFonts w:ascii="Arial" w:hAnsi="Arial" w:cs="Arial"/>
                <w:sz w:val="16"/>
                <w:szCs w:val="16"/>
              </w:rPr>
              <w:t>Roche</w:t>
            </w:r>
            <w:r w:rsidRPr="00E24DB9">
              <w:rPr>
                <w:rFonts w:ascii="Arial" w:hAnsi="Arial" w:cs="Arial"/>
                <w:sz w:val="16"/>
                <w:szCs w:val="16"/>
                <w:lang w:val="uk-UA"/>
              </w:rPr>
              <w:t xml:space="preserve"> </w:t>
            </w:r>
            <w:r w:rsidRPr="00CE433C">
              <w:rPr>
                <w:rFonts w:ascii="Arial" w:hAnsi="Arial" w:cs="Arial"/>
                <w:sz w:val="16"/>
                <w:szCs w:val="16"/>
              </w:rPr>
              <w:t>Diagnostics</w:t>
            </w:r>
            <w:r w:rsidRPr="00E24DB9">
              <w:rPr>
                <w:rFonts w:ascii="Arial" w:hAnsi="Arial" w:cs="Arial"/>
                <w:sz w:val="16"/>
                <w:szCs w:val="16"/>
                <w:lang w:val="uk-UA"/>
              </w:rPr>
              <w:t xml:space="preserve"> </w:t>
            </w:r>
            <w:r w:rsidRPr="00CE433C">
              <w:rPr>
                <w:rFonts w:ascii="Arial" w:hAnsi="Arial" w:cs="Arial"/>
                <w:sz w:val="16"/>
                <w:szCs w:val="16"/>
              </w:rPr>
              <w:t>GmbH</w:t>
            </w:r>
            <w:r w:rsidRPr="00E24DB9">
              <w:rPr>
                <w:rFonts w:ascii="Arial" w:hAnsi="Arial" w:cs="Arial"/>
                <w:sz w:val="16"/>
                <w:szCs w:val="16"/>
                <w:lang w:val="uk-UA"/>
              </w:rPr>
              <w:t xml:space="preserve">, </w:t>
            </w:r>
            <w:r w:rsidRPr="00CE433C">
              <w:rPr>
                <w:rFonts w:ascii="Arial" w:hAnsi="Arial" w:cs="Arial"/>
                <w:sz w:val="16"/>
                <w:szCs w:val="16"/>
              </w:rPr>
              <w:t>Germany</w:t>
            </w:r>
            <w:r w:rsidRPr="00E24DB9">
              <w:rPr>
                <w:rFonts w:ascii="Arial" w:hAnsi="Arial" w:cs="Arial"/>
                <w:sz w:val="16"/>
                <w:szCs w:val="16"/>
                <w:lang w:val="uk-UA"/>
              </w:rPr>
              <w:t xml:space="preserve"> (затверджено: 19±2 см; запропоновано: 17,5 – 21,5 см); Зміни </w:t>
            </w:r>
            <w:r w:rsidRPr="00CE433C">
              <w:rPr>
                <w:rFonts w:ascii="Arial" w:hAnsi="Arial" w:cs="Arial"/>
                <w:sz w:val="16"/>
                <w:szCs w:val="16"/>
              </w:rPr>
              <w:t>I</w:t>
            </w:r>
            <w:r w:rsidRPr="00E24DB9">
              <w:rPr>
                <w:rFonts w:ascii="Arial" w:hAnsi="Arial" w:cs="Arial"/>
                <w:sz w:val="16"/>
                <w:szCs w:val="16"/>
                <w:lang w:val="uk-UA"/>
              </w:rPr>
              <w:t xml:space="preserve"> типу: Зміни з якості. АФІ. Виробництво. Зміни в процесі виробництва АФІ (незначна зміна у процесі виробництва АФІ)- зміна верхньої межі тиску під час нанофільтрації у процесі очищення діючої речовини тра</w:t>
            </w:r>
            <w:r w:rsidRPr="00CE433C">
              <w:rPr>
                <w:rFonts w:ascii="Arial" w:hAnsi="Arial" w:cs="Arial"/>
                <w:sz w:val="16"/>
                <w:szCs w:val="16"/>
              </w:rPr>
              <w:t>c</w:t>
            </w:r>
            <w:r w:rsidRPr="00E24DB9">
              <w:rPr>
                <w:rFonts w:ascii="Arial" w:hAnsi="Arial" w:cs="Arial"/>
                <w:sz w:val="16"/>
                <w:szCs w:val="16"/>
                <w:lang w:val="uk-UA"/>
              </w:rPr>
              <w:t xml:space="preserve">тузумабу на виробничій дільниці </w:t>
            </w:r>
            <w:r w:rsidRPr="00CE433C">
              <w:rPr>
                <w:rFonts w:ascii="Arial" w:hAnsi="Arial" w:cs="Arial"/>
                <w:sz w:val="16"/>
                <w:szCs w:val="16"/>
              </w:rPr>
              <w:t>Roche</w:t>
            </w:r>
            <w:r w:rsidRPr="00E24DB9">
              <w:rPr>
                <w:rFonts w:ascii="Arial" w:hAnsi="Arial" w:cs="Arial"/>
                <w:sz w:val="16"/>
                <w:szCs w:val="16"/>
                <w:lang w:val="uk-UA"/>
              </w:rPr>
              <w:t xml:space="preserve"> </w:t>
            </w:r>
            <w:r w:rsidRPr="00CE433C">
              <w:rPr>
                <w:rFonts w:ascii="Arial" w:hAnsi="Arial" w:cs="Arial"/>
                <w:sz w:val="16"/>
                <w:szCs w:val="16"/>
              </w:rPr>
              <w:t>Diagnostics</w:t>
            </w:r>
            <w:r w:rsidRPr="00E24DB9">
              <w:rPr>
                <w:rFonts w:ascii="Arial" w:hAnsi="Arial" w:cs="Arial"/>
                <w:sz w:val="16"/>
                <w:szCs w:val="16"/>
                <w:lang w:val="uk-UA"/>
              </w:rPr>
              <w:t xml:space="preserve"> </w:t>
            </w:r>
            <w:r w:rsidRPr="00CE433C">
              <w:rPr>
                <w:rFonts w:ascii="Arial" w:hAnsi="Arial" w:cs="Arial"/>
                <w:sz w:val="16"/>
                <w:szCs w:val="16"/>
              </w:rPr>
              <w:t>GmbH</w:t>
            </w:r>
            <w:r w:rsidRPr="00E24DB9">
              <w:rPr>
                <w:rFonts w:ascii="Arial" w:hAnsi="Arial" w:cs="Arial"/>
                <w:sz w:val="16"/>
                <w:szCs w:val="16"/>
                <w:lang w:val="uk-UA"/>
              </w:rPr>
              <w:t xml:space="preserve">, </w:t>
            </w:r>
            <w:r w:rsidRPr="00CE433C">
              <w:rPr>
                <w:rFonts w:ascii="Arial" w:hAnsi="Arial" w:cs="Arial"/>
                <w:sz w:val="16"/>
                <w:szCs w:val="16"/>
              </w:rPr>
              <w:t>Germany</w:t>
            </w:r>
            <w:r w:rsidRPr="00E24DB9">
              <w:rPr>
                <w:rFonts w:ascii="Arial" w:hAnsi="Arial" w:cs="Arial"/>
                <w:sz w:val="16"/>
                <w:szCs w:val="16"/>
                <w:lang w:val="uk-UA"/>
              </w:rPr>
              <w:t xml:space="preserve"> (затверджено: ≤ 2,8 </w:t>
            </w:r>
            <w:r w:rsidRPr="00CE433C">
              <w:rPr>
                <w:rFonts w:ascii="Arial" w:hAnsi="Arial" w:cs="Arial"/>
                <w:sz w:val="16"/>
                <w:szCs w:val="16"/>
              </w:rPr>
              <w:t>bar</w:t>
            </w:r>
            <w:r w:rsidRPr="00E24DB9">
              <w:rPr>
                <w:rFonts w:ascii="Arial" w:hAnsi="Arial" w:cs="Arial"/>
                <w:sz w:val="16"/>
                <w:szCs w:val="16"/>
                <w:lang w:val="uk-UA"/>
              </w:rPr>
              <w:t xml:space="preserve">; запропоновано: ≤ 2,7 </w:t>
            </w:r>
            <w:r w:rsidRPr="00CE433C">
              <w:rPr>
                <w:rFonts w:ascii="Arial" w:hAnsi="Arial" w:cs="Arial"/>
                <w:sz w:val="16"/>
                <w:szCs w:val="16"/>
              </w:rPr>
              <w:t>bar</w:t>
            </w:r>
            <w:r w:rsidRPr="00E24DB9">
              <w:rPr>
                <w:rFonts w:ascii="Arial" w:hAnsi="Arial" w:cs="Arial"/>
                <w:sz w:val="16"/>
                <w:szCs w:val="16"/>
                <w:lang w:val="uk-UA"/>
              </w:rPr>
              <w:t xml:space="preserve">); Зміни </w:t>
            </w:r>
            <w:r w:rsidRPr="00CE433C">
              <w:rPr>
                <w:rFonts w:ascii="Arial" w:hAnsi="Arial" w:cs="Arial"/>
                <w:sz w:val="16"/>
                <w:szCs w:val="16"/>
              </w:rPr>
              <w:t>I</w:t>
            </w:r>
            <w:r w:rsidRPr="00E24DB9">
              <w:rPr>
                <w:rFonts w:ascii="Arial" w:hAnsi="Arial" w:cs="Arial"/>
                <w:sz w:val="16"/>
                <w:szCs w:val="16"/>
                <w:lang w:val="uk-UA"/>
              </w:rPr>
              <w:t xml:space="preserve">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 функцій затвердженого виробника, діючої речовини трастузумабу, </w:t>
            </w:r>
            <w:r w:rsidRPr="00CE433C">
              <w:rPr>
                <w:rFonts w:ascii="Arial" w:hAnsi="Arial" w:cs="Arial"/>
                <w:sz w:val="16"/>
                <w:szCs w:val="16"/>
              </w:rPr>
              <w:t>Roche</w:t>
            </w:r>
            <w:r w:rsidRPr="00E24DB9">
              <w:rPr>
                <w:rFonts w:ascii="Arial" w:hAnsi="Arial" w:cs="Arial"/>
                <w:sz w:val="16"/>
                <w:szCs w:val="16"/>
                <w:lang w:val="uk-UA"/>
              </w:rPr>
              <w:t xml:space="preserve"> </w:t>
            </w:r>
            <w:r w:rsidRPr="00CE433C">
              <w:rPr>
                <w:rFonts w:ascii="Arial" w:hAnsi="Arial" w:cs="Arial"/>
                <w:sz w:val="16"/>
                <w:szCs w:val="16"/>
              </w:rPr>
              <w:t>Diagnostics</w:t>
            </w:r>
            <w:r w:rsidRPr="00E24DB9">
              <w:rPr>
                <w:rFonts w:ascii="Arial" w:hAnsi="Arial" w:cs="Arial"/>
                <w:sz w:val="16"/>
                <w:szCs w:val="16"/>
                <w:lang w:val="uk-UA"/>
              </w:rPr>
              <w:t xml:space="preserve"> </w:t>
            </w:r>
            <w:r w:rsidRPr="00CE433C">
              <w:rPr>
                <w:rFonts w:ascii="Arial" w:hAnsi="Arial" w:cs="Arial"/>
                <w:sz w:val="16"/>
                <w:szCs w:val="16"/>
              </w:rPr>
              <w:t>GmbH</w:t>
            </w:r>
            <w:r w:rsidRPr="00E24DB9">
              <w:rPr>
                <w:rFonts w:ascii="Arial" w:hAnsi="Arial" w:cs="Arial"/>
                <w:sz w:val="16"/>
                <w:szCs w:val="16"/>
                <w:lang w:val="uk-UA"/>
              </w:rPr>
              <w:t xml:space="preserve">, </w:t>
            </w:r>
            <w:r w:rsidRPr="00CE433C">
              <w:rPr>
                <w:rFonts w:ascii="Arial" w:hAnsi="Arial" w:cs="Arial"/>
                <w:sz w:val="16"/>
                <w:szCs w:val="16"/>
              </w:rPr>
              <w:t>Germany</w:t>
            </w:r>
            <w:r w:rsidRPr="00E24DB9">
              <w:rPr>
                <w:rFonts w:ascii="Arial" w:hAnsi="Arial" w:cs="Arial"/>
                <w:sz w:val="16"/>
                <w:szCs w:val="16"/>
                <w:lang w:val="uk-UA"/>
              </w:rPr>
              <w:t xml:space="preserve"> додано функцію контролю діючої речовини при дослідженнях стабільності, у якості альтернативної ділянки; Зміни </w:t>
            </w:r>
            <w:r w:rsidRPr="00CE433C">
              <w:rPr>
                <w:rFonts w:ascii="Arial" w:hAnsi="Arial" w:cs="Arial"/>
                <w:sz w:val="16"/>
                <w:szCs w:val="16"/>
              </w:rPr>
              <w:t>I</w:t>
            </w:r>
            <w:r w:rsidRPr="00E24DB9">
              <w:rPr>
                <w:rFonts w:ascii="Arial" w:hAnsi="Arial" w:cs="Arial"/>
                <w:sz w:val="16"/>
                <w:szCs w:val="16"/>
                <w:lang w:val="uk-UA"/>
              </w:rPr>
              <w:t xml:space="preserve"> типу: Зміни з якості. АФІ. Виробництво. Зміни випробувань або допустимих меж у процесі виробництва АФІ, що встановлені у специфікаціях (інші зміни) - зміни випробувань та допустимих меж у виробничому процесі діючої речовини трастузумабу на виробничій дільниці </w:t>
            </w:r>
            <w:r w:rsidRPr="00CE433C">
              <w:rPr>
                <w:rFonts w:ascii="Arial" w:hAnsi="Arial" w:cs="Arial"/>
                <w:sz w:val="16"/>
                <w:szCs w:val="16"/>
              </w:rPr>
              <w:t>Roche</w:t>
            </w:r>
            <w:r w:rsidRPr="00E24DB9">
              <w:rPr>
                <w:rFonts w:ascii="Arial" w:hAnsi="Arial" w:cs="Arial"/>
                <w:sz w:val="16"/>
                <w:szCs w:val="16"/>
                <w:lang w:val="uk-UA"/>
              </w:rPr>
              <w:t xml:space="preserve"> </w:t>
            </w:r>
            <w:r w:rsidRPr="00CE433C">
              <w:rPr>
                <w:rFonts w:ascii="Arial" w:hAnsi="Arial" w:cs="Arial"/>
                <w:sz w:val="16"/>
                <w:szCs w:val="16"/>
              </w:rPr>
              <w:t>Diagnostics</w:t>
            </w:r>
            <w:r w:rsidRPr="00E24DB9">
              <w:rPr>
                <w:rFonts w:ascii="Arial" w:hAnsi="Arial" w:cs="Arial"/>
                <w:sz w:val="16"/>
                <w:szCs w:val="16"/>
                <w:lang w:val="uk-UA"/>
              </w:rPr>
              <w:t xml:space="preserve"> </w:t>
            </w:r>
            <w:r w:rsidRPr="00CE433C">
              <w:rPr>
                <w:rFonts w:ascii="Arial" w:hAnsi="Arial" w:cs="Arial"/>
                <w:sz w:val="16"/>
                <w:szCs w:val="16"/>
              </w:rPr>
              <w:t>GmbH</w:t>
            </w:r>
            <w:r w:rsidRPr="00E24DB9">
              <w:rPr>
                <w:rFonts w:ascii="Arial" w:hAnsi="Arial" w:cs="Arial"/>
                <w:sz w:val="16"/>
                <w:szCs w:val="16"/>
                <w:lang w:val="uk-UA"/>
              </w:rPr>
              <w:t xml:space="preserve">, </w:t>
            </w:r>
            <w:r w:rsidRPr="00CE433C">
              <w:rPr>
                <w:rFonts w:ascii="Arial" w:hAnsi="Arial" w:cs="Arial"/>
                <w:sz w:val="16"/>
                <w:szCs w:val="16"/>
              </w:rPr>
              <w:t>Germany</w:t>
            </w:r>
            <w:r w:rsidRPr="00E24DB9">
              <w:rPr>
                <w:rFonts w:ascii="Arial" w:hAnsi="Arial" w:cs="Arial"/>
                <w:sz w:val="16"/>
                <w:szCs w:val="16"/>
                <w:lang w:val="uk-UA"/>
              </w:rPr>
              <w:t>, а саме: - зміни до опису культивування клітин та збору клітин (оновлення максимального клітинного віку на основі початкового підрахунку в головному банку клітин (</w:t>
            </w:r>
            <w:r w:rsidRPr="00CE433C">
              <w:rPr>
                <w:rFonts w:ascii="Arial" w:hAnsi="Arial" w:cs="Arial"/>
                <w:sz w:val="16"/>
                <w:szCs w:val="16"/>
              </w:rPr>
              <w:t>MCB</w:t>
            </w:r>
            <w:r w:rsidRPr="00E24DB9">
              <w:rPr>
                <w:rFonts w:ascii="Arial" w:hAnsi="Arial" w:cs="Arial"/>
                <w:sz w:val="16"/>
                <w:szCs w:val="16"/>
                <w:lang w:val="uk-UA"/>
              </w:rPr>
              <w:t>) 155 днів замість попереднього максимального часу культивування для специфічних робочих банків клітин, 127 днів; оновлення таблиць щодо складу середовищ для культивування клітин з метою уточнення діапазонів складу селективного та неселективного середовищ для етапів культивування клітин; оновлення складу середовищ для культивування клітин та розчину мікроелементів з цільовим значенням, щоб відобразити допустимі діапазони концентрацій порошку базового середовища і компонентів середовища, зареєстрованих для інших виробничих дільниць діючої речовини трастузумабу, без зміни цільових значень);</w:t>
            </w:r>
          </w:p>
          <w:p w:rsidR="00E24DB9" w:rsidRPr="00CE433C" w:rsidRDefault="00E24DB9" w:rsidP="004321E0">
            <w:pPr>
              <w:jc w:val="center"/>
              <w:rPr>
                <w:rFonts w:ascii="Arial" w:hAnsi="Arial" w:cs="Arial"/>
                <w:sz w:val="16"/>
                <w:szCs w:val="16"/>
              </w:rPr>
            </w:pPr>
            <w:r w:rsidRPr="00E24DB9">
              <w:rPr>
                <w:rFonts w:ascii="Arial" w:hAnsi="Arial" w:cs="Arial"/>
                <w:sz w:val="16"/>
                <w:szCs w:val="16"/>
                <w:lang w:val="uk-UA"/>
              </w:rPr>
              <w:t xml:space="preserve">- зміни до опису процесу очищення та модифікації (видалення некритичних деталей опису роботи для операції промивання з градієнтом для короткого опису процесу очищення катіонообмінною колонковою хроматографією; зміна некритичної детальної інформації у описі процесу очищення катіонообмінною колонковою хроматографією («приблизно 8 об’ємів колонки» замінено на «за потребою». Оригінальний опис був призначений для приладу, а не як регламентований параметр процесу); додано допустиму межу </w:t>
            </w:r>
            <w:r w:rsidRPr="00CE433C">
              <w:rPr>
                <w:rFonts w:ascii="Arial" w:hAnsi="Arial" w:cs="Arial"/>
                <w:sz w:val="16"/>
                <w:szCs w:val="16"/>
              </w:rPr>
              <w:t>при контролі концентрацій білка на етапі тангенціальної потокової фільтрації; оновлено розділ репроцесінга (повторної обробки) стосовно зазначення можливості проведення до трьох повторних фільтрацій на всіх виробничих ділянках, але тільки для трастузумабу IV відповідно до валідації виробничого процесу);</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зміни до опису культивування клітин та збору клітин (оновлення максимального клітинного віку; оновлення таблиць щодо складу середовищ для культивування клітин; оновлення складу середовищ для культивування клітин та розчину мікроелементів з цільовим значенням);</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зміни до опису процесу очищення та модифікації (видалення некритичних деталей опису роботи для операції промивання з градієнтом для короткого опису процесу очищення катіонообмінною колонковою хроматографією; зміна некритичної детальної інформації у описі процесу очищення катіонообмінною колонковою хроматографією; додано допустиму межу при контролі концентрацій білка на етапі тангенціальної потокової фільтрації; оновлено розділ репроцесінга (повторної обробки) стосовно зазначення можливості проведення до трьох повторних фільтрацій на всіх виробничих ділянках, але тільки для трастузумабу IV).</w:t>
            </w:r>
          </w:p>
          <w:p w:rsidR="00E24DB9" w:rsidRPr="00CE433C" w:rsidRDefault="00E24DB9" w:rsidP="004321E0">
            <w:pPr>
              <w:jc w:val="center"/>
              <w:rPr>
                <w:rFonts w:ascii="Arial" w:hAnsi="Arial" w:cs="Arial"/>
                <w:sz w:val="16"/>
                <w:szCs w:val="16"/>
              </w:rPr>
            </w:pPr>
            <w:r w:rsidRPr="00CE433C">
              <w:rPr>
                <w:rFonts w:ascii="Arial" w:hAnsi="Arial" w:cs="Arial"/>
                <w:sz w:val="16"/>
                <w:szCs w:val="16"/>
              </w:rPr>
              <w:t>Зміни I типу: Зміни з якості. АФІ. Виробництво. Зміни випробувань або допустимих меж у процесі виробництва АФІ, що встановлені у специфікаціях (інші зміни), зміни випробувань та допустимих меж у виробничому процесі діючої речовини трастузумабу на виробничій дільниці Roche Singapore Technical Operations Pte. Ltd., Singapore, а саме на стадії остаточного очищення додано допустимі межі для випробування на бактеріальні ендотоксини, рН та буфер полісорбату 20;</w:t>
            </w:r>
          </w:p>
          <w:p w:rsidR="00E24DB9" w:rsidRPr="00CE433C" w:rsidRDefault="00E24DB9" w:rsidP="004321E0">
            <w:pPr>
              <w:jc w:val="center"/>
              <w:rPr>
                <w:rFonts w:ascii="Arial" w:hAnsi="Arial" w:cs="Arial"/>
                <w:sz w:val="16"/>
                <w:szCs w:val="16"/>
              </w:rPr>
            </w:pPr>
            <w:r w:rsidRPr="00CE433C">
              <w:rPr>
                <w:rFonts w:ascii="Arial" w:hAnsi="Arial" w:cs="Arial"/>
                <w:sz w:val="16"/>
                <w:szCs w:val="16"/>
              </w:rPr>
              <w:t>Зміни I типу: Зміни з якості. АФІ. Виробництво. Зміни випробувань або допустимих меж у процесі виробництва АФІ, що встановлені у специфікаціях (інші зміни) - зміни випробувань та допустимих меж у виробничому процесі проміжної речовини трастузумабу та діючої речовини трастузумабу на виробничій дільниці Roche Singapore Technical Operations Pte. Ltd., Singapore, а саме:</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зміни до опису культивування клітин та збору клітин (оновлення таблиць щодо складу середовищ для культивування клітин);</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зміни щодо контролю критичних стадій (оновлення контролю при процесі очищення trastuzumab v1.1 (додано визначення концентрації білка з допустимою межею в пулі при ультрафільтрації/діафільтрації (UF/DF));</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зміни до опису культивування клітин та збору клітин для trastuzumab SC з метою гармонізації опису процесу культури клітин trastuzumab IV (оновлено опис посівної послідовності клітинної культури та відповідних блок-схем);</w:t>
            </w:r>
          </w:p>
          <w:p w:rsidR="00E24DB9" w:rsidRPr="00CE433C" w:rsidRDefault="00E24DB9" w:rsidP="004321E0">
            <w:pPr>
              <w:jc w:val="center"/>
              <w:rPr>
                <w:rFonts w:ascii="Arial" w:hAnsi="Arial" w:cs="Arial"/>
                <w:sz w:val="16"/>
                <w:szCs w:val="16"/>
              </w:rPr>
            </w:pPr>
            <w:r w:rsidRPr="00CE433C">
              <w:rPr>
                <w:rFonts w:ascii="Arial" w:hAnsi="Arial" w:cs="Arial"/>
                <w:sz w:val="16"/>
                <w:szCs w:val="16"/>
              </w:rPr>
              <w:t>зміни I типу: Зміни з якості. Готовий лікарський засіб. Контроль готового лікарського засобу (інші зміни) - зміни специфікації та методів контролю якості при випуску ГЛЗ, а саме:</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звуження допустимих меж за показниками «Невидимі частки», «Колір відновленого розчину», «рН», «Чистота» (методами SE-HPLC (мономер) та IE-HPLC Peak 4) з додаванням додаткових десяткових знаків, «Вода» (включення додаткової значущої цифри);</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додано метод випробування для визначення вмісту води на основі методики вимірювання ближнього інфрачервоного спектрального діапазону (NIR), як альтернативного методу до затвердженого методу Карла Фішера;</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додано альтернативний метод УФ-спектроскопії (гравіметричний) для визначення показника «Вміст білка»;</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вилучено показник «Однорідність дозованих одиниць» з метою приведення специфікації в Україні до специфікації зареєстрованої в ЄС. Вилучення зазначеного показника не вплине на якість ЛЗ, оскільки у специфікації затверджено показник «Однорідність маси наповнення», що відповідає зареєстрованій специфікації ЄС;</w:t>
            </w:r>
          </w:p>
          <w:p w:rsidR="00E24DB9" w:rsidRPr="00CE433C" w:rsidRDefault="00E24DB9" w:rsidP="004321E0">
            <w:pPr>
              <w:jc w:val="center"/>
              <w:rPr>
                <w:rFonts w:ascii="Arial" w:hAnsi="Arial" w:cs="Arial"/>
                <w:sz w:val="16"/>
                <w:szCs w:val="16"/>
              </w:rPr>
            </w:pPr>
            <w:r w:rsidRPr="00CE433C">
              <w:rPr>
                <w:rFonts w:ascii="Arial" w:hAnsi="Arial" w:cs="Arial"/>
                <w:sz w:val="16"/>
                <w:szCs w:val="16"/>
              </w:rPr>
              <w:t>- редакційні правки до аналітичних методик з метою заміни початкових описів глобальними описами;</w:t>
            </w:r>
          </w:p>
          <w:p w:rsidR="00E24DB9" w:rsidRPr="00CE433C" w:rsidRDefault="00E24DB9" w:rsidP="004321E0">
            <w:pPr>
              <w:jc w:val="center"/>
              <w:rPr>
                <w:rFonts w:ascii="Arial" w:hAnsi="Arial" w:cs="Arial"/>
                <w:sz w:val="16"/>
                <w:szCs w:val="16"/>
              </w:rPr>
            </w:pPr>
            <w:r w:rsidRPr="00CE433C">
              <w:rPr>
                <w:rFonts w:ascii="Arial" w:hAnsi="Arial" w:cs="Arial"/>
                <w:sz w:val="16"/>
                <w:szCs w:val="16"/>
              </w:rPr>
              <w:t>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специфікації та методів контролю якості ГЛЗ протягом терміну придатності, а саме:</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заміна напівкількісного методу капілярного електрофорезу в присутності додецилсульфату натрію з безгелевим просіюванням (CE-SDS-NGS) на кількісний метод капілярного електрофорезу в присутності додецилсульфату натрію (CE-SDS) у невідновлювальних умовах;</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звуження допустимих меж за показниками «Невидимі частки», «Колір відновленого розчину», «рН», «Чистота» (методами SE-HPLC (мономер) та додаванням додаткових десяткового знаку до допустимих меж для піку 3 і піку 4 методом IE-HPLC;</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впроваджено альтернативний метод визначення цілісності герметизації контейнеру для заміни методів за показниками «Стерильність» протягом терміну придатності;</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вилучено визначення вмісту води, осмоляльності та бактеріальних ендотоксинів протягом терміну придатності</w:t>
            </w:r>
          </w:p>
          <w:p w:rsidR="00E24DB9" w:rsidRPr="00CE433C" w:rsidRDefault="00E24DB9" w:rsidP="004321E0">
            <w:pPr>
              <w:jc w:val="center"/>
              <w:rPr>
                <w:rFonts w:ascii="Arial" w:hAnsi="Arial" w:cs="Arial"/>
                <w:sz w:val="16"/>
                <w:szCs w:val="16"/>
              </w:rPr>
            </w:pPr>
            <w:r w:rsidRPr="00CE433C">
              <w:rPr>
                <w:rFonts w:ascii="Arial" w:hAnsi="Arial" w:cs="Arial"/>
                <w:sz w:val="16"/>
                <w:szCs w:val="16"/>
              </w:rPr>
              <w:t>Зміни I типу: Зміни з якості. АФІ. Виробництво. Зміни випробувань або допустимих меж у процесі виробництва АФІ, що встановлені у специфікаціях (додавання або заміна випробування за результатами досліджень з безпеки або якості) - додавання нового методу випробування (ПЛР Leptospira) в процесі виробництва діючої речовини трастузумабу на обох виробничих ділянках Roche Diagnostics GmbH, Germany та Roche Singapore Technical Operations Pte. Ltd., Singapore;</w:t>
            </w:r>
          </w:p>
          <w:p w:rsidR="00E24DB9" w:rsidRPr="00CE433C" w:rsidRDefault="00E24DB9" w:rsidP="004321E0">
            <w:pPr>
              <w:jc w:val="center"/>
              <w:rPr>
                <w:rFonts w:ascii="Arial" w:hAnsi="Arial" w:cs="Arial"/>
                <w:sz w:val="16"/>
                <w:szCs w:val="16"/>
              </w:rPr>
            </w:pPr>
            <w:r w:rsidRPr="00CE433C">
              <w:rPr>
                <w:rFonts w:ascii="Arial" w:hAnsi="Arial" w:cs="Arial"/>
                <w:sz w:val="16"/>
                <w:szCs w:val="16"/>
              </w:rPr>
              <w:t>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зміни)(Б -приведення допустимих меж за показником «Осмоляльність» у відповідність до матеріалів зареєстрованого досьє в ЄС. Введення змін протягом 6-ти місяців після затвердження;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приведення допустимих меж за показником «Вміст білка» у відповідність до матеріалів зареєстрованого досьє в ЄС. Введення змін протягом 6-ти місяців після затвердження;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допустимих меж визначення афлукозильованих гліканів за показником «Relative Glycan Distribution by 2HILIC-UHPLC» у специфікації на АФІ (затверджено: 4 – 11,7%; запропоновано: 5,5 – 11,7%). Введення змін протягом 6-ти місяців після затвердження; Зміни II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до специфікації на діючу речовину трастузумаб додано визначення афлукозильованих гліканів з критеріями прийнятності 4 – 11,7% з відповідним методом випробування 2-AB HILIC-UHPLC (рідинна хроматографія гідрофільної взаємодії - надвисокоефективна рідинна хроматографія з 2-амінобензамідом; Зміни II типу: Зміни з якості. АФІ. Виробництво. Зміни випробувань або допустимих меж у процесі виробництва АФІ, що встановлені у специфікаціях (інші зміни)- зміни випробувань у виробничому процесі проміжного продукту трастузумабу та діючої речовини трастузумабу, а саме:</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видалено визначення білка А на виробничій дільниці Roche Singapore Technical Operations Pte. Ltd., Singapore;</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заміна методу ступінчаста ПЛР на метод ПЛР в режимі реального часу для визначення мікоплазми, без зміни критеріїв прийнятності;</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заміна методу виявлення парвовірусу гризунів на основі індикаторних клітин (аналіз 324К) та традиційного методу ПЛР для виявлення парвовірусу гризунів на метод ПЛР в режимі реального часу для парвовірусу гризунів, без зміни критеріїв прийнятності;</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зміни до контролю біонавантаження (звуження та гармонізація допустимих меж біонавантаження при внутрішньовиробничому контролі для мікробіологічних досліджень нестерильних матеріалів та оновлено метод визначення ТАМС для зразків культури клітин перед збором врожаю (PHCCF) для тестування, виявлення і перерахування аеротолерантних анаеробних організмів);</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зміна верхньої межі температури часу витримки на етапі виробничого процесу, яка в досьє була помилково заявлена як 33 ºС, замість 30 ºС;</w:t>
            </w:r>
          </w:p>
          <w:p w:rsidR="00E24DB9" w:rsidRPr="00CE433C" w:rsidRDefault="00E24DB9" w:rsidP="004321E0">
            <w:pPr>
              <w:jc w:val="center"/>
              <w:rPr>
                <w:rFonts w:ascii="Arial" w:hAnsi="Arial" w:cs="Arial"/>
                <w:sz w:val="16"/>
                <w:szCs w:val="16"/>
              </w:rPr>
            </w:pPr>
            <w:r w:rsidRPr="00CE433C">
              <w:rPr>
                <w:rFonts w:ascii="Arial" w:hAnsi="Arial" w:cs="Arial"/>
                <w:sz w:val="16"/>
                <w:szCs w:val="16"/>
              </w:rPr>
              <w:t>зміни II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специфікацій та методів контролю якості на trastuzumab IV та на проміжний трастузумаб, а саме:</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звуження допустимих меж за показником «рН» при випуску (затверджено: 5,4 – 6,6; запропоновано: 5,9 – 6,5) та вилучення випробування з протоколу стабільності, що підтримується комплексною стратегією контролю;</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звуження допустимих меж для мономеру за показником «Purity by SE-HPLC» методом ексклюзивної високоефективної рідинної хроматографії (затверджено: ≥ 98; запропоновано: ≥ 99,5);</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заміна напівкількісного методу капілярного електрофорезу в присутності додецилсульфату натрію з безгелевим просіюванням (CE-SDS-NGS) на кількісний метод капілярного електрофорезу в присутності додецилсульфату натрію (CE-SDS) у невідновлювальних умовах. А також виключення із річної стабільності завдяки надійному процесу і загальної комплексної стратегії управління для затверджених розмірів;</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звуження допустимих меж за показником «Purity by IE-HPLC» методом іонообмінної високоефективної рідинної хроматографії для Peak 4 (затверджено: ≤ 20; запропоновано: ≤ 10,4) та додавання десяткового розряду до критеріїв прийнятності Peak 3 (затверджено: ≥ 65; запропоновано: ≥ 64,5);</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до показника «Glycan distribution by HILIC-UHPLC» при випуску додано визначення галактилізованих гліканів (%G2 3,5 – 9,4) та гліканів з високім вмістом манози (%Man5 0,9 – 6,3) з відповідним методом 2-AB HILIC-UHPLC (метод рідинної хроматографії з гідрофільною взаємодією 2-амінобензаміду з рідкою хроматографією надвисокої продуктивності);</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видалено кількісне визначення біологічної активності із випробувань при випуску діючої речовини у зв’язку з впровадженням внутрішньовиробничого контролю (IPC) bulk в одній і тій же точці відбору проб для зберігання з критеріями прийнятності еквівалентними затвердженим (0,8-1,2 ×104 U/mg);</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звуження критеріїв прийнятності для суми афукозильованих гліканів (%aFuc) для проміжного трастузумабу у зв’язку з узгодженням з затвердженими критеріями прийнятності для trastuzumab IV;</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вилучено визначення концентрації білка із річної стабільності, що підтримується комплексною стратегією контролю;</w:t>
            </w:r>
          </w:p>
          <w:p w:rsidR="00E24DB9" w:rsidRPr="00CE433C" w:rsidRDefault="00E24DB9" w:rsidP="004321E0">
            <w:pPr>
              <w:jc w:val="center"/>
              <w:rPr>
                <w:rFonts w:ascii="Arial" w:hAnsi="Arial" w:cs="Arial"/>
                <w:sz w:val="16"/>
                <w:szCs w:val="16"/>
              </w:rPr>
            </w:pPr>
            <w:r w:rsidRPr="00CE433C">
              <w:rPr>
                <w:rFonts w:ascii="Arial" w:hAnsi="Arial" w:cs="Arial"/>
                <w:sz w:val="16"/>
                <w:szCs w:val="16"/>
              </w:rPr>
              <w:t>- вилучено кількісне визначення біологічної активності із річної стабільності при -20 ºС, що підтримується комплексною стратегією контролю (більш чутливим методом IE-HPLC Peak 4)</w:t>
            </w:r>
          </w:p>
          <w:p w:rsidR="00E24DB9" w:rsidRPr="00CE433C" w:rsidRDefault="00E24DB9" w:rsidP="004321E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UA/13007/01/01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ГЛІАТИЛІН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розчин для ін'єкцій, 1000 мг/4 мл по 4 мл в ампулі; по 3 ампули у пластиковому контейнері; по 1 контейнеру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Італфармако С.п.А. </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Італфармако С.п.А. </w:t>
            </w:r>
            <w:r w:rsidRPr="00CE433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Iталiя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CE433C">
              <w:rPr>
                <w:rFonts w:ascii="Arial" w:hAnsi="Arial" w:cs="Arial"/>
                <w:sz w:val="16"/>
                <w:szCs w:val="16"/>
              </w:rPr>
              <w:br/>
              <w:t>Зміни внесено в текст маркування первинної та вторинної упаковок лікарського засобу щодо розміщення логотипу заявника на первинній упаковці (ампулі), а також вилучення інформації російською мовою.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UA/2196/01/01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ГЛІОЗОМІД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капсули по 20 мг; по 1 капсулі у саше; по 5 саше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ГЛЗ, пакування, тестування, випуск серії: ЕйГен Фарма Лімітед, Ірландiя; Первинне і вторинне пакування: Мілмаунт Хелскеа Лтд, Ірландiя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Ірландiя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технічна помилка (згідно наказу МОЗ від 23.07.2015 № 460). Виправлена технічна помилка в Інструкції для медичного застосування лікарського засобу в даних щодо затвердження інструкції, а саме номеру та дати Наказу МОЗ. Зазначене виправлення відповідає архівним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UA/13832/01/01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ГЛІОЗОМІД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капсули по 100 мг; по 1 капсулі у саше; по 5 саше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ГЛЗ, пакування, тестування, випуск серії: ЕйГен Фарма Лімітед, Ірландiя; Первинне і вторинне пакування: Мілмаунт Хелскеа Лтд, Ірландiя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Ірландiя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технічна помилка (згідно наказу МОЗ від 23.07.2015 № 460). Виправлена технічна помилка в Інструкції для медичного застосування лікарського засобу в даних щодо затвердження інструкції, а саме номеру та дати Наказу МОЗ. Зазначене виправлення відповідає архівним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UA/13832/01/02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ГЛІОЗОМІД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капсули по 180 мг; по 1 капсулі у саше; по 5 саше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ГЛЗ, пакування, тестування, випуск серії: ЕйГен Фарма Лімітед, Ірландiя; Первинне і вторинне пакування: Мілмаунт Хелскеа Лтд, Ірландiя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Ірландiя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технічна помилка (згідно наказу МОЗ від 23.07.2015 № 460). Виправлена технічна помилка в Інструкції для медичного застосування лікарського засобу в даних щодо затвердження інструкції, а саме номеру та дати Наказу МОЗ. Зазначене виправлення відповідає архівним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UA/13832/01/03</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ГЛІОЗОМІД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капсули по 250 мг; по 1 капсулі у саше; по 5 саше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ГЛЗ, пакування, тестування, випуск серії: ЕйГен Фарма Лімітед, Ірландiя; Первинне і вторинне пакування: Мілмаунт Хелскеа Лтд, Ірландiя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Ірландiя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технічна помилка (згідно наказу МОЗ від 23.07.2015 № 460). Виправлена технічна помилка в Інструкції для медичного застосування лікарського засобу в даних щодо затвердження інструкції, а саме номеру та дати Наказу МОЗ. Зазначене виправлення відповідає архівним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UA/13832/01/04</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ГЛІТЕЙК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ліофілізат для розчину для ін'єкцій по 400 мг, </w:t>
            </w:r>
            <w:r w:rsidRPr="00CE433C">
              <w:rPr>
                <w:rFonts w:ascii="Arial" w:hAnsi="Arial" w:cs="Arial"/>
                <w:sz w:val="16"/>
                <w:szCs w:val="16"/>
              </w:rPr>
              <w:br/>
              <w:t>1 флакон з ліофілізатом в комплекті з 1 ампулою розчинника (вода для ін'єкцій) по 3,2 мл в контурній чарунковій упаковці; по 1 контурній чарунковій упаковці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ПАТ "Київмедпрепарат"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вилучення з р. 3.2.Р.7. Система контейнер/ закупорювальний засіб найменування фірм-виробників первинних пакувальних матеріалів (скляних флаконів, ампул та гумових пробок) та виробника пакувального матеріалу (скляні флакони) ВАТ «Медстекло», г. Клин, Росія.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UA/12177/01/01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ДЕРИВА С ГЕЛЬ</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гель; по 5 г або по 15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Гленмарк Фармасьютикалз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у методах контролю якості лікарського засобу за показниками "Кількісне визначення. Кліндаміцин", а саме в описі приготування стандартного розчину кліндаміцину фосфату необхідно виправити кількість стандартного зразку (замість 23,76 г необхідно зазначити 23,76 мг).</w:t>
            </w:r>
            <w:r w:rsidRPr="00CE433C">
              <w:rPr>
                <w:rFonts w:ascii="Arial" w:hAnsi="Arial" w:cs="Arial"/>
                <w:sz w:val="16"/>
                <w:szCs w:val="16"/>
              </w:rPr>
              <w:br/>
              <w:t xml:space="preserve">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UA/9245/01/01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ДИНОРИК®-ДАРНИЦЯ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оболонкою по 10 таблеток у контурній чарунковій упаковці, по 1 або по 3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методик контролю якості на допоміжну речовину Кремнію діоксид колоїдний безводний у відповідність до вимог діючої монографії ЄФ «Silica, colloidal anhydrous», з врахуванням вимог та рекомендацій ДФУ. У зв’язку з цим внесено зміни до 3.2.Р.4.1 Специфікація і 3.2.Р.4.2 Аналітичні методи зміни та/або редакційні уточнення до розділів: «Опис», «Ідентифікація», «рН», «Втрата в масі при прожарюванні», «Кількісне визначення»; додано розділ «Хлориди»; вилучено розділи: «Насипна густина», «Залізо», «Алюміній».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w:t>
            </w:r>
            <w:r w:rsidRPr="00CE433C">
              <w:rPr>
                <w:rFonts w:ascii="Arial" w:hAnsi="Arial" w:cs="Arial"/>
                <w:sz w:val="16"/>
                <w:szCs w:val="16"/>
              </w:rPr>
              <w:br/>
              <w:t>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приведення специфікації та методів контролю якості на допоміжну речовину Кремнію діоксид колоїдний у відповідність до вимог Європейської Фармакопеї, з врахуванням діючих вимог та рекомендацій ДФУ. У зв’язку з цим внесено зміни та редакційні уточнення до розділу «Мікробіологічна чистота».</w:t>
            </w:r>
            <w:r w:rsidRPr="00CE433C">
              <w:rPr>
                <w:rFonts w:ascii="Arial" w:hAnsi="Arial" w:cs="Arial"/>
                <w:sz w:val="16"/>
                <w:szCs w:val="16"/>
              </w:rPr>
              <w:b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CE433C">
              <w:rPr>
                <w:rFonts w:ascii="Arial" w:hAnsi="Arial" w:cs="Arial"/>
                <w:sz w:val="16"/>
                <w:szCs w:val="16"/>
              </w:rPr>
              <w:br/>
              <w:t>внесення змін до специфікації на допоміжну речовину Кремнію діоксид колоїдний безводний, а саме показник «Розчинність» перенесено до розділу загальні властивості, оскільки має рекомендаційний характер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UA/6496/01/01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ДИП РИЛІФ</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гель по 15 г або по 50 г, або по 100 г у тубі; по 1 тубі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Ментолатум Компані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Ментолатум Компані Лімітед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E433C">
              <w:rPr>
                <w:rFonts w:ascii="Arial" w:hAnsi="Arial" w:cs="Arial"/>
                <w:sz w:val="16"/>
                <w:szCs w:val="16"/>
              </w:rPr>
              <w:br/>
              <w:t>Діюча редакція: Pantea Cameron. Пропонована редакція: Sarah Bailey.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UA/0377/01/01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ДИП ХІТ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крем по 15 г або 67 г у тубі; по 1 тубі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Ментолатум Компані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Ментолатум Компані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E433C">
              <w:rPr>
                <w:rFonts w:ascii="Arial" w:hAnsi="Arial" w:cs="Arial"/>
                <w:sz w:val="16"/>
                <w:szCs w:val="16"/>
              </w:rPr>
              <w:br/>
              <w:t>Діюча редакція: Pantea Cameron. Пропонована редакція: Sarah Bailey.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UA/1453/01/01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ДИПРОСПАН®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суспензія для ін'єкцій; по 1 мл в ампулі; по 5 ампул в картонній коробці; по 1 мл в попередньо наповненому шприці; по 1 шприцу в комплекті з 1 або 2 стерильними голками в пластиковому контейнері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Органон Сентрал Іст ГмбХ</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Для ампул: </w:t>
            </w:r>
            <w:r w:rsidRPr="00CE433C">
              <w:rPr>
                <w:rFonts w:ascii="Arial" w:hAnsi="Arial" w:cs="Arial"/>
                <w:sz w:val="16"/>
                <w:szCs w:val="16"/>
              </w:rPr>
              <w:br/>
              <w:t>Виробник in bulk, первинне пакування:</w:t>
            </w:r>
            <w:r w:rsidRPr="00CE433C">
              <w:rPr>
                <w:rFonts w:ascii="Arial" w:hAnsi="Arial" w:cs="Arial"/>
                <w:sz w:val="16"/>
                <w:szCs w:val="16"/>
              </w:rPr>
              <w:br/>
              <w:t>СЕНЕКСІ HSC, Францiя</w:t>
            </w:r>
            <w:r w:rsidRPr="00CE433C">
              <w:rPr>
                <w:rFonts w:ascii="Arial" w:hAnsi="Arial" w:cs="Arial"/>
                <w:sz w:val="16"/>
                <w:szCs w:val="16"/>
              </w:rPr>
              <w:br/>
              <w:t xml:space="preserve">Виробник за повним циклом: </w:t>
            </w:r>
            <w:r w:rsidRPr="00CE433C">
              <w:rPr>
                <w:rFonts w:ascii="Arial" w:hAnsi="Arial" w:cs="Arial"/>
                <w:sz w:val="16"/>
                <w:szCs w:val="16"/>
              </w:rPr>
              <w:br/>
              <w:t xml:space="preserve">Органон Хейст бв, Бельгія </w:t>
            </w:r>
            <w:r w:rsidRPr="00CE433C">
              <w:rPr>
                <w:rFonts w:ascii="Arial" w:hAnsi="Arial" w:cs="Arial"/>
                <w:sz w:val="16"/>
                <w:szCs w:val="16"/>
              </w:rPr>
              <w:br/>
              <w:t xml:space="preserve">Для попередньо наповнених шприців: </w:t>
            </w:r>
            <w:r w:rsidRPr="00CE433C">
              <w:rPr>
                <w:rFonts w:ascii="Arial" w:hAnsi="Arial" w:cs="Arial"/>
                <w:sz w:val="16"/>
                <w:szCs w:val="16"/>
              </w:rPr>
              <w:br/>
              <w:t xml:space="preserve">Виробник за повним циклом: </w:t>
            </w:r>
            <w:r w:rsidRPr="00CE433C">
              <w:rPr>
                <w:rFonts w:ascii="Arial" w:hAnsi="Arial" w:cs="Arial"/>
                <w:sz w:val="16"/>
                <w:szCs w:val="16"/>
              </w:rPr>
              <w:br/>
              <w:t>СЕНЕКСІ HSC, Францiя</w:t>
            </w:r>
            <w:r w:rsidRPr="00CE433C">
              <w:rPr>
                <w:rFonts w:ascii="Arial" w:hAnsi="Arial" w:cs="Arial"/>
                <w:sz w:val="16"/>
                <w:szCs w:val="16"/>
              </w:rPr>
              <w:br/>
              <w:t>Органон Хейст бв, Бельгія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Францiя/ 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назви виробника ГЛЗ відповідального за виробництво ГЛЗ за повним циклом. Також вноситься незначне корегування до адреси. Виробнича дільниця та усі виробничі операції залишаються незмінними.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Адміністративна зміна назви виробника АФІ Шерінг-Плау Лабо Н.В., відповідального за стерилізацію АФІ бетаметазону дипропіонат. Виробнича дільниця, адреса та усі виробничі операції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UA/9168/01/01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ДИХЛОР-25</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25 мг; по 10 таблеток в блістері, по 3 блістери в упаковці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Іпка Лабораторіз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тексту маркування первинної та вторинної упаковок лікарського засобу стосовно коду пакувального матеріалу, а також внесення редакційних правок.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UA/16700/01/01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ДОЛОКСЕН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w:t>
            </w:r>
            <w:r w:rsidRPr="00CE433C">
              <w:rPr>
                <w:rFonts w:ascii="Arial" w:hAnsi="Arial" w:cs="Arial"/>
                <w:sz w:val="16"/>
                <w:szCs w:val="16"/>
              </w:rPr>
              <w:br/>
              <w:t>по 10 таблеток у блістері; по 2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Індоко Ремедіс Лімітед, Індія; Галфа Лабораторіз Лтд. Юніт 1,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Зміни внесено в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UA/8051/01/01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ЕВРА®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пластир - трансдермальна терапевтична система (ТТС): по 1 пластиру в пакеті iз ламінованого паперу i алюмiнiєвої фольги; по 3 пакети в прозорому пакетику з полімерної плівки; по 1 або 3 прозорих пакетики (3 або 9 пластирів) разом зi спеціальними наклейками на календар для позначок про використання пластиру (ТТС)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нерозфасованого продукту та первинна упаковка:</w:t>
            </w:r>
            <w:r w:rsidRPr="00CE433C">
              <w:rPr>
                <w:rFonts w:ascii="Arial" w:hAnsi="Arial" w:cs="Arial"/>
                <w:sz w:val="16"/>
                <w:szCs w:val="16"/>
              </w:rPr>
              <w:br/>
              <w:t>ЛТС Ломанн Терапевтичні Системи АГ, Німеччина</w:t>
            </w:r>
            <w:r w:rsidRPr="00CE433C">
              <w:rPr>
                <w:rFonts w:ascii="Arial" w:hAnsi="Arial" w:cs="Arial"/>
                <w:sz w:val="16"/>
                <w:szCs w:val="16"/>
              </w:rPr>
              <w:br/>
              <w:t>Вторинна упаковка та випуск серії:</w:t>
            </w:r>
            <w:r w:rsidRPr="00CE433C">
              <w:rPr>
                <w:rFonts w:ascii="Arial" w:hAnsi="Arial" w:cs="Arial"/>
                <w:sz w:val="16"/>
                <w:szCs w:val="16"/>
              </w:rPr>
              <w:br/>
              <w:t>Янссен Фармацевтика НВ, Бельгія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 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застосуваннялікарського засобу до розділів "Протипоказання", "Взаємодія з іншими лікарськими засобами та інші види взаємодії", "Особливості застосування" щодо ризику підвищення рівня печінкових ферментів пов’язаний із одночасним застосуванням етинілестрадіолу та софосбувіру/велпатасвіру/воксілапревіру відповідно до рекомендацій PRAC. </w:t>
            </w:r>
            <w:r w:rsidRPr="00CE433C">
              <w:rPr>
                <w:rFonts w:ascii="Arial" w:hAnsi="Arial" w:cs="Arial"/>
                <w:sz w:val="16"/>
                <w:szCs w:val="16"/>
              </w:rPr>
              <w:br/>
              <w:t xml:space="preserve">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застосуваннялікарського засобу до розділів "Протипоказання", "Взаємодія з іншими лікарськими засобами та інші види взаємодії", "Особливості застосування" щодо підвищення рівня трансаміназ (АЛТ) у 5 разів вище верхньої межі норми частіше у жінок, які отримували противірусні препарати (глекапревіром/пібрентасвіром) при сумісному застосуванні етинілестрадіолу відповідно до рекомендацій PRAC. </w:t>
            </w:r>
            <w:r w:rsidRPr="00CE433C">
              <w:rPr>
                <w:rFonts w:ascii="Arial" w:hAnsi="Arial" w:cs="Arial"/>
                <w:sz w:val="16"/>
                <w:szCs w:val="16"/>
              </w:rPr>
              <w:br/>
              <w:t>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застосуваннялікарського засобу до розділів "Особливості застосування", "Побічні реакції" щодо ангіоневротичного набряку відповідно до рекомендацій PRAC. Термін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застосуваннялікарського засобу до розділів "Фармакологічні властивості", "Особливості застосування", "Побічні реакції" та редакційні правки в тексті розділів щодо нумерації таблиць.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UA/2051/01/01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ЕГІЛОК®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25 мг, по 60 таблеток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Виробник, відповідальний за повний цикл виробництва, включаючи випуск серії: ЗАТ Фармацевтичний завод ЕГІС, Угорщина; Виробник, відповідальний за вторинне та первинне пакування, контроль серії та випуск серії: ЗАТ Фармацевтичний завод ЕГІС,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в затвердженому методі випробуванні діючої речовини метопрололу тартрат затвердженого виробника Egis Pharmaceutical PLC за показником «Визначення залишкових розчинників» методом газової хроматографії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UA/9635/01/01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ЕГІЛОК®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50 мг, по 60 таблеток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Виробник, відповідальний за повний цикл виробництва, включаючи випуск серії: ЗАТ Фармацевтичний завод ЕГІС, Угорщина; Виробник, відповідальний за вторинне та первинне пакування, контроль серії та випуск серії: ЗАТ Фармацевтичний завод ЕГІС,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в затвердженому методі випробуванні діючої речовини метопрололу тартрат затвердженого виробника Egis Pharmaceutical PLC за показником «Визначення залишкових розчинників» методом газової хроматографії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UA/9635/01/02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ЕГІЛОК®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100 мг; по 30 або по 60 таблеток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Виробник, відповідальний за повний цикл виробництва, включаючи випуск серії: ЗАТ Фармацевтичний завод ЕГІС, Угорщина; Виробник, відповідальний за вторинне та первинне пакування, контроль серії та випуск серії: ЗАТ Фармацевтичний завод ЕГІС,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в затвердженому методі випробуванні діючої речовини метопрололу тартрат затвердженого виробника Egis Pharmaceutical PLC за показником «Визначення залишкових розчинників» методом газової хроматографії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UA/9635/01/03</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ЕЛЮКСА®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5 мг; по 10 таблеток у блістері; по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затвердженому методі випробування ГЛЗ за показником «Супровідні домішки», а саме уточнено пояснення до розрахункової формули та вилучено величину межі кількісного визначення «LOQ».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затвердженому методі випробування ГЛЗ за показником «Розчинення», а саме уточнено пояснення до розрахункової формули.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CE433C">
              <w:rPr>
                <w:rFonts w:ascii="Arial" w:hAnsi="Arial" w:cs="Arial"/>
                <w:sz w:val="16"/>
                <w:szCs w:val="16"/>
              </w:rPr>
              <w:br/>
              <w:t>незначні зміни в затвердженому методі випробування ГЛЗ за показником «Однорідність дозованих одиниць», а саме в описі методики зазначено, що результати випробування мають відповідати вимогам ДФУ, ЄФ, 2.9.40.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UA/19524/01/02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ЕЛЮКСА®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2,5 мг; по 10 таблеток у блістері; по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затвердженому методі випробування ГЛЗ за показником «Супровідні домішки», а саме уточнено пояснення до розрахункової формули та вилучено величину межі кількісного визначення «LOQ».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затвердженому методі випробування ГЛЗ за показником «Розчинення», а саме уточнено пояснення до розрахункової формули.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CE433C">
              <w:rPr>
                <w:rFonts w:ascii="Arial" w:hAnsi="Arial" w:cs="Arial"/>
                <w:sz w:val="16"/>
                <w:szCs w:val="16"/>
              </w:rPr>
              <w:br/>
              <w:t>незначні зміни в затвердженому методі випробування ГЛЗ за показником «Однорідність дозованих одиниць», а саме в описі методики зазначено, що результати випробування мають відповідати вимогам ДФУ, ЄФ, 2.9.40.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UA/19524/01/01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ЕМАПЛАГ®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розчин для ін'єкцій, по 15 000 ОД/мл; по 1 мл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Шеньян Саншайн Фармасьютікал Ко.,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(масштаб для лікарського засобу біологічного/імунологічного походження збільшився/зменшився без зміни виробничого процесу (наприклад дублювання лінії)) збільшення діапазону об'єму серії готового лікарського засобу, Затверджено: Розмір серії 10000 мл±1000мл до 36000 мл ±3600 мл (з урахуванням 10% допуску коливання об'єму) </w:t>
            </w:r>
            <w:r w:rsidRPr="00CE433C">
              <w:rPr>
                <w:rFonts w:ascii="Arial" w:hAnsi="Arial" w:cs="Arial"/>
                <w:sz w:val="16"/>
                <w:szCs w:val="16"/>
              </w:rPr>
              <w:br/>
              <w:t>Запропоновано: Розмір серії 10000 мл±1000мл до 50 000 мл ±5000 мл (з урахуванням 10% допуску коливання об'єму)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UA/15181/01/01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ЕПІРУБІЦИН - ВІСТА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розчин для ін`єкцій, 2 мг/мл по 5, або 10, або 25, або 50, або 100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Товариство з обмеженою відповідальністю «БУСТ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Актавіс Італія С.п.А., Італiя; Сіндан Фарма С.Р.Л., Румунія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Італiя/ 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CE433C">
              <w:rPr>
                <w:rFonts w:ascii="Arial" w:hAnsi="Arial" w:cs="Arial"/>
                <w:sz w:val="16"/>
                <w:szCs w:val="16"/>
              </w:rPr>
              <w:br/>
              <w:t>Додавання до підрозділу 3.2.Р.3.1. Виробники, дільниці Global Analytical Services Laboratory Zagreb (laboratory on PLIVA CROATIA Ltd), Prilaz baruna Filipovica 25, 10000 Zagreb, CROATIA/Глобал Аналітікал Сервіс Лабораторі Загреб (Лабораторі ПЛІВА Хорватія Лтд) Прілаз баруна Філіповича 25 10000 Загреб, Хорватія відповідальної за контроль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UA/14658/01/01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 xml:space="preserve">ЕСПІРО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50 мг по 10 таблеток у блістері; по 1, по 2, по 3, по 5 або по 9 блістерів в картонній коробці;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Фармацевтичний завод "Польфарма"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2015-312 - Rev 02 (затверджено: R0-CEP 2015-312 - Rev 02) для АФІ еплеренону від вже затвердженого виробника MSN Laboratories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UA/18267/01/02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 xml:space="preserve">ЕСПІРО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25 мг по 10 таблеток у блістері; по 1, по 2, по 3, по 5 або по 9 блістерів в картонній коробці;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Фармацевтичний завод "Польфарма"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2015-312 - Rev 02 (затверджено: R0-CEP 2015-312 - Rev 02) для АФІ еплеренону від вже затвердженого виробника MSN Laboratories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UA/18267/01/01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ЕСТРОЖЕЛЬ</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гель для місцевого застосування, 0,6 мг/г; по 80 г у флаконі з дозуючим пристроєм;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Безен Хелскеа СА</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Бельгiя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Безен Меньюфекчурінг Белджіум </w:t>
            </w:r>
            <w:r w:rsidRPr="00CE433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Термін введення змін протягом 6 місяців після затвердження</w:t>
            </w:r>
            <w:r w:rsidRPr="00CE433C">
              <w:rPr>
                <w:rFonts w:ascii="Arial" w:hAnsi="Arial" w:cs="Arial"/>
                <w:sz w:val="16"/>
                <w:szCs w:val="16"/>
              </w:rPr>
              <w:b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Адреса, виробнича дільниця та всі виробничі операції залишаються незмінними.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UA/4120/01/01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ЄВРОМОНТ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жувальні, по 4 мг по 14 таблеток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Аккорд Хелскеа Полска Сп. з.о.о.</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лікарського засобу, первинне та вторинне пакування, контроль якості серії:</w:t>
            </w:r>
            <w:r w:rsidRPr="00CE433C">
              <w:rPr>
                <w:rFonts w:ascii="Arial" w:hAnsi="Arial" w:cs="Arial"/>
                <w:sz w:val="16"/>
                <w:szCs w:val="16"/>
              </w:rPr>
              <w:br/>
              <w:t>Інтас Фармасьютікалс Лімітед, Індія</w:t>
            </w:r>
            <w:r w:rsidRPr="00CE433C">
              <w:rPr>
                <w:rFonts w:ascii="Arial" w:hAnsi="Arial" w:cs="Arial"/>
                <w:sz w:val="16"/>
                <w:szCs w:val="16"/>
              </w:rPr>
              <w:br/>
              <w:t>виробництво лікарського засобу, первинне та вторинне пакування, контроль якості серії:</w:t>
            </w:r>
            <w:r w:rsidRPr="00CE433C">
              <w:rPr>
                <w:rFonts w:ascii="Arial" w:hAnsi="Arial" w:cs="Arial"/>
                <w:sz w:val="16"/>
                <w:szCs w:val="16"/>
              </w:rPr>
              <w:br/>
              <w:t>Інтас Фармасьютікалс Лімітед, Індія</w:t>
            </w:r>
            <w:r w:rsidRPr="00CE433C">
              <w:rPr>
                <w:rFonts w:ascii="Arial" w:hAnsi="Arial" w:cs="Arial"/>
                <w:sz w:val="16"/>
                <w:szCs w:val="16"/>
              </w:rPr>
              <w:br/>
              <w:t>додаткова дільниця з первинного та вторинного пакування:</w:t>
            </w:r>
            <w:r w:rsidRPr="00CE433C">
              <w:rPr>
                <w:rFonts w:ascii="Arial" w:hAnsi="Arial" w:cs="Arial"/>
                <w:sz w:val="16"/>
                <w:szCs w:val="16"/>
              </w:rPr>
              <w:br/>
              <w:t>АККОРД ХЕЛСКЕА ЛІМІТЕД, Велика Британія</w:t>
            </w:r>
            <w:r w:rsidRPr="00CE433C">
              <w:rPr>
                <w:rFonts w:ascii="Arial" w:hAnsi="Arial" w:cs="Arial"/>
                <w:sz w:val="16"/>
                <w:szCs w:val="16"/>
              </w:rPr>
              <w:br/>
              <w:t>контроль якості:</w:t>
            </w:r>
            <w:r w:rsidRPr="00CE433C">
              <w:rPr>
                <w:rFonts w:ascii="Arial" w:hAnsi="Arial" w:cs="Arial"/>
                <w:sz w:val="16"/>
                <w:szCs w:val="16"/>
              </w:rPr>
              <w:br/>
              <w:t>ФАРМАВАЛІД Лтд. Мікробіологічна лабораторія, Угорщина</w:t>
            </w:r>
            <w:r w:rsidRPr="00CE433C">
              <w:rPr>
                <w:rFonts w:ascii="Arial" w:hAnsi="Arial" w:cs="Arial"/>
                <w:sz w:val="16"/>
                <w:szCs w:val="16"/>
              </w:rPr>
              <w:br/>
              <w:t>контроль якості</w:t>
            </w:r>
            <w:r w:rsidRPr="00CE433C">
              <w:rPr>
                <w:rFonts w:ascii="Arial" w:hAnsi="Arial" w:cs="Arial"/>
                <w:sz w:val="16"/>
                <w:szCs w:val="16"/>
              </w:rPr>
              <w:br/>
              <w:t>Весслінг Хангері Кфт., Угорщина</w:t>
            </w:r>
            <w:r w:rsidRPr="00CE433C">
              <w:rPr>
                <w:rFonts w:ascii="Arial" w:hAnsi="Arial" w:cs="Arial"/>
                <w:sz w:val="16"/>
                <w:szCs w:val="16"/>
              </w:rPr>
              <w:br/>
              <w:t>відповідальний за випуск серії:</w:t>
            </w:r>
            <w:r w:rsidRPr="00CE433C">
              <w:rPr>
                <w:rFonts w:ascii="Arial" w:hAnsi="Arial" w:cs="Arial"/>
                <w:sz w:val="16"/>
                <w:szCs w:val="16"/>
              </w:rPr>
              <w:br/>
              <w:t>АККОРД ХЕЛСКЕА ЛІМІТЕД, Велика Британія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Британія/</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Угорщина</w:t>
            </w:r>
          </w:p>
          <w:p w:rsidR="00E24DB9" w:rsidRPr="00CE433C" w:rsidRDefault="00E24DB9" w:rsidP="004321E0">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Адміністративна зміна вилучення виробничих дільниць відповідальних за контроль якості серій: Астрон Резьорч Лімітед, Велика Британія та АЛС Лабораторіс (ЮКей), Велика Британія. Залишаються виробники котрі виконують таку ж функцію, що й вилучені: Весслінг Хангері Кфт., Угорщина; Інтас Фармасьютікалс Лімітед, Індія; Фармавалід Лтд. Мікробіологічна лабораторія,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UA/19125/02/01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ЄВРОМОНТ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жувальні, по 5 мг по 14 таблеток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Аккорд Хелскеа Полска Сп. з.о.о.</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лікарського засобу, первинне та вторинне пакування, контроль якості серії:</w:t>
            </w:r>
            <w:r w:rsidRPr="00CE433C">
              <w:rPr>
                <w:rFonts w:ascii="Arial" w:hAnsi="Arial" w:cs="Arial"/>
                <w:sz w:val="16"/>
                <w:szCs w:val="16"/>
              </w:rPr>
              <w:br/>
              <w:t>Інтас Фармасьютікалс Лімітед, Індія</w:t>
            </w:r>
            <w:r w:rsidRPr="00CE433C">
              <w:rPr>
                <w:rFonts w:ascii="Arial" w:hAnsi="Arial" w:cs="Arial"/>
                <w:sz w:val="16"/>
                <w:szCs w:val="16"/>
              </w:rPr>
              <w:br/>
              <w:t>виробництво лікарського засобу, первинне та вторинне пакування, контроль якості серії:</w:t>
            </w:r>
            <w:r w:rsidRPr="00CE433C">
              <w:rPr>
                <w:rFonts w:ascii="Arial" w:hAnsi="Arial" w:cs="Arial"/>
                <w:sz w:val="16"/>
                <w:szCs w:val="16"/>
              </w:rPr>
              <w:br/>
              <w:t>Інтас Фармасьютікалс Лімітед, Індія</w:t>
            </w:r>
            <w:r w:rsidRPr="00CE433C">
              <w:rPr>
                <w:rFonts w:ascii="Arial" w:hAnsi="Arial" w:cs="Arial"/>
                <w:sz w:val="16"/>
                <w:szCs w:val="16"/>
              </w:rPr>
              <w:br/>
              <w:t>додаткова дільниця з первинного та вторинного пакування:</w:t>
            </w:r>
            <w:r w:rsidRPr="00CE433C">
              <w:rPr>
                <w:rFonts w:ascii="Arial" w:hAnsi="Arial" w:cs="Arial"/>
                <w:sz w:val="16"/>
                <w:szCs w:val="16"/>
              </w:rPr>
              <w:br/>
              <w:t>АККОРД ХЕЛСКЕА ЛІМІТЕД, Велика Британія</w:t>
            </w:r>
            <w:r w:rsidRPr="00CE433C">
              <w:rPr>
                <w:rFonts w:ascii="Arial" w:hAnsi="Arial" w:cs="Arial"/>
                <w:sz w:val="16"/>
                <w:szCs w:val="16"/>
              </w:rPr>
              <w:br/>
              <w:t>контроль якості:</w:t>
            </w:r>
            <w:r w:rsidRPr="00CE433C">
              <w:rPr>
                <w:rFonts w:ascii="Arial" w:hAnsi="Arial" w:cs="Arial"/>
                <w:sz w:val="16"/>
                <w:szCs w:val="16"/>
              </w:rPr>
              <w:br/>
              <w:t>ФАРМАВАЛІД Лтд. Мікробіологічна лабораторія, Угорщина</w:t>
            </w:r>
            <w:r w:rsidRPr="00CE433C">
              <w:rPr>
                <w:rFonts w:ascii="Arial" w:hAnsi="Arial" w:cs="Arial"/>
                <w:sz w:val="16"/>
                <w:szCs w:val="16"/>
              </w:rPr>
              <w:br/>
              <w:t>контроль якості</w:t>
            </w:r>
            <w:r w:rsidRPr="00CE433C">
              <w:rPr>
                <w:rFonts w:ascii="Arial" w:hAnsi="Arial" w:cs="Arial"/>
                <w:sz w:val="16"/>
                <w:szCs w:val="16"/>
              </w:rPr>
              <w:br/>
              <w:t>Весслінг Хангері Кфт., Угорщина</w:t>
            </w:r>
            <w:r w:rsidRPr="00CE433C">
              <w:rPr>
                <w:rFonts w:ascii="Arial" w:hAnsi="Arial" w:cs="Arial"/>
                <w:sz w:val="16"/>
                <w:szCs w:val="16"/>
              </w:rPr>
              <w:br/>
              <w:t>відповідальний за випуск серії:</w:t>
            </w:r>
            <w:r w:rsidRPr="00CE433C">
              <w:rPr>
                <w:rFonts w:ascii="Arial" w:hAnsi="Arial" w:cs="Arial"/>
                <w:sz w:val="16"/>
                <w:szCs w:val="16"/>
              </w:rPr>
              <w:br/>
              <w:t>АККОРД ХЕЛСКЕА ЛІМІТЕД, Велика Британія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Британія/</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Угорщина</w:t>
            </w:r>
          </w:p>
          <w:p w:rsidR="00E24DB9" w:rsidRPr="00CE433C" w:rsidRDefault="00E24DB9" w:rsidP="004321E0">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Адміністративна зміна вилучення виробничих дільниць відповідальних за контроль якості серій: Астрон Резьорч Лімітед, Велика Британія та АЛС Лабораторіс (ЮКей), Велика Британія. Залишаються виробники котрі виконують таку ж функцію, що й вилучені: Весслінг Хангері Кфт., Угорщина; Інтас Фармасьютікалс Лімітед, Індія; Фармавалід Лтд. Мікробіологічна лабораторія,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UA/19125/02/02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ЄВРОНЕКС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розчин для ін'єкцій, 100 мг/мл; по 5 мл в ампулі; по 5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Стеріл-Джен Лайф Сайнсіс (Пі) Лімітед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в специфікації ГЛЗ за показниками "Ідентифікація" (ІЧ метод), "Об'єм, що витягається", а саме вилучення контролю даних показників із Специфікації на термін придатності. Зміна в специфікації ГЛЗ за показником "Кількісне визначення", а саме технічна правка в назві тесту та відповідно зміна посилання на відповідну статтю фармакопеї.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UA/18021/01/01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ЄВРОФАСТ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капсули желатинові м'які по 200 мг, in bulk: по 1000 капсул у банках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Марксанс Фарма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методу мас-спектрометрії з індуктивно зв’язаною плазмою для визначення натрію у допоміжній речовині калію гідроксиду</w:t>
            </w:r>
            <w:r w:rsidRPr="00CE433C">
              <w:rPr>
                <w:rFonts w:ascii="Arial" w:hAnsi="Arial" w:cs="Arial"/>
                <w:sz w:val="16"/>
                <w:szCs w:val="16"/>
              </w:rPr>
              <w:br/>
              <w:t xml:space="preserve">Супутня зміна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або заміна (за винятком лікарських засобів біологічного та імунологічного походження) параметра специфікації з відповідним методом випробування за результатами досліджень з безпеки або якості)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UA/14044/01/01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ЄВРОФАСТ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капсули желатинові м'які по 400 мг, in bulk: по 1000 капсул у банках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Марксанс Фарма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методу мас-спектрометрії з індуктивно зв’язаною плазмою для визначення натрію у допоміжній речовині калію гідроксиду</w:t>
            </w:r>
            <w:r w:rsidRPr="00CE433C">
              <w:rPr>
                <w:rFonts w:ascii="Arial" w:hAnsi="Arial" w:cs="Arial"/>
                <w:sz w:val="16"/>
                <w:szCs w:val="16"/>
              </w:rPr>
              <w:br/>
              <w:t xml:space="preserve">Супутня зміна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або заміна (за винятком лікарських засобів біологічного та імунологічного походження) параметра специфікації з відповідним методом випробування за результатами досліджень з безпеки або якості)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UA/14044/01/02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ЄВРОФАСТ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капсули желатинові м'які по 200 мг, по 10 капсул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Марксанс Фарма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методу мас-спектрометрії з індуктивно зв’язаною плазмою для визначення натрію у допоміжній речовині калію гідроксиду</w:t>
            </w:r>
            <w:r w:rsidRPr="00CE433C">
              <w:rPr>
                <w:rFonts w:ascii="Arial" w:hAnsi="Arial" w:cs="Arial"/>
                <w:sz w:val="16"/>
                <w:szCs w:val="16"/>
              </w:rPr>
              <w:br/>
              <w:t xml:space="preserve">Супутня зміна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або заміна (за винятком лікарських засобів біологічного та імунологічного походження) параметра специфікації з відповідним методом випробування за результатами досліджень з безпеки або якості)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UA/14043/01/01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ЄВРОФАСТ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капсули желатинові м'які по 400 мг, по 10 капсул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Марксанс Фарма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методу мас-спектрометрії з індуктивно зв’язаною плазмою для визначення натрію у допоміжній речовині калію гідроксиду</w:t>
            </w:r>
            <w:r w:rsidRPr="00CE433C">
              <w:rPr>
                <w:rFonts w:ascii="Arial" w:hAnsi="Arial" w:cs="Arial"/>
                <w:sz w:val="16"/>
                <w:szCs w:val="16"/>
              </w:rPr>
              <w:br/>
              <w:t xml:space="preserve">Супутня зміна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або заміна (за винятком лікарських засобів біологічного та імунологічного походження) параметра специфікації з відповідним методом випробування за результатами досліджень з безпеки або якості)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UA/14043/01/02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ЄВРОФАСТ КОМБІ</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капсули м'які, 200 мг/500 мг, по 10 капсул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Євро Лайфкер Прайвіт Лімітед</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Олів Хелскер</w:t>
            </w:r>
            <w:r w:rsidRPr="00CE433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UA/19195/01/01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ЄВРОФАСТ КОМБІ</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капсули м'які, 200 мг/500 мг; по 10 капсул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Олів Хелскер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UA/19195/01/01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ЄВРОФАСТ КОМБІ</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капсули м'які, 200 мг/500 мг по 10 капсул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Олів Хелскер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технічна помилка (згідно наказу МОЗ від 23.07.2015 № 460) в затверджених МКЯ ЛЗ, яка була допущена під час перекладу документів виробника на українську мову у розділі Специфікація ГЛЗ (на випуск та термін придатності) за показником «Супровідні домішки» та в Специфікації ГЛЗ (на термін придатності) за показником «Кількісне визначення».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UA/19195/01/01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ЗАРСІО®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розчин для ін’єкцій або інфузій, 30 млн ОД/0,5 мл, по 0,5 мл розчину в попередньо заповненому шприці, оснащеного поршнем, ін'єкційною голкою, ковпачком та захисним пристроєм для запобігання пошкодження голкою після застосування, у блістерній упаковці; по 1 або 5 блістерних упаковок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Сандоз ГмбХ</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відповідальний за виробництво, первинне пакування, контроль серії: </w:t>
            </w:r>
            <w:r w:rsidRPr="00CE433C">
              <w:rPr>
                <w:rFonts w:ascii="Arial" w:hAnsi="Arial" w:cs="Arial"/>
                <w:sz w:val="16"/>
                <w:szCs w:val="16"/>
              </w:rPr>
              <w:br/>
              <w:t>Ай Ді Ті Біологіка ГмбХ, Німеччина</w:t>
            </w:r>
            <w:r w:rsidRPr="00CE433C">
              <w:rPr>
                <w:rFonts w:ascii="Arial" w:hAnsi="Arial" w:cs="Arial"/>
                <w:sz w:val="16"/>
                <w:szCs w:val="16"/>
              </w:rPr>
              <w:br/>
              <w:t>відповідальний за виробництво, пакування, контроль серії та випуск серії:</w:t>
            </w:r>
            <w:r w:rsidRPr="00CE433C">
              <w:rPr>
                <w:rFonts w:ascii="Arial" w:hAnsi="Arial" w:cs="Arial"/>
                <w:sz w:val="16"/>
                <w:szCs w:val="16"/>
              </w:rPr>
              <w:br/>
              <w:t>Сандоз ГмбХ – Бізнес підрозділ технологічна розробка та виробництво біологічних лікарських засобів Шафтенау (БТДМ ДПС), Австрія</w:t>
            </w:r>
          </w:p>
          <w:p w:rsidR="00E24DB9" w:rsidRPr="00CE433C" w:rsidRDefault="00E24DB9" w:rsidP="004321E0">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 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частини виробничої функції «пакування», а саме: «вторинне пакування» для виробника Ай Ді Ті Біологіка ГмбХ, Німеччина.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підприємства, відповідального за постачання хроматографічних смол. Місцезнаходження виробничої дільниці не змінюється. </w:t>
            </w:r>
            <w:r w:rsidRPr="00CE433C">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CE433C">
              <w:rPr>
                <w:rFonts w:ascii="Arial" w:hAnsi="Arial" w:cs="Arial"/>
                <w:sz w:val="16"/>
                <w:szCs w:val="16"/>
              </w:rPr>
              <w:br/>
              <w:t>незначні зміни в методі випробування АФІ за показником «High molecular weight variants» - ексклюзійній хроматографії (SEC), внаслідок зміни чистоти реагентів D-сорбіту та ацетату натрію з ≥99,5% до ≥99,0% через відсутність реагентів, які відповідають попередньому ліміту.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методі випробування АФІ за показником «Product related substances and impurities» - високоефективній рідинній хроматографії з оберненою фазою (RPHPLC), внаслідок зміни чистоти реагентів D-сорбіту та ацетату натрію з ≥99,5% до ≥99,0% через відсутність реагентів, які відповідають попередньому ліміту. Зміни І типу - Зміни з якості. АФІ. Виробництво. Зміни в процесі виробництва АФІ (незначна зміна у процесі виробництва АФІ) незначні зміни в процесі виробництва діючої речовини філграстиму, а саме розширення нижньої межі параметра «швидкість потоку» для трьох етапів процесу в хроматографії гідрофобної взаємодії (HIC). Додатково, редакційні зміни в п.3.2.S.2.2. Опис виробничого процесу та його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UA/12447/01/01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ЗАРСІО®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розчин для ін’єкцій або інфузій, 48 млн ОД/0,5 мл, по 0,5 мл розчину в попередньо заповненому шприці, оснащеного поршнем, ін'єкційною голкою, ковпачком та захисним пристроєм для запобігання пошкодження голкою після застосування, у блістерній упаковці; по 1 або 5 блістерних упаковок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Сандоз ГмбХ</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відповідальний за виробництво, первинне пакування, контроль серії: </w:t>
            </w:r>
            <w:r w:rsidRPr="00CE433C">
              <w:rPr>
                <w:rFonts w:ascii="Arial" w:hAnsi="Arial" w:cs="Arial"/>
                <w:sz w:val="16"/>
                <w:szCs w:val="16"/>
              </w:rPr>
              <w:br/>
              <w:t>Ай Ді Ті Біологіка ГмбХ, Німеччина</w:t>
            </w:r>
            <w:r w:rsidRPr="00CE433C">
              <w:rPr>
                <w:rFonts w:ascii="Arial" w:hAnsi="Arial" w:cs="Arial"/>
                <w:sz w:val="16"/>
                <w:szCs w:val="16"/>
              </w:rPr>
              <w:br/>
              <w:t>відповідальний за виробництво, пакування, контроль серії та випуск серії:</w:t>
            </w:r>
            <w:r w:rsidRPr="00CE433C">
              <w:rPr>
                <w:rFonts w:ascii="Arial" w:hAnsi="Arial" w:cs="Arial"/>
                <w:sz w:val="16"/>
                <w:szCs w:val="16"/>
              </w:rPr>
              <w:br/>
              <w:t>Сандоз ГмбХ – Бізнес підрозділ технологічна розробка та виробництво біологічних лікарських засобів Шафтенау (БТДМ ДПС), Австрія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 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частини виробничої функції «пакування», а саме: «вторинне пакування» для виробника Ай Ді Ті Біологіка ГмбХ, Німеччина.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підприємства, відповідального за постачання хроматографічних смол. Місцезнаходження виробничої дільниці не змінюється. </w:t>
            </w:r>
            <w:r w:rsidRPr="00CE433C">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CE433C">
              <w:rPr>
                <w:rFonts w:ascii="Arial" w:hAnsi="Arial" w:cs="Arial"/>
                <w:sz w:val="16"/>
                <w:szCs w:val="16"/>
              </w:rPr>
              <w:br/>
              <w:t>незначні зміни в методі випробування АФІ за показником «High molecular weight variants» - ексклюзійній хроматографії (SEC), внаслідок зміни чистоти реагентів D-сорбіту та ацетату натрію з ≥99,5% до ≥99,0% через відсутність реагентів, які відповідають попередньому ліміту.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методі випробування АФІ за показником «Product related substances and impurities» - високоефективній рідинній хроматографії з оберненою фазою (RPHPLC), внаслідок зміни чистоти реагентів D-сорбіту та ацетату натрію з ≥99,5% до ≥99,0% через відсутність реагентів, які відповідають попередньому ліміту. Зміни І типу - Зміни з якості. АФІ. Виробництво. Зміни в процесі виробництва АФІ (незначна зміна у процесі виробництва АФІ) незначні зміни в процесі виробництва діючої речовини філграстиму, а саме розширення нижньої межі параметра «швидкість потоку» для трьох етапів процесу в хроматографії гідрофобної взаємодії (HIC). Додатково, редакційні зміни в п.3.2.S.2.2. Опис виробничого процесу та його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UA/12447/01/02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 xml:space="preserve">ЗІПЕЛОР® ПЛЮС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спрей оромукозний, розчин 1,5 мг/мл + 5,0 мг/мл по 30 мл у флаконі; по 1 флакону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II типу - Зміни з якості. АФІ. Виробництво. Зміни в процесі виробництва АФІ (інші зміни) оновлення мастер-файлу на АФІ бензидаміну гідрохлорид від затвердженого виробника BAL Pharma Limited, Індія (затверджено: DMF version - BPL/BNZ/AP/07/2019-03-13; запропоновано: DMF version - BPL/BNZ/AP/1.0/08/2021). Окрім того, відбулись зміни за показником «Опис» для приведення до вимог документації виробника. Зміни II типу - Зміни з якості. АФІ. Виробництво. Зміни в процесі виробництва АФІ (інші зміни) оновлення мастер-файлу на АФІ бензидаміну гідрохлорид від затвердженого виробника BAL Pharma Limited, Індія (затверджено: DMF version - BPL/BNZ/AP/1.0/08/2021; запропоновано: DMF version - BPL/BNZ/AP/09/2022). Окрім того, відбулись зміни за показниками: «Прозорість», «Кольоровість», «рН» та «Первинні аміни» - видалено у зв’язку із приведенням до вимог документації виробника АФІ (відповідність монографії Ph. Eur на бензидаміну гідрохлорид); - «Супровідні домішки, змінено методику та нормування домішок, а саме видалено домішку С з нормуванням не більше 0,1 % та додано домішку D з нормуванням не більше 0,15 %; уточнено нормування неспецифікованої домішки, а саме було - не більше 0,1 %, стало – не більше 0,10 %; - «Втрата в масі при висушуванні» змінено нормування від «не більше 0,5 %» змінено до «не більше 1,0 %», при цьому метод залишається без змін; - «Кількісне визначення», нормування залишено без змін, а методику оновлено у зв’язку з приведенням до вимог документації виробника АФІ (відповідність монографії Ph. Eur на бензидаміну гідрохлорид)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UA/19354/01/01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 xml:space="preserve">ЗОКАРДІС® 30 МГ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таблетки, вкриті плівковою оболонкою, по 30 мг; по 7 таблеток у блістері; по 1 блістеру в картонній коробці; по 14 таблеток у блістері; по 1 або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 Менаріні Мануфактурінг Логістікс енд Сервісес С.р.Л., Італiя (виробництво “in bulk”, первинне та вторинне пакування, випуск серій); А. Менаріні Мануфактурінг Логістікс енд Сервісес С.р.Л., Італiя (контроль серій); Домпе фармацеутіці С.п.А., Італiя (контроль серій); Менаріні-Фон Хейден ГмбХ, Німеччина (Виробництво “in bulk”, первинне та вторинне пакування, контроль та випуск серій)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Італiя/</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p w:rsidR="00E24DB9" w:rsidRPr="00CE433C" w:rsidRDefault="00E24DB9" w:rsidP="004321E0">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додатковим показником «Single unidentified impurity – NMT 0.2%» (поодинокі неідентифіковані домішки) для параметра специфікації «Кількісний вміст домішок» (ВЕРХ, ЕР 2.2.29.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із специфікації ГЛЗ випробування за показником «Hardness» («Межа міцності на руйнування»), ЕР 2.9.8, із відповідним методом випробування.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із специфікації ГЛЗ випробування за показником «Ідентифікація титану діоксид» (кольорова реакція).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із специфікації ГЛЗ випробування за показником «Розпадання» (ЕР 2.9.1).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методу ВЕРХ (ВЕРХ метод 2) для кількісного визначення активної речовини та кількісного визначення вмісту домішок.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Зміна стосується додавання нових виробників вихідної сировини ABP, що використовується у процесі виробництва діючої речовини зофеноприлу кальцію. Зміни стосуються лише закритої частини ASMF.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Зміна стосується додавання нових виробників вихідної сировини ABP, що використовується у процесі виробництва діючої речовини зофеноприлу кальцію. Зміни стосуються лише закритої частини ASMF. Зміни II типу - Зміни з якості. АФІ. (інші зміни) Оновлення ASMF на активну субстанцію затвердженого виробника Lusochimica S.p.A., що знаходиться за адресою Via Giotto 9- 23871 Lomagna (LC), Italy та розділу 3.2.S. Діюча речовина відповідно. Усі поправки включають зміни у виробничому процесі діючої речовини, зміну випробувань у процесі виробництва та процедур тестування діючої речовини, зміни протоколу стабільності діючої речовини</w:t>
            </w:r>
            <w:r w:rsidRPr="00CE433C">
              <w:rPr>
                <w:rFonts w:ascii="Arial" w:hAnsi="Arial" w:cs="Arial"/>
                <w:sz w:val="16"/>
                <w:szCs w:val="16"/>
              </w:rPr>
              <w:br/>
              <w:t>Зміни II типу - Зміни з якості. АФІ. (інші зміни) Оновлення ASMF на активну субстанцію затвердженого виробника Lusochimica S.p.A., що знаходиться за адресою Via Livornese, 897 - 56122 Pisa - La Vettola (PI), Italy та розділу 3.2.S відповідно. Усі поправки включають зміни у виробничому процесі діючої речовини, зміну розміру серії діючої речовини, зміну випробувань у процесі виробництва та процедур випробування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UA/3246/01/02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ЗОЛАДЕКС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капсула для підшкірного введення пролонгованої дії по 3,6 мг; 1 капсула у шприц-аплікаторі із захисним механізмом; по 1 шприцу в конверті з прикріпленим прапорцем-анотацією з вологопоглинаючою капсулою; по 1 конверту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АстраЗенека ЮК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 внесенням коректорських правок відповідно до оригінальних документів.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R1-CEP 2003-037-Rev 03 (заміна модулю 3.2.S. окрім S 2.1 та S.4.1.) для АФІ гозереліну ацетат від затвердженого виробника Bachem AG, Switzerland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UA/4236/01/01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ЗОЛАДЕКС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капсула для підшкірного введення пролонгованої дії по 10,8 мг; 1 капсула у шприц-аплікаторі із захисним механізмом; по 1 шприцу в конверті з прикріпленим прапорцем-анотацією з вологопоглинаючою капсулою; по 1 конверту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АстраЗенека ЮК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 внесенням коректорських правок відповідно до оригінальних документів.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R1-CEP 2003-037-Rev 03 (заміна модулю 3.2.S. окрім S 2.1 та S.4.1.) для АФІ гозереліну ацетат від затвердженого виробника Bachem AG, Switzerland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UA/4236/01/02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ЗОЛМІТРИПТАН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порошок (субстанція) у пакетах з фольгованої плівки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ТОВ НВФ «МІКРОХІМ» </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ТОВ НВФ «МІКРОХІМ» </w:t>
            </w:r>
            <w:r w:rsidRPr="00CE433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та найменування заявника;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Необхідність зміни адреси виробника субстанції золмітриптану у зв’язку з фактичною зміною юридичної адреси, а також зміна найменування виробника, а саме: згідно статуту ТОВ НВФ «МІКРОХІМ» скорочене найменування Товариства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UA/14798/01/01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ЗОНІК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капсули тверді по 50 мг; по 14 капсул у блістері; по 2 або по 4 блістери в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(ЛІРИКА, капсули). Введення змін протягом 6-ти місяців після затвердження.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4.0. Зміни внесено до частин: І «Загальна інформація», II «Специфікація з безпеки» (модулів CV «Післяреєстраційний досвід», CVIII «Резюме проблем безпеки»), III «План з фармаконагляду», V «Заходи з мінімізації ризиків», VI «Резюме плану управління ризиками», VII «Додатки» у зв'язку з оновленням інформації з безпеки референтного лікарського засобу. Резюме плану управління ризиками версія 4.0 додається.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UA/19526/01/02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ЗОНІК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капсули тверді по 25 мг; по 14 капсул у блістері; по 2 або по 4 блістери в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(ЛІРИКА, капсули). Введення змін протягом 6-ти місяців після затвердження.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4.0. Зміни внесено до частин: І «Загальна інформація», II «Специфікація з безпеки» (модулів CV «Післяреєстраційний досвід», CVIII «Резюме проблем безпеки»), III «План з фармаконагляду», V «Заходи з мінімізації ризиків», VI «Резюме плану управління ризиками», VII «Додатки» у зв'язку з оновленням інформації з безпеки референтного лікарського засобу. Резюме плану управління ризиками версія 4.0 додається.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UA/19526/01/01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ЗОНІК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капсули тверді по 150 мг; по 14 капсул у блістері; по 1 або по 2, або по 4, або по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(ЛІРИКА, капсули).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4.0. Зміни внесено до частин: І «Загальна інформація», II «Специфікація з безпеки» (модулів CV «Післяреєстраційний досвід», CVIII «Резюме проблем безпеки»), III «План з фармаконагляду», V «Заходи з мінімізації ризиків», VI «Резюме плану управління ризиками», VII «Додатки» у зв'язку з оновленням інформації з безпеки референтного лікарського засобу. Резюме плану управління ризиками версія 4.0 додається. </w:t>
            </w:r>
            <w:r w:rsidRPr="00CE433C">
              <w:rPr>
                <w:rFonts w:ascii="Arial" w:hAnsi="Arial" w:cs="Arial"/>
                <w:sz w:val="16"/>
                <w:szCs w:val="16"/>
              </w:rPr>
              <w:b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UA/16350/01/01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ІБУФЕН® ФОРТЕ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суспензія оральна з полуничним ароматом, по 200 мг/5 мл по 40 або по 100 мл у флаконі; по 1 флакону зі шприцом-дозатором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Фармацевтичний завод "ПОЛЬФАРМА" С.А. Відділ Медана в Сєрадзі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1996-061 - Rev 15 (затверджено: R1-CEP 1996-061 - Rev 14) для АФІ ібупрофену від вже затвердженого виробника Solara Active Pharma Sciences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UA/12829/02/01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ІБУФЕН® ФОРТЕ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суспензія оральна з малиновим ароматом, по 200 мг/5 мл по 40 або по 100 мл у флаконі; по 1 флакону зі шприцом-дозатором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Фармацевтичний завод "ПОЛЬФАРМА" С.А. Відділ Медана в Сєрадзі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1996-061 - Rev 15 (затверджено: R1-CEP 1996-061 - Rev 14) для АФІ ібупрофену від вже затвердженого виробника Solara Active Pharma Sciences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UA/14437/01/01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ІБУФЕН® ЮНІОР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капсули м'які по 200 мг, по 10 капсул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Фармацевтичний завод "ПОЛЬФАРМА" С.А. Відділ Медана в Сєрадзі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оновлений сертифікат від уже затвердженого виробника. Затверджений виробник отримав оновлений сертифікат R1-CEP 1996-061-Rev 15, у зв'язку з введенням додаткової виробницої дільниці АФІ (Visakhapatnam site)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UA/12829/01/01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ІМУНОГЛОБУЛІН АНТИРАБІЧНИЙ (КІНСЬКИЙ)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розчин для ін'єкцій, не менше 150 МО/мл; 1 ампула з імуноглобуліном антирабічним (3 мл, ампула маркована синім кольором) у комплекті з 1 ампулою з імуноглобуліном антирабічним розведеним 1:100 (1 мл, ампула маркована червоним кольором), по 5 комплектів у пачці, або 1 ампула з імуноглобуліном антирабічним (5 мл, ампула маркована синім кольором) у комплекті з 1 ампулою з імуноглобуліном антирабічним розведеним 1:100 (1 мл, ампула маркована червоним кольором), по 5 комплектів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"БІОЛІК ФАРМА"</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«БІОЛІК ФАРМА»</w:t>
            </w:r>
            <w:r w:rsidRPr="00CE433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Адміністративні зміни. (інші зміни) Зміна виробника ГЛЗ без зміни місця провадження діяльності та виробничих потужностей. Термін введення змін протягом 6 місяців після затвердження.</w:t>
            </w:r>
            <w:r w:rsidRPr="00CE433C">
              <w:rPr>
                <w:rFonts w:ascii="Arial" w:hAnsi="Arial" w:cs="Arial"/>
                <w:sz w:val="16"/>
                <w:szCs w:val="16"/>
              </w:rPr>
              <w:br/>
              <w:t>Зміни І типу - Адміністративні зміни. (інші зміни) Зміна виробника АФІ без зміни місця провадження діяльності та виробничих потужностей.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UA/15930/01/01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ІНДАПАМІД-АСТРАФАРМ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оболонкою, по 2,5 мг по 30 таблеток у блістері, по 1 блістеру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"Астрафарм"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за показником «Мікробіологічна чистота» в специфікації ГЛЗ: тест не є рутинним, виконується для кожної шостої серії, але не рідше одного разу на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UA/11734/01/01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ГлаксоСмітКляйн Біолоджікалз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Бельгiя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води очищеної In-house preparation of carbon dioxid free water на воду A commercial carbon dioxid free water, яка відповідає вимогам Eur.Ph. Monograph 1095502 Water, carbon dioxid-free та використовується для відновлення неадсорбованого Hib FC для визначення рН при контролі якості під час випуску (QR) та при вивченні стабільності. Термін введення змін - протягом 6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критеріїв прийнятності показника pH для неадсорбованого Hib компоненту при випуску кінцевого продукту (QR) та при закінченні терміну придатності (EOSL). Затверджено: рН 5,0 -7,0 Запропоновано: Після відновлення водою очищеною: 4,5 -6,5 Внесення редакційних правок до тексту показника Опис компоненту Haemophilus іnfluenzae.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UA/15832/01/01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КАБІВЕН ПЕРИФЕРИЧНИЙ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емульсія для інфузій; по 1440 мл, або по 1920 мл, або по 2400 мл емульсії у трикамерному контейнері "Біофін"(1 камера – 885 мл, або 1180 мл, або 1475 мл 11 % розчину глюкози; 2 камера – 300 мл, або 400 мл, або 500 мл Ваміну 18 Новум; 3 камера – 255 мл, або 340 мл, або 425 мл Інтраліпіду 20 %), який разом з антиокисником вміщують в зовнішній пластиковий мішок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Фрезеніус Кабі Дойчланд ГмбХ</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Фрезеніус Кабі АБ </w:t>
            </w:r>
            <w:r w:rsidRPr="00CE433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Адміністартивна зміна уточнення адреси виробника, відповідно до вимог ЄМА. А саме зазначення поштового індекса фізичного сайту (раніше був адміністративний поштовий індекс).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UA/9045/01/01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КАРБАМАЗЕПІН-ДАРНИЦЯ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таблетки по 200 мг; по 10 таблеток у контурній чарунковій упаковці; по 2 або по 5 контурних чарункових упаковок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Зміни внесені до інструкції для медичного застосування лікарського засобу в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"Діти" відповідно до інформації з безпеки застосування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UA/2579/01/01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КАСОДЕКС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50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АстраЗенека ЮК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Виробник, відповідальний за виробництво "in bulk", контроль якості: Корден Фарма ГмбХ, Німеччина; Виробник, відповідальний за первинне та вторинне пакування, випуск серії: АстраЗенека ЮК Лімітед, Велика Британія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Британія</w:t>
            </w:r>
          </w:p>
          <w:p w:rsidR="00E24DB9" w:rsidRPr="00CE433C" w:rsidRDefault="00E24DB9" w:rsidP="004321E0">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 внесенням коректорських правок відповідно до оригінальних документів. Введення змін протягом 6-ти місяців після затвердження. Зміни І типу - Зміни щодо безпеки/ефективності та фармаконагляду (інші зміни) внесення змін до розділу “ Маркування” МКЯ ЛЗ. Затверджено: Маркировка: Прилагается. Запропоновано: Маркування: Згідно затвердженого тексту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UA/0185/01/01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КАСОДЕКС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150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АстраЗенека ЮК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Виробник, відповідальний за виробництво "in bulk", контроль якості: Корден Фарма ГмбХ, Німеччина; Виробник, відповідальний за первинне та вторинне пакування, випуск серії: АстраЗенека ЮК Лімітед, Велика Британія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Британія</w:t>
            </w:r>
          </w:p>
          <w:p w:rsidR="00E24DB9" w:rsidRPr="00CE433C" w:rsidRDefault="00E24DB9" w:rsidP="004321E0">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 внесенням коректорських правок відповідно до оригінальних документів. Введення змін протягом 6-ти місяців після затвердження. Зміни І типу - Зміни щодо безпеки/ефективності та фармаконагляду (інші зміни) внесення змін до розділу “ Маркування” МКЯ ЛЗ. Затверджено: Маркировка: Прилагается. Запропоновано: Маркування: Згідно затвердженого тексту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UA/0185/01/02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 xml:space="preserve">КВЕТИКСОЛ XR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пролонгованої дії, по 150 мг по 10 таблеток у блістері; по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 Меркле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2017-210 - Rev 01 (затверджено: R0-CEP 2017-210 - Rev 00) для АФІ кветіапіну фумарату від вже затвердженого виробника Teva Pharmaceutical Industries Ltd., Ізраїль.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2017-210 - Rev 02 для АФІ кветіапіну фумарату від вже затвердженого виробника Teva Pharmaceutical Industries Ltd.,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UA/19569/01/02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 xml:space="preserve">КВЕТИКСОЛ XR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пролонгованої дії, по 200 мг по 10 таблеток у блістері; по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 Меркле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2017-210 - Rev 01 (затверджено: R0-CEP 2017-210 - Rev 00) для АФІ кветіапіну фумарату від вже затвердженого виробника Teva Pharmaceutical Industries Ltd., Ізраїль.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2017-210 - Rev 02 для АФІ кветіапіну фумарату від вже затвердженого виробника Teva Pharmaceutical Industries Ltd.,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UA/19569/01/03</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 xml:space="preserve">КВЕТИКСОЛ XR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пролонгованої дії, по 300 мг по 10 таблеток у блістері; по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 Меркле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2017-210 - Rev 01 (затверджено: R0-CEP 2017-210 - Rev 00) для АФІ кветіапіну фумарату від вже затвердженого виробника Teva Pharmaceutical Industries Ltd., Ізраїль.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2017-210 - Rev 02 для АФІ кветіапіну фумарату від вже затвердженого виробника Teva Pharmaceutical Industries Ltd.,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UA/19569/01/04</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 xml:space="preserve">КВЕТИКСОЛ XR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пролонгованої дії, по 400 мг по 10 таблеток у блістері; по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 Меркле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2017-210 - Rev 01 (затверджено: R0-CEP 2017-210 - Rev 00) для АФІ кветіапіну фумарату від вже затвердженого виробника Teva Pharmaceutical Industries Ltd., Ізраїль.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2017-210 - Rev 02 для АФІ кветіапіну фумарату від вже затвердженого виробника Teva Pharmaceutical Industries Ltd.,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UA/19569/01/05</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 xml:space="preserve">КВЕТИКСОЛ XR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пролонгованої дії, по 50 мг по 10 таблеток у блістері; по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 Меркле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2017-210 - Rev 01 (затверджено: R0-CEP 2017-210 - Rev 00) для АФІ кветіапіну фумарату від вже затвердженого виробника Teva Pharmaceutical Industries Ltd., Ізраїль.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2017-210 - Rev 02 для АФІ кветіапіну фумарату від вже затвердженого виробника Teva Pharmaceutical Industries Ltd.,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UA/19569/01/01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КЕППРА®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розчин оральний, 100 мг/мл; по 300 мл у флаконі; по 1 флакону з мірним пластиковим шприцом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ЮСБ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Бельгiя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НекстФарма САС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АФІ. Система контейнер/закупорювальний засіб. Зміна у безпосередній упаковці АФІ (якісні та/або кількісні зміни складу) - внесення змін до матеріалів реєстраційного досьє (3.2.S.2.2.), а саме зміна у складі безпосередньої упаковки багатошарового поліетиленового пакету (так званого «мініпакету») для проміжного продукту етірацетаму, виробництва Siegfried Ltd., Switzerland з поліетилену низької щільності (LDPE) на LDPE з додаванням концентрату антистатика, схваленого для фармацевтичного застосування. Існуючі та пропоновані «мініпакети» випускаються одним й тим же постачальником та мають одинакові геометричні розміри. Зміна полягає в додаванні концентрату антистатика як у внутрішній, так і зовнішній шар «мініпакету», а також в оболонку контейнера, що забезпечує антистатичні властивості пакувального матеріалу. Ця зміна відноситься до методу синтезу МСС АФІ (що включає етап виділення за допомогою хіральної багатоколонкової безперервної хроматографії)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UA/9155/02/01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КОДЕЇНУ ФОСФАТ ГЕМІГІДРАТ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порошок (субстанція) у двох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ФРАНКОПІЯ </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Санофі Хімі</w:t>
            </w:r>
            <w:r w:rsidRPr="00CE433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1997-118 - Rev 10 (затверджено: R1-CEP 1997-118 - Rev 09); Зміни І типу - Зміни з якості. АФІ. Контроль АФІ (інші зміни) - зміна мови викладення МКЯ з російської на українську;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1997-118 - Rev 11; зміни І типу - Зміни з якості. АФІ. Система контейнер/закупорювальний засіб (інші зміни) - оновлення розділу «Маркування» у МКЯ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UA/15109/01/01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КОДЕПСИН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10 таблеток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тексту маркування первинної упаковки лікарського засобу в п. 6. «ІНШЕ» та до тексту маркування вторинної упаковки в п. 1. «НАЗВА ЛІКАРСЬКОГО ЗАСОБУ», п. 17.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UA/11812/01/01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КО-ДІОВАН®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160 мг/12,5 мг; по 14 таблеток у блістері; по 1 або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Новартіс Фарма Штейн АГ, Швейцарія; Новартіс Фарма C.п.А., Італія; Первинне та вторинне пакування: Міфарм С.п.А., Італiя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CE433C">
              <w:rPr>
                <w:rFonts w:ascii="Arial" w:hAnsi="Arial" w:cs="Arial"/>
                <w:sz w:val="16"/>
                <w:szCs w:val="16"/>
              </w:rPr>
              <w:br/>
              <w:t>Незначні зміни в процесі виробництва АФІ з метою гармонізації процесу, а саме- додано «approximately» перед розчинником «метанол»; додання до фіксованої кількості, діапазонів для розчинника, реагента та проміжного продукту в процесі синтезу; зміна «yield range in kg» гідрохлоротіазиду з 115 (110-120) кг на 119 (110-128) кг; зміна «yield range in kg» гідрохлоротіазиду (WSH) з 230 (220-240) кг на 238 (220-255) кг; зміна «theoretical yield range in %» гідрохлоротіазиду (WSJ) з 92 (88-96) % на 95(88-102) %. Діапазони виходу продукту були змінені грунтуючись на виробничому досвіді та удосконаленнях.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Оновлення монографії тестування Novartis для контролю субстанції-мікронізований гідрохлоротіазид та проміжного продукту езіроміду (сирого гідрохлоротіазиду), щоб видалити стовпці «batch release» та «stability + re-test». Novartis підтверджує, що видалення двох стовпців у специфікаціях лікарських речовин відповідає лише зміні формату шаблону. Діюча речовина відповідатиме всім критеріям прийнятності протягом повного періоду використання та не буде внесено жодних змін у фактичні специфікації, методи випробувань або частоту випробувань. Також, внесення редакційних змін, щоб адаптувати інформацію, надану в р. «Фармакопейний статус» монографії тестування, до поточних версій ЕР та USP.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UA/8688/01/02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КО-ДІОВАН®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160 мг/25 мг; по 14 таблеток у блістері; по 1 або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Новартіс Фарма Штейн АГ, Швейцарія; Новартіс Фарма C.п.А., Італія; Первинне та вторинне пакування: Міфарм С.п.А., Італiя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CE433C">
              <w:rPr>
                <w:rFonts w:ascii="Arial" w:hAnsi="Arial" w:cs="Arial"/>
                <w:sz w:val="16"/>
                <w:szCs w:val="16"/>
              </w:rPr>
              <w:br/>
              <w:t>Незначні зміни в процесі виробництва АФІ з метою гармонізації процесу, а саме- додано «approximately» перед розчинником «метанол»; додання до фіксованої кількості, діапазонів для розчинника, реагента та проміжного продукту в процесі синтезу; зміна «yield range in kg» гідрохлоротіазиду з 115 (110-120) кг на 119 (110-128) кг; зміна «yield range in kg» гідрохлоротіазиду (WSH) з 230 (220-240) кг на 238 (220-255) кг; зміна «theoretical yield range in %» гідрохлоротіазиду (WSJ) з 92 (88-96) % на 95(88-102) %. Діапазони виходу продукту були змінені грунтуючись на виробничому досвіді та удосконаленнях.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Оновлення монографії тестування Novartis для контролю субстанції-мікронізований гідрохлоротіазид та проміжного продукту езіроміду (сирого гідрохлоротіазиду), щоб видалити стовпці «batch release» та «stability + re-test». Novartis підтверджує, що видалення двох стовпців у специфікаціях лікарських речовин відповідає лише зміні формату шаблону. Діюча речовина відповідатиме всім критеріям прийнятності протягом повного періоду використання та не буде внесено жодних змін у фактичні специфікації, методи випробувань або частоту випробувань. Також, внесення редакційних змін, щоб адаптувати інформацію, надану в р. «Фармакопейний статус» монографії тестування, до поточних версій ЕР та USP.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UA/8688/01/03</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КО-ДІОВАН®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320 мг/12,5 мг; по 14 таблеток у блістері; по 1 або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Новартіс Фарма Штейн АГ, Швейцарія; Новартіс Фарма C.п.А., Італія; Первинне та вторинне пакування: Міфарм С.п.А., Італiя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CE433C">
              <w:rPr>
                <w:rFonts w:ascii="Arial" w:hAnsi="Arial" w:cs="Arial"/>
                <w:sz w:val="16"/>
                <w:szCs w:val="16"/>
              </w:rPr>
              <w:br/>
              <w:t>Незначні зміни в процесі виробництва АФІ з метою гармонізації процесу, а саме- додано «approximately» перед розчинником «метанол»; додання до фіксованої кількості, діапазонів для розчинника, реагента та проміжного продукту в процесі синтезу; зміна «yield range in kg» гідрохлоротіазиду з 115 (110-120) кг на 119 (110-128) кг; зміна «yield range in kg» гідрохлоротіазиду (WSH) з 230 (220-240) кг на 238 (220-255) кг; зміна «theoretical yield range in %» гідрохлоротіазиду (WSJ) з 92 (88-96) % на 95(88-102) %. Діапазони виходу продукту були змінені грунтуючись на виробничому досвіді та удосконаленнях.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Оновлення монографії тестування Novartis для контролю субстанції-мікронізований гідрохлоротіазид та проміжного продукту езіроміду (сирого гідрохлоротіазиду), щоб видалити стовпці «batch release» та «stability + re-test». Novartis підтверджує, що видалення двох стовпців у специфікаціях лікарських речовин відповідає лише зміні формату шаблону. Діюча речовина відповідатиме всім критеріям прийнятності протягом повного періоду використання та не буде внесено жодних змін у фактичні специфікації, методи випробувань або частоту випробувань. Також, внесення редакційних змін, щоб адаптувати інформацію, надану в р. «Фармакопейний статус» монографії тестування, до поточних версій ЕР та USP.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UA/8688/01/04</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КО-ДІОВАН®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320 мг/25 мг; по 14 таблеток у блістері; по 1 або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Новартіс Фарма Штейн АГ, Швейцарія; Новартіс Фарма C.п.А., Італія; Первинне та вторинне пакування: Міфарм С.п.А., Італiя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CE433C">
              <w:rPr>
                <w:rFonts w:ascii="Arial" w:hAnsi="Arial" w:cs="Arial"/>
                <w:sz w:val="16"/>
                <w:szCs w:val="16"/>
              </w:rPr>
              <w:br/>
              <w:t>Незначні зміни в процесі виробництва АФІ з метою гармонізації процесу, а саме- додано «approximately» перед розчинником «метанол»; додання до фіксованої кількості, діапазонів для розчинника, реагента та проміжного продукту в процесі синтезу; зміна «yield range in kg» гідрохлоротіазиду з 115 (110-120) кг на 119 (110-128) кг; зміна «yield range in kg» гідрохлоротіазиду (WSH) з 230 (220-240) кг на 238 (220-255) кг; зміна «theoretical yield range in %» гідрохлоротіазиду (WSJ) з 92 (88-96) % на 95(88-102) %. Діапазони виходу продукту були змінені грунтуючись на виробничому досвіді та удосконаленнях.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Оновлення монографії тестування Novartis для контролю субстанції-мікронізований гідрохлоротіазид та проміжного продукту езіроміду (сирого гідрохлоротіазиду), щоб видалити стовпці «batch release» та «stability + re-test». Novartis підтверджує, що видалення двох стовпців у специфікаціях лікарських речовин відповідає лише зміні формату шаблону. Діюча речовина відповідатиме всім критеріям прийнятності протягом повного періоду використання та не буде внесено жодних змін у фактичні специфікації, методи випробувань або частоту випробувань. Також, внесення редакційних змін, щоб адаптувати інформацію, надану в р. «Фармакопейний статус» монографії тестування, до поточних версій ЕР та USP.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UA/8688/01/05</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КО-ДІОВАН®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80 мг/12,5 мг; по 14 таблеток у блістері; по 1 або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Новартіс Фарма Штейн АГ, Швейцарія; Новартіс Фарма C.п.А., Італія; Первинне та вторинне пакування: Міфарм С.п.А., Італiя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CE433C">
              <w:rPr>
                <w:rFonts w:ascii="Arial" w:hAnsi="Arial" w:cs="Arial"/>
                <w:sz w:val="16"/>
                <w:szCs w:val="16"/>
              </w:rPr>
              <w:br/>
              <w:t>Незначні зміни в процесі виробництва АФІ з метою гармонізації процесу, а саме- додано «approximately» перед розчинником «метанол»; додання до фіксованої кількості, діапазонів для розчинника, реагента та проміжного продукту в процесі синтезу; зміна «yield range in kg» гідрохлоротіазиду з 115 (110-120) кг на 119 (110-128) кг; зміна «yield range in kg» гідрохлоротіазиду (WSH) з 230 (220-240) кг на 238 (220-255) кг; зміна «theoretical yield range in %» гідрохлоротіазиду (WSJ) з 92 (88-96) % на 95(88-102) %. Діапазони виходу продукту були змінені грунтуючись на виробничому досвіді та удосконаленнях.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Оновлення монографії тестування Novartis для контролю субстанції-мікронізований гідрохлоротіазид та проміжного продукту езіроміду (сирого гідрохлоротіазиду), щоб видалити стовпці «batch release» та «stability + re-test». Novartis підтверджує, що видалення двох стовпців у специфікаціях лікарських речовин відповідає лише зміні формату шаблону. Діюча речовина відповідатиме всім критеріям прийнятності протягом повного періоду використання та не буде внесено жодних змін у фактичні специфікації, методи випробувань або частоту випробувань. Також, внесення редакційних змін, щоб адаптувати інформацію, надану в р. «Фармакопейний статус» монографії тестування, до поточних версій ЕР та USP.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UA/8688/01/01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КОНВУЛЕКС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розчин для ін'єкцій, 100 мг/мл по 5 мл в ампулі, по 5 ампул у контурній чарунковій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пакування, контроль якості: Г.Л. Фарма ГмбХ, Австрія; виробник, що відповідає за випуск серії: Г.Л. Фарма ГмбХ, Австрія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UA/6595/01/01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КОРДАРОН®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200 мг; № 30 (10х3): по 10 таблеток у блістері; по 3 блістери в картонній коробці; № 30 (15х2): по 15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первинне та вторинне пакування, контроль якості та випуск серії ГЛЗ: САНОФІ ВІНТРОП ІНДАСТРІА, Франція; Виробництво, первинне та вторинне пакування, контроль якості та випуск серії ГЛЗ (за виключенням мікробіологічного тестування): Опелла Хелскеа Хангері Кфт., Угорщина; Мікробіологічне тестування ГЛЗ: ХІНОЇН Завод Фармацевтичних та Хімічних Продуктів Прайвіт Ко. Лтд. (ХІНОЇН Прайвіт Ко. Лтд.) - підприємство Чаніквельд, Угорщина; Мікробіологічне тестування ГЛЗ: ХІНОЇН Завод Фармацевтичних та Хімічних Продуктів Прайвіт Ко. Лтд. (ХІНОЇН Прайвіт Ко. Лтд.) - підприємство Юпест,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Франція/</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Угорщина</w:t>
            </w:r>
            <w:r w:rsidRPr="00CE433C">
              <w:rPr>
                <w:rFonts w:ascii="Arial" w:hAnsi="Arial" w:cs="Arial"/>
                <w:sz w:val="16"/>
                <w:szCs w:val="16"/>
              </w:rPr>
              <w:br/>
            </w:r>
          </w:p>
          <w:p w:rsidR="00E24DB9" w:rsidRPr="00CE433C" w:rsidRDefault="00E24DB9" w:rsidP="004321E0">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E433C">
              <w:rPr>
                <w:rFonts w:ascii="Arial" w:hAnsi="Arial" w:cs="Arial"/>
                <w:sz w:val="16"/>
                <w:szCs w:val="16"/>
              </w:rPr>
              <w:br/>
              <w:t>Діюча редакція: Ходаківська Тетяна Вячеславівна. Пропонована редакція: Варфоломєєва Іванна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UA/3683/02/01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КСАРЕЛТО®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10 мг; № 5 (5х1): по 5 таблеток у блістері; по 1 блістеру у картонній пачці; № 10 (10х1), № 100 (10х10): по 10 таблеток у блістері; по 1 або по 10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Байєр АГ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щодо результатів досліджень з програми PASS DUS. Введення змін протягом 4-ох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"Передозування" (редагування медичного терміну), "Побічні реакції" (додавання нової побічної реакції "еозінофільна пневмонія" відповідно до постмаркетингового спостереження та редакційні правки в тексті розділу). Введення змін протягом 4-ох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UA/9201/01/01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КСАРЕЛТО®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2,5 мг; по 14 таблеток у блістері; по 1 або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для всього виробничого процесу:</w:t>
            </w:r>
            <w:r w:rsidRPr="00CE433C">
              <w:rPr>
                <w:rFonts w:ascii="Arial" w:hAnsi="Arial" w:cs="Arial"/>
                <w:sz w:val="16"/>
                <w:szCs w:val="16"/>
              </w:rPr>
              <w:br/>
              <w:t>Байєр АГ, Німеччина;</w:t>
            </w:r>
            <w:r w:rsidRPr="00CE433C">
              <w:rPr>
                <w:rFonts w:ascii="Arial" w:hAnsi="Arial" w:cs="Arial"/>
                <w:sz w:val="16"/>
                <w:szCs w:val="16"/>
              </w:rPr>
              <w:br/>
              <w:t>Байєр Хелскер Мануфактурінг С.Р.Л., Італія</w:t>
            </w:r>
            <w:r w:rsidRPr="00CE433C">
              <w:rPr>
                <w:rFonts w:ascii="Arial" w:hAnsi="Arial" w:cs="Arial"/>
                <w:sz w:val="16"/>
                <w:szCs w:val="16"/>
              </w:rPr>
              <w:br/>
              <w:t>для вторинного пакування:</w:t>
            </w:r>
            <w:r w:rsidRPr="00CE433C">
              <w:rPr>
                <w:rFonts w:ascii="Arial" w:hAnsi="Arial" w:cs="Arial"/>
                <w:sz w:val="16"/>
                <w:szCs w:val="16"/>
              </w:rPr>
              <w:br/>
              <w:t>Штегеманн Лонферпакунг &amp; Логістішер Сервіс е.К.,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відповідно до даних постмаркетингового спостереження. Введення змін протягом 4-ох місяців після затвердження.</w:t>
            </w:r>
            <w:r w:rsidRPr="00CE433C">
              <w:rPr>
                <w:rFonts w:ascii="Arial" w:hAnsi="Arial" w:cs="Arial"/>
                <w:sz w:val="16"/>
                <w:szCs w:val="16"/>
              </w:rPr>
              <w:b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13.4. Зміни внесено до частин: II «Специфікація з безпеки», ІІІ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 у зв’язку з поданням до ЕМА інформації щодо результатів досліджень з програми PASS DUS. Резюме плану управління ризиками версія 13.4 додається. Термін введення змін протягом 4-ох місяців не рекомендовано, оскільки ПУР має бути впроваджений відразу після схвалення.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UA/9201/01/04</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КСЕФОКАМ®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8 мг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Такеда ГмбХ, місце виробництва Оранієнбург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0Зміни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додавання в специфікацію ГЛЗ нового параметру з відповідним методом випробування за показником «Визначення чистоти» (ЄФ, 2.2.29), а саме домішки «HN-RPT03026» з нормуванням при випуску не більше 0,3%, на термін придатності – не більше 0,5%, що відповідає ліміту кваліфікації згідно ICH Q3B. Нормування для суми домішок не змінилося.</w:t>
            </w:r>
            <w:r w:rsidRPr="00CE433C">
              <w:rPr>
                <w:rFonts w:ascii="Arial" w:hAnsi="Arial" w:cs="Arial"/>
                <w:sz w:val="16"/>
                <w:szCs w:val="16"/>
              </w:rPr>
              <w:br/>
              <w:t xml:space="preserve">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CE433C">
              <w:rPr>
                <w:rFonts w:ascii="Arial" w:hAnsi="Arial" w:cs="Arial"/>
                <w:sz w:val="16"/>
                <w:szCs w:val="16"/>
              </w:rPr>
              <w:br/>
              <w:t xml:space="preserve">зміни в специфікації ГЛЗ за показником «Середня маса», для дозування 4 мг обумовлені виявленою незначною помилкою в розрахунку загальної маси таблетки в розділі 3.2.P.1.Опис і склад. Це лише формальне виправлення, не має змін у складі кількості діючої речовини та допоміжних речовин.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UA/10245/01/02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КСЕФОКАМ®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4 мг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Такеда ГмбХ, місце виробництва Оранієнбург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додавання в специфікацію ГЛЗ нового параметру з відповідним методом випробування за показником «Визначення чистоти» (ЄФ, 2.2.29), а саме домішки «HN-RPT03026» з нормуванням при випуску не більше 0,3%, на термін придатності – не більше 0,5%, що відповідає ліміту кваліфікації згідно ICH Q3B. Нормування для суми домішок не змінилося.</w:t>
            </w:r>
            <w:r w:rsidRPr="00CE433C">
              <w:rPr>
                <w:rFonts w:ascii="Arial" w:hAnsi="Arial" w:cs="Arial"/>
                <w:sz w:val="16"/>
                <w:szCs w:val="16"/>
              </w:rPr>
              <w:br/>
              <w:t xml:space="preserve">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CE433C">
              <w:rPr>
                <w:rFonts w:ascii="Arial" w:hAnsi="Arial" w:cs="Arial"/>
                <w:sz w:val="16"/>
                <w:szCs w:val="16"/>
              </w:rPr>
              <w:br/>
              <w:t xml:space="preserve">зміни в специфікації ГЛЗ за показником «Середня маса», для дозування 4 мг обумовлені виявленою незначною помилкою в розрахунку загальної маси таблетки в розділі 3.2.P.1.Опис і склад. Це лише формальне виправлення, не має змін у складі кількості діючої речовини та допоміжних речовин.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UA/10245/01/01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ЛАФЕРОБІОН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краплі назальні по 100000 МО/мл; по 5 мл у флаконі, закупореному мікродозатором-крапельницею;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 Уточнення порядку виконання тесту п.12 "Кількісне визначення. Противірусна активність" відповідно до валідаційного звіту AV 010/2.063 R "Визначення противірусної активності інтерферону альфа-2б методом культури клітин", а також внесення коригувань до написання міжнародного стандартного зразку рекомбінантного інтерферону та виправлення неточності щодо використання розчину S для приготування випробуваного розчину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UA/13779/02/01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ЛЕВЕРЕТ ЛОНГ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91 таблетці у блістерах (по 28 рожевих таблеток у 2 блістерах та 35 таблеток (28 рожевих таблеток та 7 білих таблеток) у блістері); по 3 блістери, що зафіксовані коробкою-книжечкою; по 1 коробці-книжці в пакетику з фольги; по 1 пакетику з фольги та наклейкою-календарем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Зентіва, к.с. </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Чеська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Тева Оперейшнз Поланд</w:t>
            </w:r>
            <w:r w:rsidRPr="00CE433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Зміни внесено щодо назви лікарського засобу. Затверджено: МОДЕЛЛЬ ЕРО. Запропоновано: ЛЕВЕРЕТ ЛОНГ. Введення змін протягом 6-ти місяців після затвердження. Зміни І типу - Зміни щодо безпеки/ефективності та фармаконагляду (інші зміни). Зміни внесені до тексту маркування лікарського засобу, а саме в п. 6 первинної упаковки та п. 17 вторинної упаковки конкретизовано інформацію щодо логотипу.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UA/15294/01/01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ЛЕВЕРЕТ ЛОНГ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91 таблетці у блістерах (по 28 рожевих таблеток у 2 блістерах та 35 таблеток (28 рожевих таблеток та 7 білих таблеток) у блістері); по 3 блістери, що зафіксовані коробкою-книжечкою; по 1 коробці-книжці в пакетику з фольги; по 1 пакетику з фольги та наклейкою-календарем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ТОВ Тева Оперейшнз Поланд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Зміни внесені до Інструкції для медичного застосування лікарського засобу до розділів: "Протипоказання", "Особливості застосування", "Побічні реакції" щодо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UA/15294/01/01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ЛЕФЛОК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250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CE433C">
              <w:rPr>
                <w:rFonts w:ascii="Arial" w:hAnsi="Arial" w:cs="Arial"/>
                <w:sz w:val="16"/>
                <w:szCs w:val="16"/>
              </w:rPr>
              <w:br/>
              <w:t>внесення змін на допоміжну речовину Гіпромелоза до специфікації, а саме вилучення показника «Хлориди» згідно монографії ЄФ «Hypromellose», а також показник «Важкі метали» відповідно до матеріалів виробника (аналіз ризиків згідно вимог ICH Guideline «Q3D Еlemental impurities) та вимог діючої монографії ЄФ «Hypromellose».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 на допоміжну речовину Гіпромелоза до специфікації, а саме: нормування та методики контролю для показників «В’язкість», «Ідентифікація», «Сульфатна зола», а також методики контролю для показників «рН розчину», «Вміст метокси-та гідроксипропокси-груп» приведено до вимог діючої монографії ЄФ «Hypromellose».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Супутня зміна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 та методів контролю на допоміжну речовину Гіпромілоза, а саме відповідно, відповідно до вимог монографії ЄФ показник «Розчинність» має рекомендаційний характер, на цій підставі його перенесено до загальних властивостей, а до показника «Мікробіологічна чистота» внесено посилання на діюче видання ЄФ, без змін в нормуванні та в методиці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UA/4427/01/01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ЛЕФЛОК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500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CE433C">
              <w:rPr>
                <w:rFonts w:ascii="Arial" w:hAnsi="Arial" w:cs="Arial"/>
                <w:sz w:val="16"/>
                <w:szCs w:val="16"/>
              </w:rPr>
              <w:br/>
              <w:t>внесення змін на допоміжну речовину Гіпромелоза до специфікації, а саме вилучення показника «Хлориди» згідно монографії ЄФ «Hypromellose», а також показник «Важкі метали» відповідно до матеріалів виробника (аналіз ризиків згідно вимог ICH Guideline «Q3D Еlemental impurities) та вимог діючої монографії ЄФ «Hypromellose».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 на допоміжну речовину Гіпромелоза до специфікації, а саме: нормування та методики контролю для показників «В’язкість», «Ідентифікація», «Сульфатна зола», а також методики контролю для показників «рН розчину», «Вміст метокси-та гідроксипропокси-груп» приведено до вимог діючої монографії ЄФ «Hypromellose».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Супутня зміна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 та методів контролю на допоміжну речовину Гіпромілоза, а саме відповідно, відповідно до вимог монографії ЄФ показник «Розчинність» має рекомендаційний характер, на цій підставі його перенесено до загальних властивостей, а до показника «Мікробіологічна чистота» внесено посилання на діюче видання ЄФ, без змін в нормуванні та в методиці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UA/4427/01/02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ЛІДАЗА-БІОЛІК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ліофілізат для розчину по 64 ОД по 10 ампул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"БІОЛІК ФАРМА"</w:t>
            </w:r>
          </w:p>
          <w:p w:rsidR="00E24DB9" w:rsidRPr="00CE433C" w:rsidRDefault="00E24DB9" w:rsidP="004321E0">
            <w:pPr>
              <w:pStyle w:val="110"/>
              <w:tabs>
                <w:tab w:val="left" w:pos="12600"/>
              </w:tabs>
              <w:jc w:val="center"/>
              <w:rPr>
                <w:rFonts w:ascii="Arial" w:hAnsi="Arial" w:cs="Arial"/>
                <w:sz w:val="16"/>
                <w:szCs w:val="16"/>
              </w:rPr>
            </w:pPr>
          </w:p>
          <w:p w:rsidR="00E24DB9" w:rsidRPr="00CE433C" w:rsidRDefault="00E24DB9" w:rsidP="004321E0">
            <w:pPr>
              <w:autoSpaceDE w:val="0"/>
              <w:autoSpaceDN w:val="0"/>
              <w:adjustRightInd w:val="0"/>
              <w:rPr>
                <w:rFonts w:ascii="Arial" w:hAnsi="Arial" w:cs="Arial"/>
                <w:b/>
                <w:bCs/>
                <w:sz w:val="16"/>
                <w:szCs w:val="16"/>
                <w:lang w:val="en-US" w:eastAsia="en-US"/>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autoSpaceDE w:val="0"/>
              <w:autoSpaceDN w:val="0"/>
              <w:adjustRightInd w:val="0"/>
              <w:jc w:val="center"/>
              <w:rPr>
                <w:rFonts w:ascii="Arial" w:hAnsi="Arial" w:cs="Arial"/>
                <w:sz w:val="16"/>
                <w:szCs w:val="16"/>
              </w:rPr>
            </w:pPr>
            <w:r w:rsidRPr="00CE433C">
              <w:rPr>
                <w:rFonts w:ascii="Arial" w:hAnsi="Arial" w:cs="Arial"/>
                <w:bCs/>
                <w:sz w:val="16"/>
                <w:szCs w:val="16"/>
                <w:lang w:val="en-US" w:eastAsia="en-US"/>
              </w:rPr>
              <w:t>ТОВ "БІОЛІК 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Адміністративні зміни. (інші зміни). Зміна назви виробника АФІ, у зв'язку зі зміною заявника (власника реєстраційного посвідчення) та з метою створення групи компаній у фармацевтичній галузі на базі затвердженого виробничого майданчика АТ "БІОЛІК", та приведення адреси місцезнаходження виробника у відповідність до реєстру назв урбанонімів у м. Харкові. Виробничі дільниці та усі виробничі операції залишаються незмінними. Термін введення змін протягом 6 місяців після затвердження. Зміни І типу - Адміністративні зміни. (інші зміни). Зміна назви виробника ГЛЗ та приведення адреси місцезнаходження нового виробника у відповідність до реєстру назв урбанонімів у м. Харкові. Технологія виробництва, виробниче обладнення, виробничі дільниці та місце проведення контролю якості залишились незмінними. </w:t>
            </w:r>
            <w:r w:rsidRPr="00CE433C">
              <w:rPr>
                <w:rFonts w:ascii="Arial" w:hAnsi="Arial" w:cs="Arial"/>
                <w:sz w:val="16"/>
                <w:szCs w:val="16"/>
              </w:rPr>
              <w:br/>
              <w:t>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UA/5309/01/01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ЛІПОБОН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10 мг, по 10 таблеток у блістері; по 3 або по 6, або по 9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ЗАТ Фармацевтичний завод ЕГІС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зміни) Внесення змін до р.3.2.Р.4.5 Допоміжні речовини людського або тваринного походження, а саме-введення магнію стеарату альтернативного (рослинного) походження з метою повного виключення ризику передачі збудників ГЕ </w:t>
            </w:r>
            <w:r w:rsidRPr="00CE433C">
              <w:rPr>
                <w:rFonts w:ascii="Arial" w:hAnsi="Arial" w:cs="Arial"/>
                <w:sz w:val="16"/>
                <w:szCs w:val="16"/>
              </w:rPr>
              <w:br/>
              <w:t xml:space="preserve">Затверджено Name of substance: magnesium stearate Origin -animal origin Manufactured by FACI S.p.A., Italy </w:t>
            </w:r>
            <w:r w:rsidRPr="00CE433C">
              <w:rPr>
                <w:rFonts w:ascii="Arial" w:hAnsi="Arial" w:cs="Arial"/>
                <w:sz w:val="16"/>
                <w:szCs w:val="16"/>
              </w:rPr>
              <w:br/>
              <w:t>Запропоновано Name of substance: magnesium stearate Origin -animal origin Manufactured by FACI S.p.A., Italy And Origin -vegetable origin Manufactured by FACI S.p.A.,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UA/18290/01/01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ЛОРАТАДИН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Приватне акціонерне товариство “Лекхім – Харків” </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ВАСУДХА ФАРМА ХЕМ ЛІМІТЕД</w:t>
            </w:r>
            <w:r w:rsidRPr="00CE433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2009-009 - Rev 03 (затверджено: R1-CEP 2009-009 - Rev 02). У зв’язку з незначними змінами у адресі виробничої дільниці без зміни фактичного місця виробництва, а саме зміна назви району (запропоновано: ВАСУДХА ФАРМА ХЕМ ЛІМІТЕД, Юніт-ІІ, Плот № 79, Джвапхарлал Неру Фарма Сіті, Танам Віллідж, Паравада Мандал, Індія – 531 019 Анакапалі Дістрікт, Андхара Прадеш/ VASUDHA PHARMA CHEM LIMITED, Unit-II, Plot. No. 79, Jawaharlal Nehru Pharma City, Thanam Village, Parawada Mandal, India - 531 019 Anakapalli District, Andhra Pradesh.</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UA/15666/01/01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ЛОРАТАДИН-СТОМА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10 мг по 10 таблеток у блістері, по 1 блістеру у пачці; по 20 таблеток у банці полімерній, по 1 банці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АТ "Стома"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АТ "Стома"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"Передозування", "Побічні реакції" відповідно до інформації референтного лікарського засобу Кларитин, таблетки.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UA/8394/01/01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ЛОРИНДЕН® 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мазь, по 15 г у тубі; по 1 тубі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Фармзавод Єльфа 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UA/1718/01/01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МАВЕНКЛАД®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10 мг; по 1, 4 або 6 таблеток в алюмінієвому блістері, запечатаному у картонну обкладинку, яку вміщують у контурну чарункову упаковку та вкладають у картонну коробку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Виробник (виробництво нерозфасованого препарату, первинне та вторинне пакування, контроль якості, випуск серій): НерФарМа С.Р.Л., Італія; Виробник (контроль якості: визначення елементних домішок): Єврофінс Біолаб С.Р.Л., Італія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внесені щодо номера версії та дати генерування Плану управління ризиками з метою узгодження даних, представлених при перереєстрації лікарського засобу у ЄС.Резюме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UA/17515/01/01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 xml:space="preserve">МАЛЬТОФЕР®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жувальні по 100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Віфор (Інтернешнл)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Віфор (Інтернешнл) Інк., Швейцарія (контроль якості, дозвіл на випуск серії); Віфор С.А., Швейцарія (виробництво нерозфасованої продукції, контроль якості, первинна та вторинна упаковка)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АФІ. Система контейнер/закупорювальний засіб. Зміна у безпосередній упаковці АФІ (якісні та/або кількісні зміни складу) додавання поліетиленової фольги (туби) в якості альтернативної первинної упаковки діючої речовини.</w:t>
            </w:r>
            <w:r w:rsidRPr="00CE433C">
              <w:rPr>
                <w:rFonts w:ascii="Arial" w:hAnsi="Arial" w:cs="Arial"/>
                <w:sz w:val="16"/>
                <w:szCs w:val="16"/>
              </w:rPr>
              <w:br/>
              <w:t xml:space="preserve">Діюча редакція Пропонована редакція 3.2.S.6. Container Closure System 100 L polyethylene cross bottom bag is used for primary packaging of Maltofer powder active pharmaceutical ingredient. Maltofer drug substance is packaged into either a polyethylene foil (tube) or a polyethylene bag (e.g., 100 L cross bottom bag). Зміни І типу - Зміни з якості. Готовий лікарський засіб. Контроль готового лікарського засобу (інші зміни) викладення МКЯ ЛЗ з російської на українську мову, без зміни аналітичних методів. Зміни II типу - Зміни з якості. АФІ. (інші зміни) зміни, що полягають в імплементації вимог керівництва ICH Q3D щодо домішок елементів та загальному оновленні, та гармонізації відповідних розділів Модуля 3: 3.2.S.2.3. Контроль матеріалів; 3.2.S.3.2. Домішки, 3.2.S.4.1. Специфікація, 3.2.S.4.2. Аналітичні методикик, 3.2.S.4.3. Валідація аналітичних методик, 3.2.S.4.4. Аналіз серій, 3.2.S.4.5. Обґрунтування специфікації, 3.2.S.7. Стабільність. Зміни II типу - Зміни з якості. Зміни до реєстраційного посвідчення внаслідок інших регуляторних процедур (інші зміни) Заявник має намір провести зміну для лікарського засобу Мальтофер®, таблетки жувальні по 100 мг № 30 (10х3) у блістерах, що полягає в імплементації керівництва ICH Q3D щодо домішок елементів в готовому лікарському засобі. Також оскільки лікарський засіб має довгу історію знаходження на ринку (перша зміни, що полягають в імплементації вимог керівництва ICH Q3D щодо домішок елементів для готового лікарського засобу, а також гармонізації специфікацій ЛЗ та оновленні аналітичних методик відповідно до сучасних вимог, оновлення п. 3.2.Р.4.1. Специфікації, 3.2.Р.5.1. Специфікація(-ї) ЛЗ, 3.2.Р.5.2. Аналітичні методики, 3.2.P.5.3. Валідація аналітичних методик, 3.2.Р.5.4. Аналіз серій, 3.2.Р.5.5. Характеристика домішок, 3.2.Р.5.6. Обґрунтування специфікації. Зміни внесені в розділ "Основні фізико-хімічні властивості" в інструкцію для медичного застосування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UA/5869/02/01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МЕТИЛУРАЦИЛ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супозиторії ректальні по 0,5 г; по 5 супозиторіїв у блістері; по 1 або 2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Приватне акціонерне товариство "Лекхім-Харків"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Приватне акціонерне товариство "Лекхім-Харків"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6-метилурацил - Товариство з обмеженою відповідальністю "ФАРМХІМ" Україна до вже затвердженого High Hope Int’l Group Jiangsu Medicines &amp; Health Products Import &amp; Export Corp LTD, China, (Діюча редакція: High Hope Int’l Group Jiangsu Medicines &amp; Health Products Import &amp; Export Corp LTD, China; </w:t>
            </w:r>
            <w:r w:rsidRPr="00CE433C">
              <w:rPr>
                <w:rFonts w:ascii="Arial" w:hAnsi="Arial" w:cs="Arial"/>
                <w:sz w:val="16"/>
                <w:szCs w:val="16"/>
              </w:rPr>
              <w:br/>
              <w:t xml:space="preserve">Пропонована редакція: High Hope Int’l Group Jiangsu Medicines &amp; Health Products Import &amp; Export Corp LTD, China (повний цикл); Товариство з обмеженою відповідальністю "ФАРМХІМ" (доочищення, сушіння, пакування, випуск серії) виробництво з технічного продукту фірми-виробника Shan Dong Believe Chemical Pte. Ltd, China.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UA/2895/01/01 </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МЕТИЛУРАЦИЛ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супозиторії ректальні по 0,5 г; in bulk: № 1000 (по 5 супозиторіїв у блістері; по 200 блістерів у ящику)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Приватне акціонерне товариство "Лекхім-Харків"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Приватне акціонерне товариство "Лекхім-Харків"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6-метилурацил - Товариство з обмеженою відповідальністю "ФАРМХІМ" Україна до вже затвердженого High Hope Int’l Group Jiangsu Medicines &amp; Health Products Import &amp; Export Corp LTD, China, (Діюча редакція: High Hope Int’l Group Jiangsu Medicines &amp; Health Products Import &amp; Export Corp LTD, China; </w:t>
            </w:r>
            <w:r w:rsidRPr="00CE433C">
              <w:rPr>
                <w:rFonts w:ascii="Arial" w:hAnsi="Arial" w:cs="Arial"/>
                <w:sz w:val="16"/>
                <w:szCs w:val="16"/>
              </w:rPr>
              <w:br/>
              <w:t xml:space="preserve">Пропонована редакція: High Hope Int’l Group Jiangsu Medicines &amp; Health Products Import &amp; Export Corp LTD, China (повний цикл); Товариство з обмеженою відповідальністю "ФАРМХІМ" (доочищення, сушіння, пакування, випуск серії) виробництво з технічного продукту фірми-виробника Shan Dong Believe Chemical Pte. Ltd, China.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UA/13824/01/01 </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МЕТРОГІЛ® ВАГІНАЛЬНИЙ ГЕЛЬ</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гель вагінальний, 10 мг/г, по 30 г у тубі з алюмінію або ламінованого пластику; по 1 тубі разом з аплікатором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"Юнік Фармасьютикал Лабораторіз" (відділення фірми "Дж. Б. Кемікалз енд Фармасьютикалз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випробування ГЛЗ за показником «Мікробіологічна чистота». В затвердженому методі використовувався метод мембранної фільтрації, запропоновано використовувати метод глибинного висівання Введення змін протягом 3-х місяців після затвердження. </w:t>
            </w:r>
            <w:r w:rsidRPr="00CE433C">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зміна вимог специфікації ГЛЗ за показником «Мікробіологічна чистота».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UA/2871/04/01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МЕФЕНАМІНОВА КИСЛОТА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капсули по 250 мг; по 10 капсул у блістері, по 2 блістери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Фламінго Фармасьютикалс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UA/4974/01/01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МЕФЕНАМІНОВА КИСЛОТА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капсули по 500 мг; по 10 капсул у блістері, по 2 блістери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Фламінго Фармасьютикалс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UA/4974/01/02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МІЛДРОНАТ®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розчин для ін'єкцій 0,5 г/5 мл, по 5 мл в ампулі; по 5 ампул у контурній чарунковій упаковці (піддоні); по 2 або 4 контурні чарункові упаковки (піддони)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АТ "Гріндекс"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всі стадії виробничого процесу, крім випуску серії: ХБМ Фарма с.р.о., Словаччина; виробник, який відповідає за випуск серії, включаючи контроль серії/ випробування: АТ "Гріндекс", Латвiя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Словаччина/ Латвiя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у параметрах специфікації на АФІ, а саме- вилучення п. «Важкі метали»;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у параметрах специфікації на АФІ, а саме- з параметру специфікації «Мікробіологічна чистота» видалено розділ «if intended for use in the manufacture of not parenteral preparations»;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у параметрах специфікації на АФІ, а саме- з параметру специфікації «pH» видалено розділ «if intended for use in the manufacture of not parenteral preparations»;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Зміна у параметрах специфікації на АФІ, а саме- вилучення п. «Color of solution»;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мельдонію дигідрат СЕР R1-CEP 2015-089-Rev 00 (попередня версія СЕР R0-CEP 2015-089-Rev 01) від вже затвердженого виробника АТ «Гріндекс»;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мельдонію дигідрат СЕР R1-CEP 2015-089-Rev 01 (попередня версія СЕР R1-CEP 2015-089-Rev 00) від вже затвердженого виробника 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UA/3419/01/01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НЕБІВОЛОЛ-ДАРНИЦЯ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5 мг, по 14 таблеток у контурній чарунковій упаковці,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З розділів 3.2.Р.4.1. Специфікація та 3.2.Р.4.2 Аналітичні методики матеріалів реєстраційного досьє на допоміжну речовину Гіпромелоза, вилучено показник "Хлориди" згідно монографії ЄФ «Hypromellose», а також показник "Важкі метали" відповідно до матеріалів від виробника (аналіз ризиків згідно ICH Q3D Guideline for Elemental Impurities) та вимог діючої монографії ЄФ «Hypromellose»;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До матеріалів реєстраційного досьє на готовий лікарський засіб вносяться зміни до розділів 3.2.P.4.1. Специфікації та 3.2.P.4.2 Аналітичні методики на допоміжну речовину Гіпромелоза, а саме: нормування та методики контролю для показників «В’язкість», «Ідентифікація», «Сульфатна зола», а також методики контролю для показників «pH розчину», «Вміст метокси- та гідроксипропокси- груп» приведено до вимог діючої монографії ЄФ «Hypromellose»;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w:t>
            </w:r>
            <w:r w:rsidRPr="00CE433C">
              <w:rPr>
                <w:rFonts w:ascii="Arial" w:hAnsi="Arial" w:cs="Arial"/>
                <w:sz w:val="16"/>
                <w:szCs w:val="16"/>
              </w:rPr>
              <w:br/>
              <w:t>Супутня зміна</w:t>
            </w:r>
            <w:r w:rsidRPr="00CE433C">
              <w:rPr>
                <w:rFonts w:ascii="Arial" w:hAnsi="Arial" w:cs="Arial"/>
                <w:sz w:val="16"/>
                <w:szCs w:val="16"/>
              </w:rPr>
              <w:br/>
              <w:t>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До матеріалів реєстраційного досьє до розділів Специфікації та Аналітичні методики на допоміжну речовину Гіпромелоза внесено зміни, а саме: відповідно, до вимог монографії ЄФ показник "Розчинність" має рекомендаційний характер, на цій підставі його перенесено до загальних властивостей, а до показника "Мікробіологічна чистота" внесено посилання на діюче видання ЄФ, без змін в нормуванні та в методиці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UA/17005/01/01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НІЗОРАЛ®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шампунь, 20 мг/г; по 25 мл або по 60 мл у пляшці; по 1 пляшці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СТАДА Арцнайміттель АГ</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первинне пакування, вторинне пакування, контроль якості лікарського засобу, випуск серії:</w:t>
            </w:r>
            <w:r w:rsidRPr="00CE433C">
              <w:rPr>
                <w:rFonts w:ascii="Arial" w:hAnsi="Arial" w:cs="Arial"/>
                <w:sz w:val="16"/>
                <w:szCs w:val="16"/>
              </w:rPr>
              <w:br/>
              <w:t>Янссен Фармацевтика НВ, Бельгія</w:t>
            </w:r>
            <w:r w:rsidRPr="00CE433C">
              <w:rPr>
                <w:rFonts w:ascii="Arial" w:hAnsi="Arial" w:cs="Arial"/>
                <w:sz w:val="16"/>
                <w:szCs w:val="16"/>
              </w:rPr>
              <w:br/>
              <w:t>вторинне пакування, контроль якості лікарського засобу, випуск серії:</w:t>
            </w:r>
            <w:r w:rsidRPr="00CE433C">
              <w:rPr>
                <w:rFonts w:ascii="Arial" w:hAnsi="Arial" w:cs="Arial"/>
                <w:sz w:val="16"/>
                <w:szCs w:val="16"/>
              </w:rPr>
              <w:br/>
              <w:t>СТАДА Арцнайміттель АГ,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Бельгія/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w:t>
            </w:r>
            <w:r w:rsidRPr="00CE433C">
              <w:rPr>
                <w:rFonts w:ascii="Arial" w:hAnsi="Arial" w:cs="Arial"/>
                <w:sz w:val="16"/>
                <w:szCs w:val="16"/>
              </w:rPr>
              <w:br/>
              <w:t xml:space="preserve">Доповнення специфікації додатковим параметром т. чистота, а саме додано один продукт деградації JNJ -70107596-AAA≤ 0,5%; </w:t>
            </w:r>
            <w:r w:rsidRPr="00CE433C">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Оновлений сертифікат від уже затвердженого виробника Янссен Фармацевтика НВ, Бельгія , Кетоконазол затверджено: СEP R2-CEP1995-009-Rev 02 запропоновано: СEP R2-CEP1995-009-Rev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Оновлений сертифікат від уже затвердженого виробника Янссен Фармацевтика НВ, Бельгія , Кетоконазол запропоновано: СEP R2-CEP1995-009-Rev 04;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для допоміжної речовини колаген тваринний лауридимонієвий гідролізований затверджено: СEP R1-CEP2003-172-Rev 00 запропоновано: СEP R1-CEP2003-172--Rev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Оновлений сертифікат від уже затвердженого виробника GELITA GROUP, для допоміжної речовини колаген тваринний лауридимонієвий гідролізований запропоновано: СEP R1-CEP2003-172-Rev 02;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в процесі виробництва готового лікарського засобу видалення додавання фіксованої кількості розчину Натрію хлориду після перевірки в’язкості на ІРС;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(звуження допустимих меж) - Звуження допустимих меж відповідно до вимог 231/2012/ЕС (Erythrosine E127), а саме звуження лімітів для свинця;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п. Важкі метали відповідно до вимог 231/2012/ЕС зі специфікації на барвник натрію (Erythrosine E127);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-Зміна у специфікації для допоміжної речовини натрію лаурил ефір сульфат, а саме змінено метод Ідентифікації з «GC identification method» на «IR method EP 2.2.24/USP NF &lt;197 F&gt;»;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Зміна у специфікації для допоміжної речовини динатрію моно лаурил ефір сульфосукцинат, а саме вилучення п. «Arsenic»;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Зміна у специфікації для допоміжної речовини динатрію моно лаурил ефір сульфосукцинат, а саме вилучення п. «Важкі метали»;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Зміна у специфікації для допоміжної речовини динатрію моно лаурил ефір сульфосукцинат, а саме вилучення п. «Residue on ignition»;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Зміна у специфікації для допоміжної речовини діетаноламід кокосової кислоти, а саме вилучення п. «Arsenic»;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Зміна у специфікації для допоміжної речовини діетаноламід кокосової кислоти, а саме вилучення п. «Важкі метали»;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Зміна у специфікації для допоміжної речовини діетаноламід кокосової кислоти, а саме зміна пробопідготовки при визначення вмісту амінів (метод титрування);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Зміна у методах випробування для допоміжної речовини колаген тваринний лауридимонієвий гідролізований, а саме змінено метод Ідентифікації з «GC identification method» на «UPLC Identification»;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Незначні зміни у методах випробування допоміжної речовини колаген тваринний лауридимонієвий гідролізований, а саме методу «Identification quaternary ammonium compounds»;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Заміна методу випробування для допоміжної речовини колаген тваринний лауридимонієвий гідролізований, з «Assay nitrogen (EP)», на TV-TMD-31472 (DS - TMD-23221) ( принцип методу не змінився);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зі специфікації для допоміжної речовини колаген тваринний лауридимонієвий гідролізований, показник «Arsenic»;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зі специфікації для допоміжної речовини колаген тваринний лауридимонієвий гідролізований, показник «Важкі метали»;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зі специфікації для допоміжної речовини макрогол 120-метиглюказа діолеат, показник «Arsenic»;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Зміна у методах випробування для допоміжної речовини макрогол 120-метиглюказа діолеат за п. «Важкі метали»;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Зміна у методах випробування для допоміжної речовини макрогол 120-метиглюказа діолеат, за п. «Ethylene oxide, 1,4-Dioxane » (зміна придатності хроматографічної системи));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Заміна у складі (допоміжних речовинах) готового лікарського засобу, затверджено: « Букет парфумний», запропоновано: «Букет парфумний 2» без зміни кількісного складу готового лікарського засобу. Зміни внесено в інструкцію для медичного застосування лікарського засобу у розділ «Склад» (допоміжні речовини) з відповідними змінами у тексті маркування упаковки лікарського засобу;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Доповнення специфікації додатковим параметром т. чистота, а саме додано один продукт деградації JNJ -70107622-AAA≤ 0,5 %;</w:t>
            </w:r>
            <w:r w:rsidRPr="00CE433C">
              <w:rPr>
                <w:rFonts w:ascii="Arial" w:hAnsi="Arial" w:cs="Arial"/>
                <w:sz w:val="16"/>
                <w:szCs w:val="16"/>
              </w:rPr>
              <w:br/>
              <w:t>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UA/2753/02/01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НІТРОГЛІЦЕРИН РОЗБАВЛЕНИЙ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рідина (субстанція) у скляних бутлях для фармацевтичного використання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ТОВ НВФ «МІКРОХІМ» </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ТОВ НВФ «МІКРОХІМ» </w:t>
            </w:r>
            <w:r w:rsidRPr="00CE433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юридичної адреси та найменування виробника АФІ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UA/13774/01/01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НУТРИФЛЕКС ЛІПІД СПЕЦІАЛЬНИЙ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емульсія для інфузій; по 625 мл (250 мл розчину амінокислот + 125 мл жирової емульсії + 250 мл розчину глюкози) в мішках пластикових трикамерних; по 1 мішку у захисному пластиковому мішку; по 5 мішків у картонній коробці; по 1250 мл (500 мл розчину амінокислот + 250 мл жирової емульсії + 500 мл розчину глюкози) в мішках пластикових трикамерних; по 1 мішку у захисному пластиковому мішку; по 5 мішків у картонній коробці; по 1875 мл (750 мл розчину амінокислот + 375 мл жирової емульсії + 750 мл розчину глюкози) в мішках пластикових трикамерних; по 1 мішку у захисному пластиковому мішку; по 5 мішків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 Браун Мельзунген АГ, Німеччина (виробництво, первинна та вторинна упаковка, випуск серії); Б. Браун Мельзунген АГ, Німеччина (контроль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w:t>
            </w:r>
            <w:r w:rsidRPr="00CE433C">
              <w:rPr>
                <w:rFonts w:ascii="Arial" w:hAnsi="Arial" w:cs="Arial"/>
                <w:b/>
                <w:sz w:val="16"/>
                <w:szCs w:val="16"/>
              </w:rPr>
              <w:t>уточнення реєстраційної процедури в наказі МОЗ України № 490 від 14.03.2023</w:t>
            </w:r>
            <w:r w:rsidRPr="00CE433C">
              <w:rPr>
                <w:rFonts w:ascii="Arial" w:hAnsi="Arial" w:cs="Arial"/>
                <w:sz w:val="16"/>
                <w:szCs w:val="16"/>
              </w:rPr>
              <w:t xml:space="preserve"> - Зміни І типу - Зміни щодо безпеки/ефективності та фармаконагляду (інші зміни) - </w:t>
            </w:r>
            <w:r w:rsidRPr="00CE433C">
              <w:rPr>
                <w:rFonts w:ascii="Arial" w:hAnsi="Arial" w:cs="Arial"/>
                <w:b/>
                <w:sz w:val="16"/>
                <w:szCs w:val="16"/>
              </w:rPr>
              <w:t>Зміни внесені в текст маркування первинної та вторинної упаковок лікарського засобу</w:t>
            </w:r>
            <w:r w:rsidRPr="00CE433C">
              <w:rPr>
                <w:rFonts w:ascii="Arial" w:hAnsi="Arial" w:cs="Arial"/>
                <w:sz w:val="16"/>
                <w:szCs w:val="16"/>
              </w:rPr>
              <w:t xml:space="preserve"> щодо зазначення дати закінчення терміну придатності.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UA/13297/01/01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НУТРИФЛЕКС ОМЕГА СПЕЦІАЛЬНИЙ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емульсія для інфузій; по 1250 мл, 1875 мл у мішку пластиковому трикамерному; по 1 мішку пластиковому трикамерному в захисному мішку; по 5 захисних мішків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первинна та вторинна упаковка, випуск серії: Б. Браун Мельзунген АГ, Німеччина; Контроль серії: Б. Браун Мельзунген АГ,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w:t>
            </w:r>
            <w:r w:rsidRPr="00CE433C">
              <w:rPr>
                <w:rFonts w:ascii="Arial" w:hAnsi="Arial" w:cs="Arial"/>
                <w:b/>
                <w:sz w:val="16"/>
                <w:szCs w:val="16"/>
              </w:rPr>
              <w:t>уточнення реєстраційної процедури в наказі МОЗ України № 683 від 11.04.2023</w:t>
            </w:r>
            <w:r w:rsidRPr="00CE433C">
              <w:rPr>
                <w:rFonts w:ascii="Arial" w:hAnsi="Arial" w:cs="Arial"/>
                <w:sz w:val="16"/>
                <w:szCs w:val="16"/>
              </w:rPr>
              <w:t xml:space="preserve"> - Зміни І типу - Зміни щодо безпеки/ефективності та фармаконагляду (інші зміни) - </w:t>
            </w:r>
            <w:r w:rsidRPr="00CE433C">
              <w:rPr>
                <w:rFonts w:ascii="Arial" w:hAnsi="Arial" w:cs="Arial"/>
                <w:b/>
                <w:sz w:val="16"/>
                <w:szCs w:val="16"/>
              </w:rPr>
              <w:t>Зміни внесені в текст маркування первинної та вторинної упаковок лікарського засобу</w:t>
            </w:r>
            <w:r w:rsidRPr="00CE433C">
              <w:rPr>
                <w:rFonts w:ascii="Arial" w:hAnsi="Arial" w:cs="Arial"/>
                <w:sz w:val="16"/>
                <w:szCs w:val="16"/>
              </w:rPr>
              <w:t xml:space="preserve"> щодо зазначення дати закінчення терміну придатності.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UA/13231/01/01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ОЛМЕСАРТАН МАКЛЕОДС 10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10 мг, по 10 таблеток у блістері, по 3 або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Маклеодс Фармасьютикалс Лімітед</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Маклеодс Фармасьютикалс Лімітед</w:t>
            </w:r>
            <w:r w:rsidRPr="00CE433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UA/19531/01/01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ОЛМЕСАРТАН МАКЛЕОДС 20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20 мг, по 10 таблеток у блістері, по 3 або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Маклеодс Фармасьютикалс Лімітед</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Маклеодс Фармасьютикалс Лімітед</w:t>
            </w:r>
            <w:r w:rsidRPr="00CE433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UA/19531/01/02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ОЛМЕСАРТАН МАКЛЕОДС 40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40 мг, по 10 таблеток у блістері, по 3 або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Маклеодс Фармасьютикалс Лімітед</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Маклеодс Фармасьютикалс Лімітед</w:t>
            </w:r>
            <w:r w:rsidRPr="00CE433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UA/19531/01/03</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ОМЕНАКС®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порошок для розчину для ін’єкцій по 40 мг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Абрил Формулейшнз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ДЕМО С.А. Фармасьютікал Індастрі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щодо безпеки застосування діючої речовини згідно з рекомендацією PRAC. </w:t>
            </w:r>
            <w:r w:rsidRPr="00CE433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UA/15268/01/01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ОМЕПРАЗОЛ-ДАРНИЦЯ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капсули по 20 мг; по 10 капсул у контурній чарунковій упаковці; по 1 або 3 контурні чарункові упаковки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"Спосіб застосування та дози" відповідно до інформації з безпеки застосування діючої речовини. 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в розділи "Особливості застосування", "Побічні реакції" відповідно до інформації з безпеки застосування діючої речовини. </w:t>
            </w:r>
            <w:r w:rsidRPr="00CE433C">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UA/6542/01/01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ПАНТЕНОЛ АЕРОЗОЛЬ</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піна нашкірна, 50 мг/г по 58 г або 116 г у контейнері; по 1 контейнеру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"Мікрофарм"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ТОВ "Мікрофарм"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ГЛЗ, для уникнення докладного опису технологічного процесу у р.3.2.Р.3 Процес виробництва ЛЗ, а саме: </w:t>
            </w:r>
            <w:r w:rsidRPr="00CE433C">
              <w:rPr>
                <w:rFonts w:ascii="Arial" w:hAnsi="Arial" w:cs="Arial"/>
                <w:sz w:val="16"/>
                <w:szCs w:val="16"/>
              </w:rPr>
              <w:br/>
              <w:t>-у р.3.2.Р.3.2 Склад на серію- додано формулу перерахунку АФІ Декспантенолу</w:t>
            </w:r>
            <w:r w:rsidRPr="00CE433C">
              <w:rPr>
                <w:rFonts w:ascii="Arial" w:hAnsi="Arial" w:cs="Arial"/>
                <w:sz w:val="16"/>
                <w:szCs w:val="16"/>
              </w:rPr>
              <w:br/>
              <w:t>- у р.3.2.Р.3.3 Опис виробничого процесу та контролю процесу- Операцію 2.1 «Приготування водного розчину декспантенолу» Стадії 2 «Приготування розчину» перейменовано на Стадію 2 «Приготування водного розчину декспантенолу»</w:t>
            </w:r>
            <w:r w:rsidRPr="00CE433C">
              <w:rPr>
                <w:rFonts w:ascii="Arial" w:hAnsi="Arial" w:cs="Arial"/>
                <w:sz w:val="16"/>
                <w:szCs w:val="16"/>
              </w:rPr>
              <w:br/>
              <w:t>- Операцію 2.2 «Приготування розчину метилпарагідроксибензоату в пропіленгліколі» Стадії 2 «Приготування розчину» перейменовано на Стадію 3 «Приготування розчину метилпарагідроксибензоату в пропіленгліколі»</w:t>
            </w:r>
            <w:r w:rsidRPr="00CE433C">
              <w:rPr>
                <w:rFonts w:ascii="Arial" w:hAnsi="Arial" w:cs="Arial"/>
                <w:sz w:val="16"/>
                <w:szCs w:val="16"/>
              </w:rPr>
              <w:br/>
              <w:t>-Операцію 2.3 «Приготування основи» та Операцію 2.4 «Змішування основи з водним розчином декспантенолу» Стадії 2 «Приготування розчину» перейменовано на Стадію 4 «Пригтування суспензії»</w:t>
            </w:r>
            <w:r w:rsidRPr="00CE433C">
              <w:rPr>
                <w:rFonts w:ascii="Arial" w:hAnsi="Arial" w:cs="Arial"/>
                <w:sz w:val="16"/>
                <w:szCs w:val="16"/>
              </w:rPr>
              <w:br/>
              <w:t>-Стадію 3 «Формування серії» видалено</w:t>
            </w:r>
            <w:r w:rsidRPr="00CE433C">
              <w:rPr>
                <w:rFonts w:ascii="Arial" w:hAnsi="Arial" w:cs="Arial"/>
                <w:sz w:val="16"/>
                <w:szCs w:val="16"/>
              </w:rPr>
              <w:br/>
              <w:t>-Стадію 4 «Фасування» перейменовано на Стадію 5 «Фасування суспензії» та видалено розділення на операції</w:t>
            </w:r>
            <w:r w:rsidRPr="00CE433C">
              <w:rPr>
                <w:rFonts w:ascii="Arial" w:hAnsi="Arial" w:cs="Arial"/>
                <w:sz w:val="16"/>
                <w:szCs w:val="16"/>
              </w:rPr>
              <w:br/>
              <w:t>-Стадія 6 «Маркування та пакування»- видалено розділення на операції</w:t>
            </w:r>
            <w:r w:rsidRPr="00CE433C">
              <w:rPr>
                <w:rFonts w:ascii="Arial" w:hAnsi="Arial" w:cs="Arial"/>
                <w:sz w:val="16"/>
                <w:szCs w:val="16"/>
              </w:rPr>
              <w:br/>
              <w:t>Виробничий процес ЛЗ залишається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UA/8333/01/01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ПЕР'ЄТА®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концентрат для розчину для інфузій по 420 мг/14 мл; по 14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нерозфасованої продукції, первинне пакування, випробування контролю якості: Рош Діагностикс ГмбХ, Німеччина; Вторинне пакування, випуск cерії: Ф.Хоффманн-Ля Рош Лтд,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p w:rsidR="00E24DB9" w:rsidRPr="00CE433C" w:rsidRDefault="00E24DB9" w:rsidP="004321E0">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 додавання функції визначення активності за допомогою аналізу антитілозалежної клітинної цитотоксичності (ADCC) під час випуску ДР пертузумаб на виробничій дільниці Genentech Inc., Vacaville, USA. Деталізація функцій затвердженого виробника Roche Diagnostics GmbH,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UA/13062/01/01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ПЛАВІКС®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300 мг; № 10 (10х1):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"Санофі-Авентіс Україна"</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САНОФІ ВІНТРОП ІНДАСТРІА</w:t>
            </w:r>
            <w:r w:rsidRPr="00CE433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(додавання нового показання: "Транзиторна ішемічна атака (ТІА) середнього та високого ступеня ризику або малий ішемічний інсульт (ІІ)"), а також до розділів "Фармакологічні властивості", "Особливості застосування", "Спосіб застосування та дози"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та "Спосіб застосування та дози" відповідно до матеріалів реєстраційного досьє.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CE433C">
              <w:rPr>
                <w:rFonts w:ascii="Arial" w:hAnsi="Arial" w:cs="Arial"/>
                <w:sz w:val="16"/>
                <w:szCs w:val="16"/>
              </w:rPr>
              <w:br/>
              <w:t>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UA/9247/01/02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ПЛАВІКС®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оболонкою, по 75 мг № 28 (14х2):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"Санофі-Авентіс Україна"</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САНОФІ ВІНТРОП ІНДАСТРІА</w:t>
            </w:r>
            <w:r w:rsidRPr="00CE433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(додавання нового показання: "Транзиторна ішемічна атака (ТІА) середнього та високого ступеня ризику або малий ішемічний інсульт (ІІ)"), а також до розділів "Фармакологічні властивості", "Особливості застосування", "Спосіб застосування та дози"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та "Спосіб застосування та дози" відповідно до матеріалів реєстраційного досьє.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UA/9247/01/01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ПЛАКВЕНІЛ®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таблетки, вкриті плівковою оболонкою, по 200 мг; № 60 (15х4): по 15 таблеток у блістері; по 4 блістери у картонній коробці; № 60 (10х6): по 10 таблеток у блістері; по 6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САНОФІ-АВЕНТІС С.А.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E433C">
              <w:rPr>
                <w:rFonts w:ascii="Arial" w:hAnsi="Arial" w:cs="Arial"/>
                <w:sz w:val="16"/>
                <w:szCs w:val="16"/>
              </w:rPr>
              <w:br/>
              <w:t>Діюча редакція: Ходаківська Тетяна Вячеславівна. Пропонована редакція: Варфоломєєва Іванна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UA/8261/01/01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ПОСАКОНАЗОЛ - ВІСТА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суспензія оральна, 40 мг/мл; по 105 мл у пляшці ємністю 125 мл; по 1 пляшці з мірною ложечкою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Дева Холдінг А.Ш.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технічна помилка (згідно наказу МОЗ від 23.07.2015 № 460) - Виправлення технічної помилки, згідно пп.4 п.2.4. розділу VI наказу МОЗ України від 26.08.2005р. № 426 (у редакції наказу МОЗ України від 23.07.2015 р № 460) в Методах контролю якості, що виникла в процесі некоректного перенесення одиниць вимірювання допустимих меж за показником «Мікробіологічна чистота» із оригінальних матеріалів виробника до Методів контролю якості, а саме зазначено «КУО/г» замість «КУО/мл». Затверджено:</w:t>
            </w:r>
            <w:r w:rsidRPr="00CE433C">
              <w:rPr>
                <w:rFonts w:ascii="Arial" w:hAnsi="Arial" w:cs="Arial"/>
                <w:sz w:val="16"/>
                <w:szCs w:val="16"/>
              </w:rPr>
              <w:br/>
              <w:t>МКЯ Специфікація Мікробіологічна чистота Допустимі межі Методи контролю Загальна кількість аеробних мікроорганізмів: не більш 100 КУО/г Загальна кількість дріжджових та пляснявих грибів: не більш 10 КУО/г Відсутність E. coli у 1 г Європ. Фарм. 2.6.12, 2.6.13; Запропоновано: МКЯ Специфікація Мікробіологічна чистота Допустимі межі Методи контролю Загальна кількість аеробних мікроорганізмів: не більш 100 КУО/мл Загальна кількість дріжджових та пляснявих грибів: не більш 10 КУО/мл</w:t>
            </w:r>
            <w:r w:rsidRPr="00CE433C">
              <w:rPr>
                <w:rFonts w:ascii="Arial" w:hAnsi="Arial" w:cs="Arial"/>
                <w:sz w:val="16"/>
                <w:szCs w:val="16"/>
              </w:rPr>
              <w:br/>
              <w:t xml:space="preserve">Відсутність E. coli у 1 мл Європ. Фарм. 2.6.12, 2.6.13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UA/19386/01/01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ПРЕСТИЛОЛ® 10 МГ/10 МГ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10 мг/10 мг; по 30 або 100 таблеток у контейнері для таблеток; по 1 контейнеру для таблеток у коробці з картону пакувального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Франція/ 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та "Побічні реакції" відповідно до матеріалів реєстраційного досьє, а також до розділу "Побічні реакції" внесена інформація щодо необхідності звітування про усі випадки підозрюваних побічних реакцій та відсутності ефективності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UA/15827/01/02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ПРЕСТИЛОЛ® 10 МГ/5 МГ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10 мг/5 мг; по 30 або 100 таблеток у контейнері для таблеток; по 1 контейнеру для таблеток у коробці з картону пакувального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Франція/ 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та "Побічні реакції" відповідно до матеріалів реєстраційного досьє, а також до розділу "Побічні реакції" внесена інформація щодо необхідності звітування про усі випадки підозрюваних побічних реакцій та відсутності ефективності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UA/15828/01/01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ПРЕСТИЛОЛ® 5 МГ/ 5 МГ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5 мг /5 мг, по 10, 30 або 100 таблеток у контейнері для таблеток; по 1 контейнеру для таблеток у коробці з картону пакувального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Франція/ 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та "Побічні реакції" відповідно до матеріалів реєстраційного досьє, а також до розділу "Побічні реакції" внесена інформація щодо необхідності звітування про усі випадки підозрюваних побічних реакцій та відсутності ефективності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UA/15827/01/01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ПРЕСТИЛОЛ® 5 МГ/10 МГ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5 мг/10 мг; по 30 або 100 таблеток у контейнері для таблеток; по 1 контейнеру для таблеток у коробці з картону пакувального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Франція/ 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та "Побічні реакції" відповідно до матеріалів реєстраційного досьє, а також до розділу "Побічні реакції" внесена інформація щодо необхідності звітування про усі випадки підозрюваних побічних реакцій та відсутності ефективності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UA/15829/01/01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ПРОГЕСТЕРОН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розчин для ін'єкцій олійний 2,5 %, по 1 мл в ампулі; по 5 ампул у блістері; по 2 блістери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Пропоновано звуження меж для показника "Кількісне визначення. Прогестерон" затверджено вміст прогестерону в 1 мл проміжної продукції для 2,5 % розчину повинен бути від 24,0 до 26,0 мг, для 1% розчину – від 9,6 до 10,4 мг запропоновано: вміст прогестерону в 1 мл проміжної продукції для 2,5 % розчину повинен бути від 24,15 до 25,85 мг, для 1% розчину – від 9,70 до 10,30 мг;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Внесення додаткового параметру "Відносна густина" з метою забезпечення технологічних потреб при налаштуванні дози наповнення;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нового параметру контролю "Кількісне визначення. Бензилбензоат" у специфікацію на проміжну продукцію "Прогестерон" з метою подальшого наближення до номіналу, даний показник контролюється в готовому лікарському засобі. Запропоновано: 18,6% до 21,4 % ( в ГЛЗ від 18% до 22%)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UA/3556/01/02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ПРОГЕСТЕРОН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розчин для ін'єкцій олійний 1 %, по 1 мл в ампулі; по 5 ампул у блістері; по 2 блістери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Пропоновано звуження меж для показника "Кількісне визначення. Прогестерон" затверджено вміст прогестерону в 1 мл проміжної продукції для 2,5 % розчину повинен бути від 24,0 до 26,0 мг, для 1% розчину – від 9,6 до 10,4 мг запропоновано: вміст прогестерону в 1 мл проміжної продукції для 2,5 % розчину повинен бути від 24,15 до 25,85 мг, для 1% розчину – від 9,70 до 10,30 мг;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Внесення додаткового параметру "Відносна густина" з метою забезпечення технологічних потреб при налаштуванні дози наповнення;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нового параметру контролю "Кількісне визначення. Бензилбензоат" у специфікацію на проміжну продукцію "Прогестерон" з метою подальшого наближення до номіналу, даний показник контролюється в готовому лікарському засобі. Запропоновано: 18,6% до 21,4 % ( в ГЛЗ від 18% до 22%)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UA/3556/01/01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ПРОПОФОЛ-ЛІПУРО 1%</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емульсія для інфузій, 10 мг/мл; по 20 мл в ампулі; по 5 ампул у картонній коробці; по 50 мл або по 100 мл у флаконі;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первинна та вторинна упаковка, випуск серії флаконів: Б. Браун Мельзунген АГ, Нiмеччина; Контроль серії флаконів:</w:t>
            </w:r>
            <w:r w:rsidRPr="00CE433C">
              <w:rPr>
                <w:rFonts w:ascii="Arial" w:hAnsi="Arial" w:cs="Arial"/>
                <w:sz w:val="16"/>
                <w:szCs w:val="16"/>
              </w:rPr>
              <w:br/>
              <w:t>Б. Браун Мельзунген АГ, Німеччина; Повний цикл виробництва ампул: Б. Браун Мельзунген АГ, Нiмеччина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Нiмеччина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II типу - Зміни з якості. Зміни до реєстраційного посвідчення внаслідок інших регуляторних процедур (інші зміни) оновлення затверджених методик випробування за показниками: “Ідентифікація. Соєва олія. Яєчний лецитин. Тригліцериди середнього ланцюга. Гліцерин ”, “рН”, “Мікроскопічна оцінка”, “Бактеріальні ендотоксини”, “Кількісне визначення. Пропофолу”, “Домішки”, “Вільні жирні кислоти”, “Перекисне число”. </w:t>
            </w:r>
            <w:r w:rsidRPr="00CE433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UA/8172/01/01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9255A" w:rsidRDefault="00E24DB9" w:rsidP="004321E0">
            <w:pPr>
              <w:pStyle w:val="110"/>
              <w:tabs>
                <w:tab w:val="left" w:pos="12600"/>
              </w:tabs>
              <w:rPr>
                <w:rFonts w:ascii="Arial" w:hAnsi="Arial" w:cs="Arial"/>
                <w:b/>
                <w:i/>
                <w:color w:val="000000"/>
                <w:sz w:val="16"/>
                <w:szCs w:val="16"/>
              </w:rPr>
            </w:pPr>
            <w:r w:rsidRPr="00C9255A">
              <w:rPr>
                <w:rFonts w:ascii="Arial" w:hAnsi="Arial" w:cs="Arial"/>
                <w:b/>
                <w:sz w:val="16"/>
                <w:szCs w:val="16"/>
              </w:rPr>
              <w:t>ПРОСТАЗАН УРОПЛЮС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9255A" w:rsidRDefault="00E24DB9" w:rsidP="004321E0">
            <w:pPr>
              <w:pStyle w:val="110"/>
              <w:tabs>
                <w:tab w:val="left" w:pos="12600"/>
              </w:tabs>
              <w:rPr>
                <w:rFonts w:ascii="Arial" w:hAnsi="Arial" w:cs="Arial"/>
                <w:color w:val="000000"/>
                <w:sz w:val="16"/>
                <w:szCs w:val="16"/>
              </w:rPr>
            </w:pPr>
            <w:r w:rsidRPr="00C9255A">
              <w:rPr>
                <w:rFonts w:ascii="Arial" w:hAnsi="Arial" w:cs="Arial"/>
                <w:color w:val="000000"/>
                <w:sz w:val="16"/>
                <w:szCs w:val="16"/>
              </w:rPr>
              <w:t>таблетки з модифікованим вивільненням, 6 мг/0,4 мг; по 10 таблеток у блістері; по 3 або 9 блістерів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9255A" w:rsidRDefault="00E24DB9" w:rsidP="004321E0">
            <w:pPr>
              <w:pStyle w:val="110"/>
              <w:tabs>
                <w:tab w:val="left" w:pos="12600"/>
              </w:tabs>
              <w:jc w:val="center"/>
              <w:rPr>
                <w:rFonts w:ascii="Arial" w:hAnsi="Arial" w:cs="Arial"/>
                <w:color w:val="000000"/>
                <w:sz w:val="16"/>
                <w:szCs w:val="16"/>
              </w:rPr>
            </w:pPr>
            <w:r w:rsidRPr="00C9255A">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9255A" w:rsidRDefault="00E24DB9" w:rsidP="004321E0">
            <w:pPr>
              <w:pStyle w:val="110"/>
              <w:tabs>
                <w:tab w:val="left" w:pos="12600"/>
              </w:tabs>
              <w:jc w:val="center"/>
              <w:rPr>
                <w:rFonts w:ascii="Arial" w:hAnsi="Arial" w:cs="Arial"/>
                <w:color w:val="000000"/>
                <w:sz w:val="16"/>
                <w:szCs w:val="16"/>
              </w:rPr>
            </w:pPr>
            <w:r w:rsidRPr="00C9255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9255A" w:rsidRDefault="00E24DB9" w:rsidP="004321E0">
            <w:pPr>
              <w:pStyle w:val="110"/>
              <w:tabs>
                <w:tab w:val="left" w:pos="12600"/>
              </w:tabs>
              <w:jc w:val="center"/>
              <w:rPr>
                <w:rFonts w:ascii="Arial" w:hAnsi="Arial" w:cs="Arial"/>
                <w:color w:val="000000"/>
                <w:sz w:val="16"/>
                <w:szCs w:val="16"/>
              </w:rPr>
            </w:pPr>
            <w:r w:rsidRPr="00C9255A">
              <w:rPr>
                <w:rFonts w:ascii="Arial" w:hAnsi="Arial" w:cs="Arial"/>
                <w:color w:val="000000"/>
                <w:sz w:val="16"/>
                <w:szCs w:val="16"/>
              </w:rPr>
              <w:t>виробництво готової лікарської форми, первинна та вторинна упаковка, контроль серії, випуск серії:</w:t>
            </w:r>
            <w:r w:rsidRPr="00C9255A">
              <w:rPr>
                <w:rFonts w:ascii="Arial" w:hAnsi="Arial" w:cs="Arial"/>
                <w:color w:val="000000"/>
                <w:sz w:val="16"/>
                <w:szCs w:val="16"/>
              </w:rPr>
              <w:br/>
              <w:t xml:space="preserve">Сінтон Хіспанія, С.Л., Іспанія </w:t>
            </w:r>
            <w:r w:rsidRPr="00C9255A">
              <w:rPr>
                <w:rFonts w:ascii="Arial" w:hAnsi="Arial" w:cs="Arial"/>
                <w:color w:val="000000"/>
                <w:sz w:val="16"/>
                <w:szCs w:val="16"/>
              </w:rPr>
              <w:br/>
              <w:t>контроль серії:</w:t>
            </w:r>
            <w:r w:rsidRPr="00C9255A">
              <w:rPr>
                <w:rFonts w:ascii="Arial" w:hAnsi="Arial" w:cs="Arial"/>
                <w:color w:val="000000"/>
                <w:sz w:val="16"/>
                <w:szCs w:val="16"/>
              </w:rPr>
              <w:br/>
              <w:t>Квінта-Аналітика с.р.о. , Чеська Республіка</w:t>
            </w:r>
            <w:r w:rsidRPr="00C9255A">
              <w:rPr>
                <w:rFonts w:ascii="Arial" w:hAnsi="Arial" w:cs="Arial"/>
                <w:color w:val="000000"/>
                <w:sz w:val="16"/>
                <w:szCs w:val="16"/>
              </w:rPr>
              <w:br/>
              <w:t>первинна та вторинна упаковка:</w:t>
            </w:r>
            <w:r w:rsidRPr="00C9255A">
              <w:rPr>
                <w:rFonts w:ascii="Arial" w:hAnsi="Arial" w:cs="Arial"/>
                <w:color w:val="000000"/>
                <w:sz w:val="16"/>
                <w:szCs w:val="16"/>
              </w:rPr>
              <w:br/>
              <w:t xml:space="preserve">Джі І Фармасьютікалс, Лтд , Болгарія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9255A" w:rsidRDefault="00E24DB9" w:rsidP="004321E0">
            <w:pPr>
              <w:pStyle w:val="110"/>
              <w:tabs>
                <w:tab w:val="left" w:pos="12600"/>
              </w:tabs>
              <w:jc w:val="center"/>
              <w:rPr>
                <w:rFonts w:ascii="Arial" w:hAnsi="Arial" w:cs="Arial"/>
                <w:color w:val="000000"/>
                <w:sz w:val="16"/>
                <w:szCs w:val="16"/>
              </w:rPr>
            </w:pPr>
            <w:r w:rsidRPr="00C9255A">
              <w:rPr>
                <w:rFonts w:ascii="Arial" w:hAnsi="Arial" w:cs="Arial"/>
                <w:color w:val="000000"/>
                <w:sz w:val="16"/>
                <w:szCs w:val="16"/>
              </w:rPr>
              <w:t>Іспанія/</w:t>
            </w:r>
          </w:p>
          <w:p w:rsidR="00E24DB9" w:rsidRPr="00C9255A" w:rsidRDefault="00E24DB9" w:rsidP="004321E0">
            <w:pPr>
              <w:pStyle w:val="110"/>
              <w:tabs>
                <w:tab w:val="left" w:pos="12600"/>
              </w:tabs>
              <w:jc w:val="center"/>
              <w:rPr>
                <w:rFonts w:ascii="Arial" w:hAnsi="Arial" w:cs="Arial"/>
                <w:color w:val="000000"/>
                <w:sz w:val="16"/>
                <w:szCs w:val="16"/>
              </w:rPr>
            </w:pPr>
            <w:r w:rsidRPr="00C9255A">
              <w:rPr>
                <w:rFonts w:ascii="Arial" w:hAnsi="Arial" w:cs="Arial"/>
                <w:color w:val="000000"/>
                <w:sz w:val="16"/>
                <w:szCs w:val="16"/>
              </w:rPr>
              <w:t>Чеськ Республіка/</w:t>
            </w:r>
          </w:p>
          <w:p w:rsidR="00E24DB9" w:rsidRPr="00C9255A" w:rsidRDefault="00E24DB9" w:rsidP="004321E0">
            <w:pPr>
              <w:pStyle w:val="110"/>
              <w:tabs>
                <w:tab w:val="left" w:pos="12600"/>
              </w:tabs>
              <w:jc w:val="center"/>
              <w:rPr>
                <w:rFonts w:ascii="Arial" w:hAnsi="Arial" w:cs="Arial"/>
                <w:color w:val="000000"/>
                <w:sz w:val="16"/>
                <w:szCs w:val="16"/>
              </w:rPr>
            </w:pPr>
            <w:r w:rsidRPr="00C9255A">
              <w:rPr>
                <w:rFonts w:ascii="Arial" w:hAnsi="Arial" w:cs="Arial"/>
                <w:color w:val="000000"/>
                <w:sz w:val="16"/>
                <w:szCs w:val="16"/>
              </w:rPr>
              <w:t>Болгарія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9255A" w:rsidRDefault="00E24DB9" w:rsidP="004321E0">
            <w:pPr>
              <w:pStyle w:val="110"/>
              <w:tabs>
                <w:tab w:val="left" w:pos="12600"/>
              </w:tabs>
              <w:jc w:val="center"/>
              <w:rPr>
                <w:rFonts w:ascii="Arial" w:hAnsi="Arial" w:cs="Arial"/>
                <w:color w:val="000000"/>
                <w:sz w:val="16"/>
                <w:szCs w:val="16"/>
              </w:rPr>
            </w:pPr>
            <w:r w:rsidRPr="00CE433C">
              <w:rPr>
                <w:rFonts w:ascii="Arial" w:hAnsi="Arial" w:cs="Arial"/>
                <w:sz w:val="16"/>
                <w:szCs w:val="16"/>
              </w:rPr>
              <w:t xml:space="preserve">внесення змін до реєстраційних матеріалів: </w:t>
            </w:r>
            <w:r w:rsidRPr="004D75B4">
              <w:rPr>
                <w:rFonts w:ascii="Arial" w:hAnsi="Arial" w:cs="Arial"/>
                <w:sz w:val="16"/>
                <w:szCs w:val="16"/>
              </w:rPr>
              <w:t>виправлення технічної помилки,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у специфікації ГЛЗ на випуск та на термін придатності за показником «Розчинення», а саме: невірно вказано критерії прийнятності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9255A" w:rsidRDefault="00E24DB9" w:rsidP="004321E0">
            <w:pPr>
              <w:pStyle w:val="110"/>
              <w:tabs>
                <w:tab w:val="left" w:pos="12600"/>
              </w:tabs>
              <w:jc w:val="center"/>
              <w:rPr>
                <w:rFonts w:ascii="Arial" w:hAnsi="Arial" w:cs="Arial"/>
                <w:b/>
                <w:i/>
                <w:color w:val="000000"/>
                <w:sz w:val="16"/>
                <w:szCs w:val="16"/>
              </w:rPr>
            </w:pPr>
            <w:r w:rsidRPr="00C9255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9255A" w:rsidRDefault="00E24DB9" w:rsidP="004321E0">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9255A" w:rsidRDefault="00E24DB9" w:rsidP="004321E0">
            <w:pPr>
              <w:pStyle w:val="110"/>
              <w:tabs>
                <w:tab w:val="left" w:pos="12600"/>
              </w:tabs>
              <w:jc w:val="center"/>
              <w:rPr>
                <w:rFonts w:ascii="Arial" w:hAnsi="Arial" w:cs="Arial"/>
                <w:sz w:val="16"/>
                <w:szCs w:val="16"/>
              </w:rPr>
            </w:pPr>
            <w:r w:rsidRPr="00C9255A">
              <w:rPr>
                <w:rFonts w:ascii="Arial" w:hAnsi="Arial" w:cs="Arial"/>
                <w:sz w:val="16"/>
                <w:szCs w:val="16"/>
              </w:rPr>
              <w:t>UA/19606/01/01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ПСИЛО-АЛЕРГО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розчин оральний, 0,5 мг/мл; по 150 мл у флаконі; по 1 флакону у комплекті з мірною ложкою або мірним пристроєм у вигляді шприца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випуск серій: </w:t>
            </w:r>
            <w:r w:rsidRPr="00CE433C">
              <w:rPr>
                <w:rFonts w:ascii="Arial" w:hAnsi="Arial" w:cs="Arial"/>
                <w:sz w:val="16"/>
                <w:szCs w:val="16"/>
              </w:rPr>
              <w:br/>
              <w:t>СТАДА Арцнайміттель АГ, Німеччина</w:t>
            </w:r>
            <w:r w:rsidRPr="00CE433C">
              <w:rPr>
                <w:rFonts w:ascii="Arial" w:hAnsi="Arial" w:cs="Arial"/>
                <w:sz w:val="16"/>
                <w:szCs w:val="16"/>
              </w:rPr>
              <w:br/>
              <w:t xml:space="preserve">контроль серій: </w:t>
            </w:r>
            <w:r w:rsidRPr="00CE433C">
              <w:rPr>
                <w:rFonts w:ascii="Arial" w:hAnsi="Arial" w:cs="Arial"/>
                <w:sz w:val="16"/>
                <w:szCs w:val="16"/>
              </w:rPr>
              <w:br/>
              <w:t>Специфар С.А., Грецiя</w:t>
            </w:r>
            <w:r w:rsidRPr="00CE433C">
              <w:rPr>
                <w:rFonts w:ascii="Arial" w:hAnsi="Arial" w:cs="Arial"/>
                <w:sz w:val="16"/>
                <w:szCs w:val="16"/>
              </w:rPr>
              <w:br/>
              <w:t xml:space="preserve">виробництво нерозфасованого продукту, первинне та вторинне пакування, контроль серій: </w:t>
            </w:r>
            <w:r w:rsidRPr="00CE433C">
              <w:rPr>
                <w:rFonts w:ascii="Arial" w:hAnsi="Arial" w:cs="Arial"/>
                <w:sz w:val="16"/>
                <w:szCs w:val="16"/>
              </w:rPr>
              <w:br/>
              <w:t>ФАМАР ОРЛЕАНС, Франція</w:t>
            </w:r>
            <w:r w:rsidRPr="00CE433C">
              <w:rPr>
                <w:rFonts w:ascii="Arial" w:hAnsi="Arial" w:cs="Arial"/>
                <w:sz w:val="16"/>
                <w:szCs w:val="16"/>
              </w:rPr>
              <w:br/>
              <w:t xml:space="preserve">виробництво нерозфасованого продукту, первинне та вторинне пакування, контроль серій: </w:t>
            </w:r>
            <w:r w:rsidRPr="00CE433C">
              <w:rPr>
                <w:rFonts w:ascii="Arial" w:hAnsi="Arial" w:cs="Arial"/>
                <w:sz w:val="16"/>
                <w:szCs w:val="16"/>
              </w:rPr>
              <w:br/>
              <w:t xml:space="preserve">Н2 ФАРМА, Францiя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Грецiя/</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Франція</w:t>
            </w:r>
            <w:r w:rsidRPr="00CE433C">
              <w:rPr>
                <w:rFonts w:ascii="Arial" w:hAnsi="Arial" w:cs="Arial"/>
                <w:sz w:val="16"/>
                <w:szCs w:val="16"/>
              </w:rPr>
              <w:br/>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UA/14555/01/01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РАЄНОМ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5 мг; по 14 таблеток, вкритих плівковою оболонкою, у блістері; по 2 або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Гедеон Ріхтер Румунія 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Румунiя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w:t>
            </w:r>
            <w:r w:rsidRPr="00CE433C">
              <w:rPr>
                <w:rFonts w:ascii="Arial" w:hAnsi="Arial" w:cs="Arial"/>
                <w:sz w:val="16"/>
                <w:szCs w:val="16"/>
              </w:rPr>
              <w:br/>
              <w:t>Діюча редакція: Періодичність та дати подання регулярно оновлюваних звітів з безпеки лікарських засобів згідно з Додатком 10 до Порядку здійснення фармаконагляду, затвердженого наказом МОЗ від 27 грудня 2006 року № 898 (у редакції наказу МОЗ України від 26 вересня 2016 року № 996), а саме: Частота подання РОЗБ: 1 рік Кінцева дата для включення даних до РОЗБ 25.04.2018, дата подання РОЗБ до компетентних органів 04.07.2018 р. Пропонована редакція: Періодичність та дати подання РОЗБ згідно з стандартним для країни виробника, члена ЄС (Угорщина): Частота подання РОЗБ: 3 роки Кінцева дата для включення даних до РОЗБ 25.04.2023, термін подання РОЗБ до компетентних органів 24.07.2023.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UA/17512/01/02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РАМІЗЕС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5 мг по 10 таблеток у блістері; по 1 або 3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та методу контролю за показником «Розчинення», а саме доповнення посиланням на Метод 1 та Метод 2, (ДФУ, 2.2.29), в формулі розрахунку додано коефіцієнти розведення.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перенесення примітки про проведення мікробіологічного контролю для ГЛЗ Рамізес, таблетки 5 мг та 10 мг з аналітичних методик до специфікації ГЛЗ.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доповнення специфікації ГЛЗ та аналітичних методик за показником «Ідентифікація» посиланням на Метод 1 та Метод 2 (ДФУ, 2.2.29).Зміни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альтернативної методики випробування ГЛЗ за показником «Кількісне визначення» (Метод 2,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в затверджений метод випробування ГЛЗ за показником «Супровідні домішки» (Метод 1, ВЕРХ) - замість опису приготування випробовуваного розчину та розчинів порівняння (а) та (b) приведено концентрації зазначених розчинів; замість назви колонки приведено назву нерухомої фази; змінено викладення приготування рухомої фази і буферного розчину; додано інформацію про час хроматографування розчину (b).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введення альтернативної методики випробування ГЛЗ за показником «Супровідні домішки» (Метод 2,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в затверджену методику випробування за показником «Кількісне визначення» (Метод 1, ВЕРХ) - замість приготування випробовуваного розчину та розчинів порівняння (а), (b) та (с) приведено концентрації зазначених розчинів.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до специфікації та методу контролю за показником «Однорідність дозованих одиниць», а саме доповнення альтернативною методикою визначення (Метод 2, 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UA/10982/01/03</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РАМІЗЕС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10 мг по 10 таблеток у блістері; по 1 або 3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та методу контролю за показником «Розчинення», а саме доповнення посиланням на Метод 1 та Метод 2, (ДФУ, 2.2.29), в формулі розрахунку додано коефіцієнти розведення.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перенесення примітки про проведення мікробіологічного контролю для ГЛЗ Рамізес, таблетки 5 мг та 10 мг з аналітичних методик до специфікації ГЛЗ.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доповнення специфікації ГЛЗ та аналітичних методик за показником «Ідентифікація» посиланням на Метод 1 та Метод 2 (ДФУ, 2.2.29).Зміни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альтернативної методики випробування ГЛЗ за показником «Кількісне визначення» (Метод 2,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в затверджений метод випробування ГЛЗ за показником «Супровідні домішки» (Метод 1, ВЕРХ) - замість опису приготування випробовуваного розчину та розчинів порівняння (а) та (b) приведено концентрації зазначених розчинів; замість назви колонки приведено назву нерухомої фази; змінено викладення приготування рухомої фази і буферного розчину; додано інформацію про час хроматографування розчину (b).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введення альтернативної методики випробування ГЛЗ за показником «Супровідні домішки» (Метод 2,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в затверджену методику випробування за показником «Кількісне визначення» (Метод 1, ВЕРХ) - замість приготування випробовуваного розчину та розчинів порівняння (а), (b) та (с) приведено концентрації зазначених розчинів.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до специфікації та методу контролю за показником «Однорідність дозованих одиниць», а саме доповнення альтернативною методикою визначення (Метод 2, 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UA/10982/01/04</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РАМІЗЕС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2,5 мг по 10 таблеток у блістері; по 1 або 3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та методу контролю за показником «Розчинення», а саме доповнення посиланням на Метод 1 та Метод 2, (ДФУ, 2.2.29), в формулі розрахунку додано коефіцієнти розведення.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випробування ГЛЗ для дозування, 2,5 мг за показником «Мікробіологічна чистота»: «мікробіологічний контроль проводити з періодичністю перша та кожна двадцята наступні серії, але не рідше 1 разу на рік».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доповнення специфікації ГЛЗ та аналітичних методик за показником «Ідентифікація» посиланням на Метод 1 та Метод 2 (ДФУ, 2.2.29).Зміни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альтернативної методики випробування ГЛЗ за показником «Кількісне визначення» (Метод 2,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в затверджений метод випробування ГЛЗ за показником «Супровідні домішки» (Метод 1, ВЕРХ) - замість опису приготування випробовуваного розчину та розчинів порівняння (а) та (b) приведено концентрації зазначених розчинів; замість назви колонки приведено назву нерухомої фази; змінено викладення приготування рухомої фази і буферного розчину; додано інформацію про час хроматографування розчину (b).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введення альтернативної методики випробування ГЛЗ за показником «Супровідні домішки» (Метод 2,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в затверджену методику випробування за показником «Кількісне визначення» (Метод 1, ВЕРХ) - замість приготування випробовуваного розчину та розчинів порівняння (а), (b) та (с) приведено концентрації зазначених розчинів.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до специфікації та методу контролю за показником «Однорідність дозованих одиниць», а саме доповнення альтернативною методикою визначення (Метод 2, 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UA/10982/01/02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РАНОСТОП®</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розчин для зовнішнього та місцевого застосування 10 % по 50 мл або 100 мл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"ФІТОФАРМ"</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"ФІТОФАРМ"</w:t>
            </w:r>
            <w:r w:rsidRPr="00CE433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UA/8650/02/01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РЕГІДРОН ОПТІМ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порошок для орального розчину; по 10,7 г порошку у пакеті; по 20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Виробник, що здійснює контроль якості і випуск серій: Оріон Корпорейшн, Фінляндія; Виробник, що здійснює контроль якості: Ой Медфайлз Лтд, Фінляндія; Виробник, що здійснює виробництво, пакування, контроль якості та випуск серій: ТОВ Рецифарм Паретс,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Фінляндія/</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Іспанія</w:t>
            </w:r>
          </w:p>
          <w:p w:rsidR="00E24DB9" w:rsidRPr="00CE433C" w:rsidRDefault="00E24DB9" w:rsidP="004321E0">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технічна помилка (згідно наказу МОЗ від 23.07.2015 № 460) - Виправлено технічну помилку в інструкції для медичного застосування у розділі «Лікарська форма» (основні фізико-хімічні властивості). ЗАТВЕРДЖЕНО: Основні фізико-хімічні властивості: кристалічний порошок білого кольору з характерним лимонним запахом. ЗАПРОПОНОВАНО: Основні фізико-хімічні властивості: кристалічний порошок білого або світло-жовтого кольору з характерним лимонним запахом.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UA/9267/01/01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РЕКТОДЕЛЬТ 100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супозиторії ректальні по 100 мг; по 2 або по 6 супозиторіїв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Троммсдорфф ГмбХ енд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Троммсдорфф ГмбХ енд Ко. КГ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у тексті маркування первинної та вторинної упаковок (№2 та № 6) лікарського засобу, а саме: пропущені одиниці вимірювання у системі SI (mg), які були затверджені Наказом № 134 від 26.01.2021 р. Зазначене виправлення відповідає архівним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UA/0685/01/01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РІНОСАН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спрей назальний, розчин, 1 мг/мл, по 10 мл у флаконі;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СІА «ІНФАРМА Трейдінг»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Латвійська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Базік Фарма Мануфактурінг Б.В.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Нідерланди</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доповнення одного з компонентів первинної упаковки, а саме помпи-розпилювача, ще однією модифікацією, з іншім якісним складом, який вже використовувався для інших компонентів помпи-розпилювача (матеріали, що використовуються для компонентів помпи-розпилювача змінено з POM stem на stem PP; з HDPE pumb housing на PP pumb housing; з POM string stop на PP string stop). Розмір та технічні характеристики помпи-розпилювача не змінились.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UA/19254/01/01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САНДОСТАТИН®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розчин для ін'єкцій, 0,05 мг/1 мл; по 1 мл в ампулі; по 5 ампул в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Новартіс Фарма Штейн АГ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виробника SGS International Services Laboratory (ISL) Limited, Ringaskiddy Cork, P43 FR63 Ireland відповідального за контроль якості субстанції до підрозділу 3.2.S.2.1. Виробник (-и)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UA/9821/01/01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САНДОСТАТИН®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розчин для ін'єкцій, 0,1 мг/1 мл; по 1 мл в ампулі; по 5 ампул в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Новартіс Фарма Штейн АГ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виробника SGS International Services Laboratory (ISL) Limited, Ringaskiddy Cork, P43 FR63 Ireland відповідального за контроль якості субстанції до підрозділу 3.2.S.2.1. Виробник (-и)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UA/9821/01/02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СЕПТАНЕСТ З АДРЕНАЛІНОМ 1/100 000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розчин для ін'єкцій, по 1 мл у картриджі; по 10 картриджів у блістері; по 5 блістерів у картонній коробці; по 1,7 мл у картриджі; по 10 картриджів у блістері; по 1 або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СЕПТОДОНТ</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СЕПТОДОНТ</w:t>
            </w:r>
            <w:r w:rsidRPr="00CE433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від власника торгової ліцензії не вимагається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"Показання" (редагування тексту), "Протипоказання" , "Особливі заходи безпеки", "Взаємодія з іншими лікарськими засобами та інші види взаємодій", "Особливості застосування", "Застосування в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матеріалів реєстраційного досьє. Введення змін протягом 6 місяців після затвердження.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–"Препарати для місцевої анестезії. Аміди. Артикаїн, комбінації. Код АТХ N01В В58.", </w:t>
            </w:r>
            <w:r w:rsidRPr="00CE433C">
              <w:rPr>
                <w:rFonts w:ascii="Arial" w:hAnsi="Arial" w:cs="Arial"/>
                <w:sz w:val="16"/>
                <w:szCs w:val="16"/>
              </w:rPr>
              <w:br/>
              <w:t>запропоновано – "Засоби, що діють на нервову систему. Анестетики. Препарати для місцевої анестезії. Аміди. Артикаїн, комбінації. Код АТХ N01В В58.".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інформації стосовно повідомлення про підозрювані побічні реакції.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UA/10380/01/01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СЕПТАНЕСТ З АДРЕНАЛІНОМ 1/200 000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розчин для ін'єкцій по 1 мл у картриджі; по 10 картриджів у блістері; по 5 блістерів у картонній коробці; по 1,7 мл у картриджі; по 10 картриджів у блістері; по 1 або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СЕПТОДОНТ</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СЕПТОДОНТ</w:t>
            </w:r>
            <w:r w:rsidRPr="00CE433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від власника торгової ліцензії не вимагається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"Показання" (редагування тексту), "Протипоказання" , "Особливі заходи безпеки", "Взаємодія з іншими лікарськими засобами та інші види взаємодій", "Особливості застосування", "Застосування в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матеріалів реєстраційного досьє. Введення змін протягом 6-ти місяців після затвердження.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"Препарати для місцевої анестезії. Аміди. Артикаїн, комбінації. Код АТХ N01В В58.",</w:t>
            </w:r>
            <w:r w:rsidRPr="00CE433C">
              <w:rPr>
                <w:rFonts w:ascii="Arial" w:hAnsi="Arial" w:cs="Arial"/>
                <w:sz w:val="16"/>
                <w:szCs w:val="16"/>
              </w:rPr>
              <w:br/>
              <w:t>запропоновано – "Засоби, що діють на нервову систему. Анестетики. Препарати для місцевої анестезії. Аміди. Артикаїн, комбінації. Код АТХ N01В В58."Введення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інформації стосовно повідомлення про підозрювані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UA/10381/01/01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СЕРВОНЕКС®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оболонкою, по 5 мг, по 14 таблеток у блістері; по 2 блістери в картонній упаковці; по 10 таблеток у блістері;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КУСУМ ХЕЛТХКЕР ПВТ ЛТД, Індія; альтернативний виробник, що здійснює вторинне пакування, контроль якості та випуск серії:</w:t>
            </w:r>
            <w:r w:rsidRPr="00CE433C">
              <w:rPr>
                <w:rFonts w:ascii="Arial" w:hAnsi="Arial" w:cs="Arial"/>
                <w:sz w:val="16"/>
                <w:szCs w:val="16"/>
              </w:rPr>
              <w:br/>
              <w:t>ТОВ "КУСУМ ФАРМ",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"Діти" (редагування), "Передозування", "Побічні реакції" згідно з інформацією щодо медичного застосування референтного лікарського засобу (ARICEPT film coated tablets ). </w:t>
            </w:r>
            <w:r w:rsidRPr="00CE433C">
              <w:rPr>
                <w:rFonts w:ascii="Arial" w:hAnsi="Arial" w:cs="Arial"/>
                <w:sz w:val="16"/>
                <w:szCs w:val="16"/>
              </w:rPr>
              <w:br/>
              <w:t xml:space="preserve">Введення змін протягом 6-ти місяців після затвердження.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2.3. Зміни внесено до частин І «Загальна інформація», II «Специфікація з безпеки» (CV «Післяреєстраційний досвід», CVIII «Резюме проблем безпеки»), III «План з фармаконагляду», V «Заходи з мінімізації ризиків», VI «Резюме плану управління ризиками», VII «Додатки» у зв'язку з оновленням інформації з безпеки референтного лікарського засобу.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Представлені зміни в інформації з безпеки щодо внесення доповнень до розділів проекту інструкції для медичного застосування "Спосіб застосування та дози", "Побічні реакції", запропоновані до внесення заявником на підставі рекомендацій PRAC щодо оновлення інформації з безпеки можуть бути рекомендовані до затвердження та внесення в інструкцію для медичного застосування лікарського засобу. </w:t>
            </w:r>
            <w:r w:rsidRPr="00CE433C">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UA/13114/01/01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СЕРВОНЕКС®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оболонкою, по 10 мг, по 14 таблеток у блістері; по 2 блістери в картонній упаковці; по 10 таблеток у блістері;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КУСУМ ХЕЛТХКЕР ПВТ ЛТД, Індія; альтернативний виробник, що здійснює вторинне пакування, контроль якості та випуск серії:</w:t>
            </w:r>
            <w:r w:rsidRPr="00CE433C">
              <w:rPr>
                <w:rFonts w:ascii="Arial" w:hAnsi="Arial" w:cs="Arial"/>
                <w:sz w:val="16"/>
                <w:szCs w:val="16"/>
              </w:rPr>
              <w:br/>
              <w:t>ТОВ "КУСУМ ФАРМ",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"Діти" (редагування), "Передозування", "Побічні реакції" згідно з інформацією щодо медичного застосування референтного лікарського засобу (ARICEPT film coated tablets ). </w:t>
            </w:r>
            <w:r w:rsidRPr="00CE433C">
              <w:rPr>
                <w:rFonts w:ascii="Arial" w:hAnsi="Arial" w:cs="Arial"/>
                <w:sz w:val="16"/>
                <w:szCs w:val="16"/>
              </w:rPr>
              <w:br/>
              <w:t xml:space="preserve">Введення змін протягом 6-ти місяців після затвердження.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2.3. Зміни внесено до частин І «Загальна інформація», II «Специфікація з безпеки» (CV «Післяреєстраційний досвід», CVIII «Резюме проблем безпеки»), III «План з фармаконагляду», V «Заходи з мінімізації ризиків», VI «Резюме плану управління ризиками», VII «Додатки» у зв'язку з оновленням інформації з безпеки референтного лікарського засобу.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Представлені зміни в інформації з безпеки щодо внесення доповнень до розділів проекту інструкції для медичного застосування "Спосіб застосування та дози", "Побічні реакції", запропоновані до внесення заявником на підставі рекомендацій PRAC щодо оновлення інформації з безпеки можуть бути рекомендовані до затвердження та внесення в інструкцію для медичного застосування лікарського засобу. </w:t>
            </w:r>
            <w:r w:rsidRPr="00CE433C">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UA/13114/01/02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686EEB" w:rsidRDefault="00E24DB9" w:rsidP="004321E0">
            <w:pPr>
              <w:pStyle w:val="110"/>
              <w:tabs>
                <w:tab w:val="left" w:pos="12600"/>
              </w:tabs>
              <w:rPr>
                <w:rFonts w:ascii="Arial" w:hAnsi="Arial" w:cs="Arial"/>
                <w:b/>
                <w:i/>
                <w:color w:val="000000"/>
                <w:sz w:val="16"/>
                <w:szCs w:val="16"/>
              </w:rPr>
            </w:pPr>
            <w:r w:rsidRPr="00686EEB">
              <w:rPr>
                <w:rFonts w:ascii="Arial" w:hAnsi="Arial" w:cs="Arial"/>
                <w:b/>
                <w:sz w:val="16"/>
                <w:szCs w:val="16"/>
              </w:rPr>
              <w:t>СИНГУЛЯР®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686EEB" w:rsidRDefault="00E24DB9" w:rsidP="004321E0">
            <w:pPr>
              <w:pStyle w:val="110"/>
              <w:tabs>
                <w:tab w:val="left" w:pos="12600"/>
              </w:tabs>
              <w:rPr>
                <w:rFonts w:ascii="Arial" w:hAnsi="Arial" w:cs="Arial"/>
                <w:color w:val="000000"/>
                <w:sz w:val="16"/>
                <w:szCs w:val="16"/>
              </w:rPr>
            </w:pPr>
            <w:r w:rsidRPr="00686EEB">
              <w:rPr>
                <w:rFonts w:ascii="Arial" w:hAnsi="Arial" w:cs="Arial"/>
                <w:color w:val="000000"/>
                <w:sz w:val="16"/>
                <w:szCs w:val="16"/>
              </w:rPr>
              <w:t>таблетки, вкриті плівковою оболонкою, по 10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686EEB" w:rsidRDefault="00E24DB9" w:rsidP="004321E0">
            <w:pPr>
              <w:pStyle w:val="110"/>
              <w:tabs>
                <w:tab w:val="left" w:pos="12600"/>
              </w:tabs>
              <w:jc w:val="center"/>
              <w:rPr>
                <w:rFonts w:ascii="Arial" w:hAnsi="Arial" w:cs="Arial"/>
                <w:color w:val="000000"/>
                <w:sz w:val="16"/>
                <w:szCs w:val="16"/>
              </w:rPr>
            </w:pPr>
            <w:r w:rsidRPr="00686EEB">
              <w:rPr>
                <w:rFonts w:ascii="Arial" w:hAnsi="Arial" w:cs="Arial"/>
                <w:color w:val="000000"/>
                <w:sz w:val="16"/>
                <w:szCs w:val="16"/>
              </w:rPr>
              <w:t xml:space="preserve">Органон Сентрал Іст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686EEB" w:rsidRDefault="00E24DB9" w:rsidP="004321E0">
            <w:pPr>
              <w:pStyle w:val="110"/>
              <w:tabs>
                <w:tab w:val="left" w:pos="12600"/>
              </w:tabs>
              <w:jc w:val="center"/>
              <w:rPr>
                <w:rFonts w:ascii="Arial" w:hAnsi="Arial" w:cs="Arial"/>
                <w:color w:val="000000"/>
                <w:sz w:val="16"/>
                <w:szCs w:val="16"/>
              </w:rPr>
            </w:pPr>
            <w:r w:rsidRPr="00686EEB">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686EEB" w:rsidRDefault="00E24DB9" w:rsidP="004321E0">
            <w:pPr>
              <w:pStyle w:val="110"/>
              <w:tabs>
                <w:tab w:val="left" w:pos="12600"/>
              </w:tabs>
              <w:jc w:val="center"/>
              <w:rPr>
                <w:rFonts w:ascii="Arial" w:hAnsi="Arial" w:cs="Arial"/>
                <w:color w:val="000000"/>
                <w:sz w:val="16"/>
                <w:szCs w:val="16"/>
              </w:rPr>
            </w:pPr>
            <w:r w:rsidRPr="00686EEB">
              <w:rPr>
                <w:rFonts w:ascii="Arial" w:hAnsi="Arial" w:cs="Arial"/>
                <w:color w:val="000000"/>
                <w:sz w:val="16"/>
                <w:szCs w:val="16"/>
              </w:rPr>
              <w:t xml:space="preserve">Виробник нерозфасованої продукції, первинна та вторинна упаковка, контроль якості: </w:t>
            </w:r>
            <w:r w:rsidRPr="00686EEB">
              <w:rPr>
                <w:rFonts w:ascii="Arial" w:hAnsi="Arial" w:cs="Arial"/>
                <w:color w:val="000000"/>
                <w:sz w:val="16"/>
                <w:szCs w:val="16"/>
              </w:rPr>
              <w:br/>
              <w:t>Органон Фарма (UK) Лімітед, Велика Британія;</w:t>
            </w:r>
            <w:r w:rsidRPr="00686EEB">
              <w:rPr>
                <w:rFonts w:ascii="Arial" w:hAnsi="Arial" w:cs="Arial"/>
                <w:color w:val="000000"/>
                <w:sz w:val="16"/>
                <w:szCs w:val="16"/>
              </w:rPr>
              <w:br/>
              <w:t>Первинна та вторинна упаковка, контроль якості, дозвіл на випуск серії:</w:t>
            </w:r>
            <w:r w:rsidRPr="00686EEB">
              <w:rPr>
                <w:rFonts w:ascii="Arial" w:hAnsi="Arial" w:cs="Arial"/>
                <w:color w:val="000000"/>
                <w:sz w:val="16"/>
                <w:szCs w:val="16"/>
              </w:rPr>
              <w:br/>
              <w:t xml:space="preserve">Мерк Шарп і Доум Б.В., Нідерланди; </w:t>
            </w:r>
            <w:r w:rsidRPr="00686EEB">
              <w:rPr>
                <w:rFonts w:ascii="Arial" w:hAnsi="Arial" w:cs="Arial"/>
                <w:color w:val="000000"/>
                <w:sz w:val="16"/>
                <w:szCs w:val="16"/>
              </w:rPr>
              <w:br/>
              <w:t>Дозвіл на випуск серії:</w:t>
            </w:r>
            <w:r w:rsidRPr="00686EEB">
              <w:rPr>
                <w:rFonts w:ascii="Arial" w:hAnsi="Arial" w:cs="Arial"/>
                <w:color w:val="000000"/>
                <w:sz w:val="16"/>
                <w:szCs w:val="16"/>
              </w:rPr>
              <w:br/>
              <w:t>Шерінг-Плау Лабо Н.В., Бельгiя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686EEB" w:rsidRDefault="00E24DB9" w:rsidP="004321E0">
            <w:pPr>
              <w:pStyle w:val="110"/>
              <w:tabs>
                <w:tab w:val="left" w:pos="12600"/>
              </w:tabs>
              <w:jc w:val="center"/>
              <w:rPr>
                <w:rFonts w:ascii="Arial" w:hAnsi="Arial" w:cs="Arial"/>
                <w:color w:val="000000"/>
                <w:sz w:val="16"/>
                <w:szCs w:val="16"/>
              </w:rPr>
            </w:pPr>
            <w:r w:rsidRPr="00686EEB">
              <w:rPr>
                <w:rFonts w:ascii="Arial" w:hAnsi="Arial" w:cs="Arial"/>
                <w:color w:val="000000"/>
                <w:sz w:val="16"/>
                <w:szCs w:val="16"/>
              </w:rPr>
              <w:t>Велика Британія/</w:t>
            </w:r>
          </w:p>
          <w:p w:rsidR="00E24DB9" w:rsidRPr="00686EEB" w:rsidRDefault="00E24DB9" w:rsidP="004321E0">
            <w:pPr>
              <w:pStyle w:val="110"/>
              <w:tabs>
                <w:tab w:val="left" w:pos="12600"/>
              </w:tabs>
              <w:jc w:val="center"/>
              <w:rPr>
                <w:rFonts w:ascii="Arial" w:hAnsi="Arial" w:cs="Arial"/>
                <w:color w:val="000000"/>
                <w:sz w:val="16"/>
                <w:szCs w:val="16"/>
              </w:rPr>
            </w:pPr>
            <w:r w:rsidRPr="00686EEB">
              <w:rPr>
                <w:rFonts w:ascii="Arial" w:hAnsi="Arial" w:cs="Arial"/>
                <w:color w:val="000000"/>
                <w:sz w:val="16"/>
                <w:szCs w:val="16"/>
              </w:rPr>
              <w:t>Нідерланди/</w:t>
            </w:r>
          </w:p>
          <w:p w:rsidR="00E24DB9" w:rsidRPr="00686EEB" w:rsidRDefault="00E24DB9" w:rsidP="004321E0">
            <w:pPr>
              <w:pStyle w:val="110"/>
              <w:tabs>
                <w:tab w:val="left" w:pos="12600"/>
              </w:tabs>
              <w:jc w:val="center"/>
              <w:rPr>
                <w:rFonts w:ascii="Arial" w:hAnsi="Arial" w:cs="Arial"/>
                <w:color w:val="000000"/>
                <w:sz w:val="16"/>
                <w:szCs w:val="16"/>
              </w:rPr>
            </w:pPr>
            <w:r w:rsidRPr="00686EEB">
              <w:rPr>
                <w:rFonts w:ascii="Arial" w:hAnsi="Arial" w:cs="Arial"/>
                <w:color w:val="000000"/>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686EEB" w:rsidRDefault="00E24DB9" w:rsidP="004321E0">
            <w:pPr>
              <w:pStyle w:val="110"/>
              <w:tabs>
                <w:tab w:val="left" w:pos="12600"/>
              </w:tabs>
              <w:jc w:val="center"/>
              <w:rPr>
                <w:rFonts w:ascii="Arial" w:hAnsi="Arial" w:cs="Arial"/>
                <w:color w:val="000000"/>
                <w:sz w:val="16"/>
                <w:szCs w:val="16"/>
              </w:rPr>
            </w:pPr>
            <w:r w:rsidRPr="00686EEB">
              <w:rPr>
                <w:rFonts w:ascii="Arial" w:hAnsi="Arial" w:cs="Arial"/>
                <w:color w:val="000000"/>
                <w:sz w:val="16"/>
                <w:szCs w:val="16"/>
              </w:rPr>
              <w:t xml:space="preserve">внесення змін до реєстраційних матеріалів: </w:t>
            </w:r>
            <w:r w:rsidRPr="00686EEB">
              <w:rPr>
                <w:rFonts w:ascii="Arial" w:hAnsi="Arial" w:cs="Arial"/>
                <w:b/>
                <w:color w:val="000000"/>
                <w:sz w:val="16"/>
                <w:szCs w:val="16"/>
              </w:rPr>
              <w:t>уточнення реєстраціїної процедури в наказі МОЗ України № 1886 від 19.10.2022 -</w:t>
            </w:r>
            <w:r w:rsidRPr="00686EEB">
              <w:rPr>
                <w:rFonts w:ascii="Arial" w:hAnsi="Arial" w:cs="Arial"/>
                <w:color w:val="000000"/>
                <w:sz w:val="16"/>
                <w:szCs w:val="16"/>
              </w:rPr>
              <w:t xml:space="preserve"> </w:t>
            </w:r>
            <w:r w:rsidRPr="00686EEB">
              <w:rPr>
                <w:rFonts w:ascii="Arial" w:hAnsi="Arial" w:cs="Arial"/>
                <w:color w:val="000000"/>
                <w:sz w:val="16"/>
                <w:szCs w:val="16"/>
              </w:rPr>
              <w:br/>
              <w:t xml:space="preserve">Зміна заявника ЛЗ (МІБП) (власника реєстраційного посвідчення) (згідно наказу МОЗ від 23.07.2015 № 460). </w:t>
            </w:r>
            <w:r w:rsidRPr="00686EEB">
              <w:rPr>
                <w:rFonts w:ascii="Arial" w:hAnsi="Arial" w:cs="Arial"/>
                <w:b/>
                <w:color w:val="000000"/>
                <w:sz w:val="16"/>
                <w:szCs w:val="16"/>
              </w:rPr>
              <w:t>Введення змін протягом 6 місяців після затвердження.</w:t>
            </w:r>
            <w:r w:rsidRPr="00686EEB">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Доктор Гай Демол. Пропонована редакція: Маріанна Валк- Кортенраад.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Андріуца Олена Дмитрівна. Пропонована редакція: Мотилінська Олена Віталіївна.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686EEB" w:rsidRDefault="00E24DB9" w:rsidP="004321E0">
            <w:pPr>
              <w:pStyle w:val="110"/>
              <w:tabs>
                <w:tab w:val="left" w:pos="12600"/>
              </w:tabs>
              <w:jc w:val="center"/>
              <w:rPr>
                <w:rFonts w:ascii="Arial" w:hAnsi="Arial" w:cs="Arial"/>
                <w:b/>
                <w:i/>
                <w:color w:val="000000"/>
                <w:sz w:val="16"/>
                <w:szCs w:val="16"/>
              </w:rPr>
            </w:pPr>
            <w:r w:rsidRPr="00686EEB">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686EEB" w:rsidRDefault="00E24DB9" w:rsidP="004321E0">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686EEB" w:rsidRDefault="00E24DB9" w:rsidP="004321E0">
            <w:pPr>
              <w:pStyle w:val="110"/>
              <w:tabs>
                <w:tab w:val="left" w:pos="12600"/>
              </w:tabs>
              <w:jc w:val="center"/>
              <w:rPr>
                <w:rFonts w:ascii="Arial" w:hAnsi="Arial" w:cs="Arial"/>
                <w:sz w:val="16"/>
                <w:szCs w:val="16"/>
              </w:rPr>
            </w:pPr>
            <w:r w:rsidRPr="00686EEB">
              <w:rPr>
                <w:rFonts w:ascii="Arial" w:hAnsi="Arial" w:cs="Arial"/>
                <w:sz w:val="16"/>
                <w:szCs w:val="16"/>
              </w:rPr>
              <w:t>UA/10208/01/03</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СТЕРОКОРТ®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крем 0,1 % по 15 г у тубі; по 1 тубі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"ФІТОФАРМ"</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"ФІТОФАРМ"</w:t>
            </w:r>
            <w:r w:rsidRPr="00CE433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spacing w:after="240"/>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UA/7784/01/01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СТЕРОФУНДИН ISO</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розчин для інфузій по 250 мл, 500 мл, 1000 мл у поліетиленовому контейнері; по 10 контейнерів у картонній коробці;</w:t>
            </w:r>
            <w:r w:rsidRPr="00CE433C">
              <w:rPr>
                <w:rFonts w:ascii="Arial" w:hAnsi="Arial" w:cs="Arial"/>
                <w:sz w:val="16"/>
                <w:szCs w:val="16"/>
              </w:rPr>
              <w:br/>
              <w:t>по 250 мл, 500 мл, 1000 мл у пластиковому мішку; по 10 мішків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 Браун Медікал СА, Іспанія; Б. Браун Медикал СА, Швейцарія; Виробництво, первинна та вторинна упаковка, випуск серії:  Б. Браун Мельзунген АГ, Німеччина; Контроль серії: Б. Браун Мельзунген АГ,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Іспанія/</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p w:rsidR="00E24DB9" w:rsidRPr="00CE433C" w:rsidRDefault="00E24DB9" w:rsidP="004321E0">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w:t>
            </w:r>
            <w:r w:rsidRPr="00CE433C">
              <w:rPr>
                <w:rFonts w:ascii="Arial" w:hAnsi="Arial" w:cs="Arial"/>
                <w:b/>
                <w:sz w:val="16"/>
                <w:szCs w:val="16"/>
              </w:rPr>
              <w:t xml:space="preserve">уточнення реєстраційної процедури в наказі МОЗ України № 428 від 03.03.2023 </w:t>
            </w:r>
            <w:r w:rsidRPr="00CE433C">
              <w:rPr>
                <w:rFonts w:ascii="Arial" w:hAnsi="Arial" w:cs="Arial"/>
                <w:sz w:val="16"/>
                <w:szCs w:val="16"/>
              </w:rPr>
              <w:t xml:space="preserve">- Зміни І типу - Зміни щодо безпеки/ефективності та фармаконагляду (інші зміни) - </w:t>
            </w:r>
            <w:r w:rsidRPr="00CE433C">
              <w:rPr>
                <w:rFonts w:ascii="Arial" w:hAnsi="Arial" w:cs="Arial"/>
                <w:b/>
                <w:sz w:val="16"/>
                <w:szCs w:val="16"/>
              </w:rPr>
              <w:t>Зміни внесені в текст маркування первинної та вторинної упаковок лікарського засобу</w:t>
            </w:r>
            <w:r w:rsidRPr="00CE433C">
              <w:rPr>
                <w:rFonts w:ascii="Arial" w:hAnsi="Arial" w:cs="Arial"/>
                <w:sz w:val="16"/>
                <w:szCs w:val="16"/>
              </w:rPr>
              <w:t xml:space="preserve"> щодо зазначення дати закінчення терміну придатності.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UA/9618/01/01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ТАМІПУЛ®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капсули, по 10 капсул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Мальта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АТ «Гріндекс»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Латвія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Зміни внесено в інструкцію для медичного застосування лікарського засобу до розділів "Протипоказання", "Взаємодія з іншими видами лікарських засобів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r w:rsidRPr="00CE433C">
              <w:rPr>
                <w:rFonts w:ascii="Arial" w:hAnsi="Arial" w:cs="Arial"/>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UA/8943/01/01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ТАМІФЛЮ®</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порошок для оральної суспензії, 6 мг/мл; по 13 г порошку в пляшці; по 1 пляшці разом з пластиковим адаптером, пластиковим дозатором для орального застосування місткістю 10 мл, пластиковим мірним стаканчиком у картонній коробці; по 13 г порошку в пляшці; по 1 пляшці разом з пластиковим адаптером, пластиковими дозаторами для орального застосування місткістю 3 мл та 10 мл, пластиковим мірним стаканчиком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«Рош Україна»</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нерозфасованої продукції, первинне пакування:</w:t>
            </w:r>
            <w:r w:rsidRPr="00CE433C">
              <w:rPr>
                <w:rFonts w:ascii="Arial" w:hAnsi="Arial" w:cs="Arial"/>
                <w:sz w:val="16"/>
                <w:szCs w:val="16"/>
              </w:rPr>
              <w:br/>
              <w:t>Роттендорф Фарма ГмбХ, Німеччина</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Вторинне пакування, випробування контролю якості при випуску та стабільності, випуск серії:</w:t>
            </w:r>
            <w:r w:rsidRPr="00CE433C">
              <w:rPr>
                <w:rFonts w:ascii="Arial" w:hAnsi="Arial" w:cs="Arial"/>
                <w:sz w:val="16"/>
                <w:szCs w:val="16"/>
              </w:rPr>
              <w:br/>
              <w:t>Ф.Хоффманн-Ля Рош Лтд, Швейцарія</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Випробування контролю якості (тільки мікробіологічна чистота));</w:t>
            </w:r>
            <w:r w:rsidRPr="00CE433C">
              <w:rPr>
                <w:rFonts w:ascii="Arial" w:hAnsi="Arial" w:cs="Arial"/>
                <w:sz w:val="16"/>
                <w:szCs w:val="16"/>
              </w:rPr>
              <w:br/>
              <w:t>Ф.Хоффманн-Ля Рош Лтд, Швейцарія</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ПозЛаб Сп. з о.о., Польща</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Випробування контролю якості при випуску та стабільності:</w:t>
            </w:r>
            <w:r w:rsidRPr="00CE433C">
              <w:rPr>
                <w:rFonts w:ascii="Arial" w:hAnsi="Arial" w:cs="Arial"/>
                <w:sz w:val="16"/>
                <w:szCs w:val="16"/>
              </w:rPr>
              <w:br/>
              <w:t>Селвіта Сервісес Сп. зо.о., Польща</w:t>
            </w:r>
          </w:p>
          <w:p w:rsidR="00E24DB9" w:rsidRPr="00CE433C" w:rsidRDefault="00E24DB9" w:rsidP="004321E0">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Польща</w:t>
            </w:r>
          </w:p>
          <w:p w:rsidR="00E24DB9" w:rsidRPr="00CE433C" w:rsidRDefault="00E24DB9" w:rsidP="004321E0">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Зміни вносяться у зв’язку із додаванням дільниці: ПозЛаб Сп. з о.о., вул Кобальтова 6, Злотники, Сухи Ляс, 62-002, Польща, відповідальної за випробування контролю якості (тільки мікробіологічна чистота). Також у відповідність до діючої оригінальної документації виробника заявником вносяться редакційні уточнення до написання (деталізація) функцій вже затверджених виробничих дільниць.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UA/3189/01/02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ТВІНРИКС™ ВАКЦИНА ДЛЯ ПРОФІЛАКТИКИ ГЕПАТИТІВ А (ІНАКТИВОВАНА) І В (АДСОРБОВАНА)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суспензія для ін'єкцій; по 1 дозі (1 мл/дозу) у попередньо наповненому шприці № 1 у комплекті з голкою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ГлаксоСмітКляйн Біолоджікалз С.А.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Бельгiя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Оновлення протоколу кваліфікації робочого посівного матеріалу Hepatitis A Virus Working Seed (HAV WS), який описує виготовлення, кваліфікацію та звітує про майбутні HAV WS, які будуть використовуватися для виробництва вакцин, що містять антиген гепатиту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UA/13056/01/01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ТВІНРИКС™ ВАКЦИНА ДЛЯ ПРОФІЛАКТИКИ ГЕПАТИТІВ А (ІНАКТИВОВАНА) І В (АДСОРБОВАНА)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суспензія для ін'єкцій; по 1 дозі (1 мл/дозу) у попередньо наповненому шприці № 1 у комплекті з голкою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ГлаксоСмітКляйн Біолоджікалз С.А.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Бельгiя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CE433C">
              <w:rPr>
                <w:rFonts w:ascii="Arial" w:hAnsi="Arial" w:cs="Arial"/>
                <w:sz w:val="16"/>
                <w:szCs w:val="16"/>
              </w:rPr>
              <w:br/>
              <w:t xml:space="preserve">Зміни в процесі виробництва активної субстанції антигену вірусу гепатиту А (HAV), а саме: заміна трипсину тваринного походження pTrypsin (Porcine trypsin) на трипсин, виготовлений технологією рекомбінантної ДНК rTrypsin. </w:t>
            </w:r>
            <w:r w:rsidRPr="00CE433C">
              <w:rPr>
                <w:rFonts w:ascii="Arial" w:hAnsi="Arial" w:cs="Arial"/>
                <w:sz w:val="16"/>
                <w:szCs w:val="16"/>
              </w:rPr>
              <w:br/>
              <w:t>Внесення редакційних правок до розділів модуля 3 3.2.S.2.2, 3.2.S.2.3, 3.2.S.2.6, 3.2.S.4.4, 3.2.P.2.1, 3.2.P.5.5, 3.2.A.2, 3.2.R.1, 3.2.R.4.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UA/13056/01/01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ТЕЛМІЛАКС ПЛЮС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80 мг/ 12,5 мг; по 14 таблеток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М. Біотек Лімітед</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Альтернативна дільниця для проведення аналітичних випробувань:</w:t>
            </w:r>
            <w:r w:rsidRPr="00CE433C">
              <w:rPr>
                <w:rFonts w:ascii="Arial" w:hAnsi="Arial" w:cs="Arial"/>
                <w:sz w:val="16"/>
                <w:szCs w:val="16"/>
              </w:rPr>
              <w:br/>
              <w:t>ЛАБОРАТОРІО ЕЧЕВАРНЕ, С.А., Іспанія</w:t>
            </w:r>
            <w:r w:rsidRPr="00CE433C">
              <w:rPr>
                <w:rFonts w:ascii="Arial" w:hAnsi="Arial" w:cs="Arial"/>
                <w:sz w:val="16"/>
                <w:szCs w:val="16"/>
              </w:rPr>
              <w:br/>
              <w:t>Виробник, що здійснює повний цикл виробництва і відповідає за випуск серії:</w:t>
            </w:r>
            <w:r w:rsidRPr="00CE433C">
              <w:rPr>
                <w:rFonts w:ascii="Arial" w:hAnsi="Arial" w:cs="Arial"/>
                <w:sz w:val="16"/>
                <w:szCs w:val="16"/>
              </w:rPr>
              <w:br/>
              <w:t>ЛАБОРАТОРІОС ЛІКОНСА, С.А.,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альтернативної дільниці для проведення аналітичних випробувань, без зміни місця виробництва.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заміна альтернативної дільниці для проведення аналітичних випробувань.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альтернативної дільниці для проведення аналітичних випробувань, без зміни місця виробництва.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заміна альтернативної дільниці для проведення аналітичних випробувань.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UA/16755/01/01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ТЕЛМІЛАКС ПЛЮС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40 мг/ 12,5 мг; по 14 таблеток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М. Біотек Лімітед</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Альтернативна дільниця для проведення аналітичних випробувань:</w:t>
            </w:r>
            <w:r w:rsidRPr="00CE433C">
              <w:rPr>
                <w:rFonts w:ascii="Arial" w:hAnsi="Arial" w:cs="Arial"/>
                <w:sz w:val="16"/>
                <w:szCs w:val="16"/>
              </w:rPr>
              <w:br/>
              <w:t>ЛАБОРАТОРІО ЕЧЕВАРНЕ, С.А., Іспанія</w:t>
            </w:r>
            <w:r w:rsidRPr="00CE433C">
              <w:rPr>
                <w:rFonts w:ascii="Arial" w:hAnsi="Arial" w:cs="Arial"/>
                <w:sz w:val="16"/>
                <w:szCs w:val="16"/>
              </w:rPr>
              <w:br/>
              <w:t>Виробник, що здійснює повний цикл виробництва і відповідає за випуск серії:</w:t>
            </w:r>
            <w:r w:rsidRPr="00CE433C">
              <w:rPr>
                <w:rFonts w:ascii="Arial" w:hAnsi="Arial" w:cs="Arial"/>
                <w:sz w:val="16"/>
                <w:szCs w:val="16"/>
              </w:rPr>
              <w:br/>
              <w:t>ЛАБОРАТОРІОС ЛІКОНСА, С.А.,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альтернативної дільниці для проведення аналітичних випробувань, без зміни місця виробництва.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заміна альтернативної дільниці для проведення аналітичних випробувань.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UA/16754/01/01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ТЕЛМІЛАКС ПЛЮС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80 мг/25 мг; по 14 таблеток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М. Біотек Лімітед</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Альтернативна дільниця для проведення аналітичних випробувань:</w:t>
            </w:r>
            <w:r w:rsidRPr="00CE433C">
              <w:rPr>
                <w:rFonts w:ascii="Arial" w:hAnsi="Arial" w:cs="Arial"/>
                <w:sz w:val="16"/>
                <w:szCs w:val="16"/>
              </w:rPr>
              <w:br/>
              <w:t>ЛАБОРАТОРІО ЕЧЕВАРНЕ, С.А., Іспанія</w:t>
            </w:r>
            <w:r w:rsidRPr="00CE433C">
              <w:rPr>
                <w:rFonts w:ascii="Arial" w:hAnsi="Arial" w:cs="Arial"/>
                <w:sz w:val="16"/>
                <w:szCs w:val="16"/>
              </w:rPr>
              <w:br/>
              <w:t>Виробник, що здійснює повний цикл виробництва і відповідає за випуск серії:</w:t>
            </w:r>
            <w:r w:rsidRPr="00CE433C">
              <w:rPr>
                <w:rFonts w:ascii="Arial" w:hAnsi="Arial" w:cs="Arial"/>
                <w:sz w:val="16"/>
                <w:szCs w:val="16"/>
              </w:rPr>
              <w:br/>
              <w:t>ЛАБОРАТОРІОС ЛІКОНСА, С.А.,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альтернативної дільниці для проведення аналітичних випробувань, без зміни місця виробництва.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заміна альтернативної дільниці для проведення аналітичних випробувань.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UA/16754/01/02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ТИФЛОКС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 xml:space="preserve">таблетки, вкриті оболонкою; по 10 таблеток у блістері; по 1 блістеру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Мепро Фармасьютикалс Пріват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UA/8062/01/01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ТОНЗИПРЕТ®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краплі оральні по 30 мл або 50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Біонорика СЕ</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Біонорика СЕ</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Нiмеччина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"Спосіб застосування та дози" відповідно до матеріалів реєстраційного досьє та як наслідок з відповідними змінами в тексті маркування упаковки лікарського засобу.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UA/1838/02/01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ТОРАСЕМІД САНДОЗ®</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5 мг; по 10 таблеток у блістері; по 2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Лек С.А., Польща (виробництво за повним циклом); Лек С.А., Польща (первинне і вторинне пакування, випуск серії); Салютас Фарма ГмбХ, Німеччина (виробництво за повним циклом)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Польща/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зміна вноситься у зв’язку зі зміню частини первинного пакувального матеріалу, який не контактує з лікарським засобом, а саме заміна ґрунтовки для друку, що містить нітроцелюлозу, на ґрунтовку для друку, що не містить нітроцелюлози, для алюмінієвої кришки/твердої фольги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UA/9619/01/02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ТОРАСЕМІД САНДОЗ®</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10 мг; по 10 таблеток у блістері; по 2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Лек С.А., Польща (виробництво за повним циклом); Лек С.А., Польща (первинне і вторинне пакування, випуск серії); Салютас Фарма ГмбХ, Німеччина (виробництво за повним циклом)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Польща/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зміна вноситься у зв’язку зі зміню частини первинного пакувального матеріалу, який не контактує з лікарським засобом, а саме заміна ґрунтовки для друку, що містить нітроцелюлозу, на ґрунтовку для друку, що не містить нітроцелюлози, для алюмінієвої кришки/твердої фольги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UA/9619/01/03</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ТОРАСЕМІД САНДОЗ®</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20 мг; по 10 таблеток у блістері; по 2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Лек С.А., Польща (виробництво за повним циклом); Лек С.А., Польща (первинне і вторинне пакування, випуск серії); Салютас Фарма ГмбХ, Німеччина (виробництво за повним циклом)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Польща/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зміна вноситься у зв’язку зі зміню частини первинного пакувального матеріалу, який не контактує з лікарським засобом, а саме заміна ґрунтовки для друку, що містить нітроцелюлозу, на ґрунтовку для друку, що не містить нітроцелюлози, для алюмінієвої кришки/твердої фольги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UA/9619/01/04</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ТОРАСЕМІД САНДОЗ®</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50 мг; по 10 таблеток у блістері; по 2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Лек С.А., Польща (виробництво за повним циклом); Лек С.А., Польща (первинне і вторинне пакування, випуск серії); Салютас Фарма ГмбХ, Німеччина (виробництво за повним циклом)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Польща/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зміна вноситься у зв’язку зі зміню частини первинного пакувального матеріалу, який не контактує з лікарським засобом, а саме заміна ґрунтовки для друку, що містить нітроцелюлозу, на ґрунтовку для друку, що не містить нітроцелюлози, для алюмінієвої кришки/твердої фольги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UA/9619/01/05</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ТОРАСЕМІД САНДОЗ®</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100 мг; по 10 таблеток у блістері; по 2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Лек С.А., Польща (виробництво за повним циклом); Лек С.А., Польща (первинне і вторинне пакування, випуск серії); Салютас Фарма ГмбХ, Німеччина (виробництво за повним циклом)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Польща/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зміна вноситься у зв’язку зі зміню частини первинного пакувального матеріалу, який не контактує з лікарським засобом, а саме заміна ґрунтовки для друку, що містить нітроцелюлозу, на ґрунтовку для друку, що не містить нітроцелюлози, для алюмінієвої кришки/твердої фольги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UA/9619/01/06</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ТОРАСЕМІД САНДОЗ®</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200 мг; по 10 таблеток у блістері; по 2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Лек С.А., Польща (виробництво за повним циклом); Лек С.А., Польща (первинне і вторинне пакування, випуск серії); Салютас Фарма ГмбХ, Німеччина (виробництво за повним циклом)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Польща/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зміна вноситься у зв’язку зі зміню частини первинного пакувального матеріалу, який не контактує з лікарським засобом, а саме заміна ґрунтовки для друку, що містить нітроцелюлозу, на ґрунтовку для друку, що не містить нітроцелюлози, для алюмінієвої кришки/твердої фольги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UA/9619/01/07</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ТРАНКВІЛАР® ІС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0,3 г по 10 таблеток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Товариство з додатковою відповідальністю "ІНТЕРХІМ"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зберігання діючої речовини, затверджено: термін придатності 3 роки запропоновано: термін придатності 4 роки. Зміни І типу - Зміни з якості. АФІ. Контроль АФІ (інші зміни) Зміна періодичності проведення контролю МБЧ АФІ, а саме контроль даного тесту проводять для кожної п'ятої серії субстанції, у зв’язку з відповідністю виробництва АФІ вимогам НВП (GMP), але не рідше одного разу на рік. </w:t>
            </w:r>
            <w:r w:rsidRPr="00CE433C">
              <w:rPr>
                <w:rFonts w:ascii="Arial" w:hAnsi="Arial" w:cs="Arial"/>
                <w:sz w:val="16"/>
                <w:szCs w:val="16"/>
              </w:rPr>
              <w:br/>
              <w:t xml:space="preserve">Зміни І типу - Зміни з якості. АФІ. Виробництво. Зміни в процесі виробництва АФІ (незначна зміна у процесі виробництва АФІ) </w:t>
            </w:r>
            <w:r w:rsidRPr="00CE433C">
              <w:rPr>
                <w:rFonts w:ascii="Arial" w:hAnsi="Arial" w:cs="Arial"/>
                <w:sz w:val="16"/>
                <w:szCs w:val="16"/>
              </w:rPr>
              <w:br/>
              <w:t xml:space="preserve">Супутня зміна - Зміни з якості. АФІ. Контроль АФІ (інші зміни) Зміна у технології виробництва АФІ, а саме заміна промивного розчинника ацетон на спирт ізопропіловий. Послідовна зміна: зміна нормування та методики виконання тесту "Залишкові кількості органічних розчинників" у МКЯ ЛЗ АФІ (вилучення органічного розчинника ацетон) та уточнення назви тесту. </w:t>
            </w:r>
            <w:r w:rsidRPr="00CE433C">
              <w:rPr>
                <w:rFonts w:ascii="Arial" w:hAnsi="Arial" w:cs="Arial"/>
                <w:sz w:val="16"/>
                <w:szCs w:val="16"/>
              </w:rPr>
              <w:br/>
              <w:t>Зміни І типу - Зміни з якості. Готовий лікарський засіб. Контроль готового лікарського засобу (інші зміни) Супутня зміна</w:t>
            </w:r>
            <w:r w:rsidRPr="00CE433C">
              <w:rPr>
                <w:rFonts w:ascii="Arial" w:hAnsi="Arial" w:cs="Arial"/>
                <w:sz w:val="16"/>
                <w:szCs w:val="16"/>
              </w:rPr>
              <w:br/>
              <w:t>-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Уточнення формулювання тесту «Однорідність дозованих одиниць» у МКЯ ЛЗ та специфікаціях і методиці контролю якості проміжного продукту «Нерозфасовані таблетки» (як супутня зміна).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Доповнення специфікації та методів контролю якості первинної упаковки АФІ-пакетів поліетиленових - показником "Ідентифікація" та відповідним методом випробування. Зміни І типу - Зміни щодо безпеки/ефективності та фармаконагляду (інші зміни) Заміна розділу «Графічне оформлення упаковки» на розділ «Маркування» у МКЯ ЛЗ – згідно затвердженого тексту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UA/8851/01/01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 xml:space="preserve">ТРИВЕРАМ® 10 МГ/5 МГ/5 МГ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10 мг/5 мг/5 мг; по 30 таблеток у контейнері для таблеток; по 1 або по 3 контейнери для таблеток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Франція/ 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Зміни внесено до тексту інструкції для медичного застосуваня лікарського засобу до розділу "Передозування" щодо безпеки застосування лікарського засобу.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тексту інструкції для медичного застосуваня лікарського засобу до розділів "Взаємодія з іншими лікарськими засобами та інші види взаємодій", "Особливості застосування",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UA/15517/01/01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ТРИВЕРАМ® 20 МГ/10МГ/10 МГ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20 мг/10 мг/10 мг, по 30 таблеток у контейнері для таблеток; по 1 або по 3 контейнери для таблеток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Франція/ 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Зміни внесено до тексту інструкції для медичного застосуваня лікарського засобу до розділу "Передозування" щодо безпеки застосування лікарського засобу.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тексту інструкції для медичного застосуваня лікарського засобу до розділів "Взаємодія з іншими лікарськими засобами та інші види взаємодій", "Особливості застосування",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UA/15517/01/02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ТРИВЕРАМ® 20 МГ/10МГ/5 МГ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20 мг/10 мг/5 мг; по 30 таблеток у контейнері для таблеток; по 1 або по 3 контейнери для таблеток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Франція/ 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Зміни внесено до тексту інструкції для медичного застосуваня лікарського засобу до розділу "Передозування" щодо безпеки застосування лікарського засобу.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тексту інструкції для медичного застосуваня лікарського засобу до розділів "Взаємодія з іншими лікарськими засобами та інші види взаємодій", "Особливості застосування",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UA/15515/01/01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ТРИВЕРАМ® 20 МГ/5 МГ/5 МГ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20 мг/5 мг/5 мг; по 30 таблеток у контейнері для таблеток; по 1 або по 3 контейнери для таблеток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Франція/ 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Зміни внесено до тексту інструкції для медичного застосуваня лікарського засобу до розділу "Передозування" щодо безпеки застосування лікарського засобу.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тексту інструкції для медичного застосуваня лікарського засобу до розділів "Взаємодія з іншими лікарськими засобами та інші види взаємодій", "Особливості застосування",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UA/15516/01/01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ТРИВЕРАМ® 40 МГ/10МГ/10 МГ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вкриті плівковою оболонкою, по 40 мг/10 мг/10 мг, по 30 таблеток у контейнері для таблеток; по 1 або по 3 контейнери для таблеток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Франція/ 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Зміни внесено до тексту інструкції для медичного застосуваня лікарського засобу до розділу "Передозування" щодо безпеки застосування лікарського засобу.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тексту інструкції для медичного застосуваня лікарського засобу до розділів "Взаємодія з іншими лікарськими засобами та інші види взаємодій", "Особливості застосування",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UA/15516/01/02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ТРИКСЕО АЕРОСФЕРА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інгаляція під тиском, суспензія, 5/7,2/160 мкг; контейнер під тиском; по 1 контейнеру під тиском на 120 інгаляцій в ламінованому мішечку з фольги, що містить саше з вологопоглиначем; по 1 мішечку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Виробництво, первинне пакування, вторинне пакування, контроль якості та випуск серії: АстраЗенека Дюнкерк Продакшн, Франція; </w:t>
            </w:r>
            <w:r w:rsidRPr="00CE433C">
              <w:rPr>
                <w:rFonts w:ascii="Arial" w:hAnsi="Arial" w:cs="Arial"/>
                <w:sz w:val="16"/>
                <w:szCs w:val="16"/>
              </w:rPr>
              <w:br/>
              <w:t>Альтернативна дільниця контролю якості при випуску: ПіПіДі Дівелопмент, ЛП, США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Франція/США</w:t>
            </w:r>
          </w:p>
          <w:p w:rsidR="00E24DB9" w:rsidRPr="00CE433C" w:rsidRDefault="00E24DB9" w:rsidP="004321E0">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"Спосіб застосування та дози" (редагування тексту алгоритму застосування).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UA/20049/01/01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ТРИТАЦЕ®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5 мг; № 28 (14х2):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CАНОФІ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E433C">
              <w:rPr>
                <w:rFonts w:ascii="Arial" w:hAnsi="Arial" w:cs="Arial"/>
                <w:sz w:val="16"/>
                <w:szCs w:val="16"/>
              </w:rPr>
              <w:br/>
              <w:t>Діюча редакція: Ходаківська Тетяна Вячеславівна. Пропонована редакція: Варфоломєєва Іванна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UA/9141/01/02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ТРИТАЦЕ®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10 мг; № 28 (14х2):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CАНОФІ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E433C">
              <w:rPr>
                <w:rFonts w:ascii="Arial" w:hAnsi="Arial" w:cs="Arial"/>
                <w:sz w:val="16"/>
                <w:szCs w:val="16"/>
              </w:rPr>
              <w:br/>
              <w:t>Діюча редакція: Ходаківська Тетяна Вячеславівна. Пропонована редакція: Варфоломєєва Іванна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UA/9141/01/03</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УЛЬТРАФАСТИН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гель 2,5 %, по 30 г або 50 г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Фармацевтичний завод "ПОЛЬФАРМА" С.А. Відділ Медана в Сєрадзі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щодо безпеки застосування діючої речовини кетопрофен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lang w:val="ru-RU"/>
              </w:rPr>
            </w:pPr>
            <w:r w:rsidRPr="00CE433C">
              <w:rPr>
                <w:rFonts w:ascii="Arial" w:hAnsi="Arial" w:cs="Arial"/>
                <w:i/>
                <w:sz w:val="16"/>
                <w:szCs w:val="16"/>
                <w:lang w:val="ru-RU"/>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UA/9278/01/01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ФАРЕСТОН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60 мг; по 30 таблеток у флаконі; по 1 флакону в картонній коробці; по 60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Виробник, що здійснює всі виробничі стадії, за винятком випуску серії: Оріон Корпорейшн, Фінляндія; Виробник, що здійснює виробництво і контроль якості: Оріон Корпорейшн, Фінляндія; Виробник, що здійснює первинне та вторинне пакування, випуск серії:</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Оріон Корпорейшн, Фінляндія; Виробник, що здійснює вторинне пакування, контроль якості та випуск серії: Товариство з обмеженою відповідальністю “Кусум Фарм”,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Фінляндія/</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p w:rsidR="00E24DB9" w:rsidRPr="00CE433C" w:rsidRDefault="00E24DB9" w:rsidP="004321E0">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spacing w:after="240"/>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CE433C">
              <w:rPr>
                <w:rFonts w:ascii="Arial" w:hAnsi="Arial" w:cs="Arial"/>
                <w:sz w:val="16"/>
                <w:szCs w:val="16"/>
              </w:rPr>
              <w:br/>
              <w:t>незначна зміна в затвердженому методі випробування АФІ Тореміфену цитрату за показником «Залишкові розчинники» (газова хроматографія).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UA/4251/01/02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ФАРЕСТОН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таблетки по 60 мг; in bulk: по 60 таблеток у флаконі; по 10 флаконів у груповій упаковці; по 32 групових упаковки в транспортній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Виробник, що здійснює всі виробничі стадії, за винятком випуску серії: Оріон Корпорейшн, Фінляндія; Виробник, що здійснює виробництво і контроль якості: Оріон Корпорейшн, Фінляндія; Виробник, що здійснює первинне та вторинне пакування, випуск серії:</w:t>
            </w:r>
          </w:p>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Оріон Корпорейшн, Фінляндія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Фінляндія</w:t>
            </w:r>
          </w:p>
          <w:p w:rsidR="00E24DB9" w:rsidRPr="00CE433C" w:rsidRDefault="00E24DB9" w:rsidP="004321E0">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spacing w:after="240"/>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CE433C">
              <w:rPr>
                <w:rFonts w:ascii="Arial" w:hAnsi="Arial" w:cs="Arial"/>
                <w:sz w:val="16"/>
                <w:szCs w:val="16"/>
              </w:rPr>
              <w:br/>
              <w:t>незначна зміна в затвердженому методі випробування АФІ Тореміфену цитрату за показником «Залишкові розчинники» (газова хроматографія).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UA/14147/01/01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ФЛЕКСЕЛІТ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розчин для ін'єкцій, 250 мг/мл; по 1 мл (250 мг), або по 2 мл (500 мг), або по 4 мл (1000 мг) в ампулі у пластиковому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БРОС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Грецiя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БРОС ЛТД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Грецiя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E433C">
              <w:rPr>
                <w:rFonts w:ascii="Arial" w:hAnsi="Arial" w:cs="Arial"/>
                <w:sz w:val="16"/>
                <w:szCs w:val="16"/>
              </w:rPr>
              <w:br/>
              <w:t>Зміни внесено в інструкцію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rPr>
            </w:pPr>
            <w:r w:rsidRPr="00CE433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UA/0436/01/01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ФЛЮДІТЕК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розчин оральний, 750 мг/10 мл; по 10 мл у саше; по 15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Лабораторія Іннотек Інтернасьйональ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Виробник відповідальний за випуск серії: Іннотера Шузі, Франція; Виробник відповідальний за "in bulk", первинне та вторинне пакування, контроль серії: Юнітер Ліквід Мануфекчурінг, Франція; Виробник відповідальний за контроль серії (додатковий): Юнітер Девелоппман Бордо, Францiя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щодо безпеки/ефективності та фармаконагляду (інші зміни) Зміни внесено в текст маркування вторинної упаковки у п. 8 «ДАТА ЗАКІНЧЕННЯ ТЕРМІНУ ПРИДАТНОСТІ» та виправлення технічної помилки у п. 12 «НОМЕР РЕЄСТРАЦІЙНОГО ПОСВІДЧЕННЯ».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UA/8082/02/01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ХАВРИКС™ 1440 ВАКЦИНА ДЛЯ ПРОФІЛАКТИКИ ГЕПАТИТУ 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суспензія для ін’єкцій 1440 ОД ELISA; по 1 мл (1 доза для дорослих) у флаконі; по 1 флакону в картонній коробці з маркуванням українською мовою; по 1 мл (1 доза для дорослих)) в попередньо наповненому шприці у комплекті з голкою; по 1 шприцу в картонній коробці з маркуванням українською мовою; по 1 мл (1 доза для дорослих) у флаконі; по 1 флакону в картонній коробці з маркуванням іноземними мовами зі стикером українською мовою; по 1 мл (1 доза для дорослих)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ГлаксоСмітКляйн Біолоджікалз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Бельгiя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Оновлення протоколу кваліфікації робочого посівного матеріалу Hepatitis A Virus Working Seed (HAV WS), який описує виготовлення, кваліфікацію та звітує про майбутні HAV WS, які будуть використовуватися для виробництва вакцин, що містять антиген гепатиту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UA/16497/01/02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ХАВРИКС™ 1440 ВАКЦИНА ДЛЯ ПРОФІЛАКТИКИ ГЕПАТИТУ 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суспензія для ін’єкцій 1440 ОД ELISA; по 1 мл (1 доза для дорослих) у флаконі; по 1 флакону в картонній коробці з маркуванням українською мовою; по 1 мл (1 доза для дорослих)) в попередньо наповненому шприці у комплекті з голкою; по 1 шприцу в картонній коробці з маркуванням українською мовою; по 1 мл (1 доза для дорослих) у флаконі; по 1 флакону в картонній коробці з маркуванням іноземними мовами зі стикером українською мовою; по 1 мл (1 доза для дорослих)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ГлаксоСмітКляйн Біолоджікалз С.А.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Бельгiя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CE433C">
              <w:rPr>
                <w:rFonts w:ascii="Arial" w:hAnsi="Arial" w:cs="Arial"/>
                <w:sz w:val="16"/>
                <w:szCs w:val="16"/>
              </w:rPr>
              <w:br/>
              <w:t xml:space="preserve">Зміни в процесі виробництва активної субстанції антигену вірусу гепатиту А (HAV), а саме: заміна трипсину тваринного походження pTrypsin (Porcine trypsin) на трипсин, виготовлений технологією рекомбінантної ДНК rTrypsin. </w:t>
            </w:r>
            <w:r w:rsidRPr="00CE433C">
              <w:rPr>
                <w:rFonts w:ascii="Arial" w:hAnsi="Arial" w:cs="Arial"/>
                <w:sz w:val="16"/>
                <w:szCs w:val="16"/>
              </w:rPr>
              <w:br/>
              <w:t>Внесення редакційних правок до розділів модуля 3 3.2.S.2.2, 3.2.S.2.3, 3.2.S.2.6, 3.2.S.4.4, 3.2.P.2.1, 3.2.P.5.5, 3.2.A.2, 3.2.R.1, 3.2.R.4.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UA/16497/01/02</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 xml:space="preserve">ХАВРИКС™ 720 ВАКЦИНА ДЛЯ ПРОФІЛАКТИКИ ГЕПАТИТУ А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суспензія для ін’єкцій 720 ОД ELISA; по 0,5 мл (1 доза для дітей) у флаконі; по 1 флакону в картонній коробці з маркуванням українською мовою; по 0,5 мл (1 доза для дітей) в попередньо наповненому шприці у комплекті з голкою; по 1 шприцу в картонній коробці з маркуванням українською мовою; по 0,5 мл (1 доза для дітей) у флаконі; по 1 флакону в картонній коробці з маркуванням іноземними мовами зі стикером українською мовою; по 0,5 мл (1 доза для дітей)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ГлаксоСмітКляйн Біолоджікалз С.А.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Бельгiя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Оновлення протоколу кваліфікації робочого посівного матеріалу Hepatitis A Virus Working Seed (HAV WS), який описує виготовлення, кваліфікацію та звітує про майбутні HAV WS, які будуть використовуватися для виробництва вакцин, що містять антиген гепатиту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UA/16497/01/01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 xml:space="preserve">ХАВРИКС™ 720 ВАКЦИНА ДЛЯ ПРОФІЛАКТИКИ ГЕПАТИТУ А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суспензія для ін’єкцій 720 ОД ELISA; по 0,5 мл (1 доза для дітей) у флаконі; по 1 флакону в картонній коробці з маркуванням українською мовою; по 0,5 мл (1 доза для дітей) в попередньо наповненому шприці у комплекті з голкою; по 1 шприцу в картонній коробці з маркуванням українською мовою; по 0,5 мл (1 доза для дітей) у флаконі; по 1 флакону в картонній коробці з маркуванням іноземними мовами зі стикером українською мовою; по 0,5 мл (1 доза для дітей)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ГлаксоСмітКляйн Біолоджікалз С.А.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Бельгiя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CE433C">
              <w:rPr>
                <w:rFonts w:ascii="Arial" w:hAnsi="Arial" w:cs="Arial"/>
                <w:sz w:val="16"/>
                <w:szCs w:val="16"/>
              </w:rPr>
              <w:br/>
              <w:t xml:space="preserve">Зміни в процесі виробництва активної субстанції антигену вірусу гепатиту А (HAV), а саме: заміна трипсину тваринного походження pTrypsin (Porcine trypsin) на трипсин, виготовлений технологією рекомбінантної ДНК rTrypsin. </w:t>
            </w:r>
            <w:r w:rsidRPr="00CE433C">
              <w:rPr>
                <w:rFonts w:ascii="Arial" w:hAnsi="Arial" w:cs="Arial"/>
                <w:sz w:val="16"/>
                <w:szCs w:val="16"/>
              </w:rPr>
              <w:br/>
              <w:t>Внесення редакційних правок до розділів модуля 3 3.2.S.2.2, 3.2.S.2.3, 3.2.S.2.6, 3.2.S.4.4, 3.2.P.2.1, 3.2.P.5.5, 3.2.A.2, 3.2.R.1, 3.2.R.4.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UA/16497/01/01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ХЕЛПЕКС® АНТИКОЛД НЕО ІМБИР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порошок для орального розчину; по 4 г порошку в саше; по 10 саше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ТОВ «Мові Хелс»</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виробництво за повним циклом:</w:t>
            </w:r>
            <w:r w:rsidRPr="00CE433C">
              <w:rPr>
                <w:rFonts w:ascii="Arial" w:hAnsi="Arial" w:cs="Arial"/>
                <w:sz w:val="16"/>
                <w:szCs w:val="16"/>
              </w:rPr>
              <w:br/>
              <w:t>Алпекс Фарма СА, Швейцарія</w:t>
            </w:r>
            <w:r w:rsidRPr="00CE433C">
              <w:rPr>
                <w:rFonts w:ascii="Arial" w:hAnsi="Arial" w:cs="Arial"/>
                <w:sz w:val="16"/>
                <w:szCs w:val="16"/>
              </w:rPr>
              <w:br/>
              <w:t xml:space="preserve">первинне та вторинне пакування: </w:t>
            </w:r>
            <w:r w:rsidRPr="00CE433C">
              <w:rPr>
                <w:rFonts w:ascii="Arial" w:hAnsi="Arial" w:cs="Arial"/>
                <w:sz w:val="16"/>
                <w:szCs w:val="16"/>
              </w:rPr>
              <w:br/>
              <w:t>Ламп Сан Просперо СПА, Італія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Швейцарія/ 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первинного пакування ГЛЗ Ламп Сан Просперо СПА, Італія/Lamp San Prospero SPA, Italy. Також для затвердженого виробника ГЛЗ Алпекс Фарма СА, Швейцарія зазначено короткий опис виконуваних функцій, а саме «Виробництво за повним циклом»;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ГЛЗ Ламп Сан Просперо СПА, Італія/Lamp San Prospero SPA, Italy. Також для затвердженого виробника ГЛЗ Алпекс Фарма СА, Швейцарія зазначено короткий опис виконуваних функцій, а саме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UA/17630/01/01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ХЛОРОФІЛІПТ®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розчин олійний, 20 мг/мл, по 25 мл або 30 мл у флаконі;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ПАТ "Галичфарм"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вносяться до лікарського засобу ХЛОРОФІЛІПТ®, розчин олійний, 20 мг/мл для АФІ ЕКСТРАКТ З ЛИСТЯ ЕВКАЛІПТУ ГУСТИЙ, екстракт густий (субстанція) в розділ 3.2.S.4 Контроль АФІ. В розділ «Важкі метали», який регламентує граничний вміст Кадмію, Свинцю і Ртуті. Визначення граничного вмісту Ртуті проводять за допомогою методики прямого визначення методом атомно-емісійної спектрометрії з індуктивно зв’язаною плазмою. Для даної методики, діапазон концентрацій є на межі кількісного визначення, і як наслідок, існує ймовірність високої похибки визначення Ртуті. У зв’язку з цим, для отримання коректних результатів, пропонується змінити методику прямого визначення на методику гідридного визначення Ртуті методом атомно-емісійної спектрометрії з індуктивно зв’язаною плазмою, яка має нижчий поріг детектування та дозволить визначати концентрацію ртуті в досліджуваній субстанції з більшою точністю, селективністю та відтворюваністю.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UA/4551/01/01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ХОНДРОІТИН®-ФІТОФАРМ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емульгель для зовнішнього застосування, 5% по 25 г або 40 г у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"ФІТОФАРМ"</w:t>
            </w:r>
            <w:r w:rsidRPr="00CE433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"ФІТОФАРМ"</w:t>
            </w:r>
            <w:r w:rsidRPr="00CE433C">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до розділу "Місцезнаходження заявника"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rPr>
            </w:pPr>
            <w:r w:rsidRPr="00CE433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UA/17346/01/01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ЦЕФАЗОЛІН-ДАРНИЦЯ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порошок для розчину для ін'єкцій по 0,5 г, 1 флакон з порошком в пачці; 5 флаконів з порошком в контурній чарунковій упаковці; по 1 контурній чарунковій упаковці в пачці; 1 флакон з порошком у комплекті з 1 ампулою розчинника (Вода для ін'єкцій-Дарниця) по 5 мл в контурній чарунковій упаковці; по 1 контурній чарунковій упаковці в пачці; 40 флаконів з порошком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w:t>
            </w:r>
            <w:r w:rsidRPr="005864CE">
              <w:rPr>
                <w:rFonts w:ascii="Arial" w:hAnsi="Arial" w:cs="Arial"/>
                <w:b/>
                <w:sz w:val="16"/>
                <w:szCs w:val="16"/>
              </w:rPr>
              <w:t>уточнення реєстраційної процедури в наказі МОЗ України № 1135 від 21.06.2023</w:t>
            </w:r>
            <w:r w:rsidRPr="00CE433C">
              <w:rPr>
                <w:rFonts w:ascii="Arial" w:hAnsi="Arial" w:cs="Arial"/>
                <w:sz w:val="16"/>
                <w:szCs w:val="16"/>
              </w:rPr>
              <w:t xml:space="preserve">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"Взаємодія з іншими лікарськими засобами та інші види взаємодій",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rPr>
            </w:pPr>
            <w:r w:rsidRPr="00CE433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UA/6216/01/01</w:t>
            </w:r>
          </w:p>
        </w:tc>
      </w:tr>
      <w:tr w:rsidR="00E24DB9" w:rsidRPr="00CE433C" w:rsidTr="004321E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E24DB9" w:rsidRPr="00CE433C" w:rsidRDefault="00E24DB9" w:rsidP="00E24DB9">
            <w:pPr>
              <w:numPr>
                <w:ilvl w:val="0"/>
                <w:numId w:val="25"/>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E24DB9" w:rsidRPr="00CE433C" w:rsidRDefault="00E24DB9" w:rsidP="004321E0">
            <w:pPr>
              <w:pStyle w:val="110"/>
              <w:tabs>
                <w:tab w:val="left" w:pos="12600"/>
              </w:tabs>
              <w:rPr>
                <w:rFonts w:ascii="Arial" w:hAnsi="Arial" w:cs="Arial"/>
                <w:b/>
                <w:i/>
                <w:sz w:val="16"/>
                <w:szCs w:val="16"/>
              </w:rPr>
            </w:pPr>
            <w:r w:rsidRPr="00CE433C">
              <w:rPr>
                <w:rFonts w:ascii="Arial" w:hAnsi="Arial" w:cs="Arial"/>
                <w:b/>
                <w:sz w:val="16"/>
                <w:szCs w:val="16"/>
              </w:rPr>
              <w:t>ЦЕФАЗОЛІН-ДАРНИЦЯ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rPr>
                <w:rFonts w:ascii="Arial" w:hAnsi="Arial" w:cs="Arial"/>
                <w:sz w:val="16"/>
                <w:szCs w:val="16"/>
              </w:rPr>
            </w:pPr>
            <w:r w:rsidRPr="00CE433C">
              <w:rPr>
                <w:rFonts w:ascii="Arial" w:hAnsi="Arial" w:cs="Arial"/>
                <w:sz w:val="16"/>
                <w:szCs w:val="16"/>
              </w:rPr>
              <w:t>порошок для розчину для ін'єкцій по 1,0 г, 1 флакон з порошком в пачці; 5 флаконів з порошком в контурній чарунковій упаковці; по 1 контурній чарунковій упаковці в пачці; 1 флакон з порошком у комплекті з 1 ампулою розчинника (Вода для ін'єкцій-Дарниця) по 10 мл в контурній чарунковій упаковці; по 1 контурній чарунковій упаковці в пачці; 40 флаконів з порошком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 xml:space="preserve">внесення змін до реєстраційних матеріалів: </w:t>
            </w:r>
            <w:r w:rsidRPr="005864CE">
              <w:rPr>
                <w:rFonts w:ascii="Arial" w:hAnsi="Arial" w:cs="Arial"/>
                <w:b/>
                <w:sz w:val="16"/>
                <w:szCs w:val="16"/>
              </w:rPr>
              <w:t>уточнення реєстраційної процедури в наказі МОЗ України № 1135 від 21.06.2023</w:t>
            </w:r>
            <w:r w:rsidRPr="00CE433C">
              <w:rPr>
                <w:rFonts w:ascii="Arial" w:hAnsi="Arial" w:cs="Arial"/>
                <w:sz w:val="16"/>
                <w:szCs w:val="16"/>
              </w:rPr>
              <w:t xml:space="preserve">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"Взаємодія з іншими лікарськими засобами та інші види взаємодій",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b/>
                <w:i/>
                <w:sz w:val="16"/>
                <w:szCs w:val="16"/>
              </w:rPr>
            </w:pPr>
            <w:r w:rsidRPr="00CE433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i/>
                <w:sz w:val="16"/>
                <w:szCs w:val="16"/>
              </w:rPr>
            </w:pPr>
            <w:r w:rsidRPr="00CE433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24DB9" w:rsidRPr="00CE433C" w:rsidRDefault="00E24DB9" w:rsidP="004321E0">
            <w:pPr>
              <w:pStyle w:val="110"/>
              <w:tabs>
                <w:tab w:val="left" w:pos="12600"/>
              </w:tabs>
              <w:jc w:val="center"/>
              <w:rPr>
                <w:rFonts w:ascii="Arial" w:hAnsi="Arial" w:cs="Arial"/>
                <w:sz w:val="16"/>
                <w:szCs w:val="16"/>
              </w:rPr>
            </w:pPr>
            <w:r w:rsidRPr="00CE433C">
              <w:rPr>
                <w:rFonts w:ascii="Arial" w:hAnsi="Arial" w:cs="Arial"/>
                <w:sz w:val="16"/>
                <w:szCs w:val="16"/>
              </w:rPr>
              <w:t>UA/6216/01/02</w:t>
            </w:r>
          </w:p>
        </w:tc>
      </w:tr>
    </w:tbl>
    <w:p w:rsidR="00E24DB9" w:rsidRPr="00CE433C" w:rsidRDefault="00E24DB9" w:rsidP="00E24DB9"/>
    <w:p w:rsidR="00E24DB9" w:rsidRPr="00CE433C" w:rsidRDefault="00E24DB9" w:rsidP="00E24DB9">
      <w:pPr>
        <w:ind w:right="20"/>
        <w:rPr>
          <w:rFonts w:ascii="Arial" w:hAnsi="Arial" w:cs="Arial"/>
          <w:b/>
          <w:i/>
          <w:sz w:val="18"/>
          <w:szCs w:val="18"/>
        </w:rPr>
      </w:pPr>
      <w:r w:rsidRPr="00CE433C">
        <w:rPr>
          <w:rFonts w:ascii="Arial" w:hAnsi="Arial" w:cs="Arial"/>
          <w:b/>
          <w:i/>
          <w:sz w:val="18"/>
          <w:szCs w:val="18"/>
        </w:rPr>
        <w:t>*у разі внесення змін до інструкції про медичне застосування</w:t>
      </w:r>
    </w:p>
    <w:p w:rsidR="00E24DB9" w:rsidRDefault="00E24DB9" w:rsidP="00E24DB9">
      <w:pPr>
        <w:ind w:right="20"/>
        <w:rPr>
          <w:rFonts w:ascii="Arial" w:hAnsi="Arial" w:cs="Arial"/>
          <w:b/>
          <w:i/>
          <w:sz w:val="18"/>
          <w:szCs w:val="18"/>
        </w:rPr>
      </w:pPr>
    </w:p>
    <w:p w:rsidR="00E24DB9" w:rsidRDefault="00E24DB9" w:rsidP="00E24DB9">
      <w:pPr>
        <w:ind w:right="20"/>
        <w:rPr>
          <w:rFonts w:ascii="Arial" w:hAnsi="Arial" w:cs="Arial"/>
          <w:b/>
          <w:i/>
          <w:sz w:val="18"/>
          <w:szCs w:val="18"/>
        </w:rPr>
      </w:pPr>
    </w:p>
    <w:p w:rsidR="00E24DB9" w:rsidRPr="00B855D1" w:rsidRDefault="00E24DB9" w:rsidP="00E24DB9">
      <w:pPr>
        <w:ind w:right="20"/>
        <w:rPr>
          <w:b/>
          <w:sz w:val="28"/>
          <w:szCs w:val="28"/>
        </w:rPr>
      </w:pPr>
      <w:r w:rsidRPr="00B855D1">
        <w:rPr>
          <w:b/>
          <w:sz w:val="28"/>
          <w:szCs w:val="28"/>
        </w:rPr>
        <w:t xml:space="preserve">Начальник </w:t>
      </w:r>
    </w:p>
    <w:p w:rsidR="00E24DB9" w:rsidRPr="00B855D1" w:rsidRDefault="00E24DB9" w:rsidP="00E24DB9">
      <w:pPr>
        <w:ind w:right="20"/>
        <w:rPr>
          <w:b/>
          <w:sz w:val="28"/>
          <w:szCs w:val="28"/>
        </w:rPr>
      </w:pPr>
      <w:r w:rsidRPr="00B855D1">
        <w:rPr>
          <w:b/>
          <w:sz w:val="28"/>
          <w:szCs w:val="28"/>
        </w:rPr>
        <w:t xml:space="preserve">Фармацевтичного управління                            </w:t>
      </w:r>
      <w:r>
        <w:rPr>
          <w:b/>
          <w:sz w:val="28"/>
          <w:szCs w:val="28"/>
        </w:rPr>
        <w:t xml:space="preserve">                                                                           </w:t>
      </w:r>
      <w:r w:rsidRPr="00B855D1">
        <w:rPr>
          <w:b/>
          <w:sz w:val="28"/>
          <w:szCs w:val="28"/>
        </w:rPr>
        <w:t xml:space="preserve">   Тарас ЛЯСКОВСЬКИЙ</w:t>
      </w:r>
    </w:p>
    <w:p w:rsidR="00E24DB9" w:rsidRPr="00CE433C" w:rsidRDefault="00E24DB9" w:rsidP="00E24DB9">
      <w:pPr>
        <w:tabs>
          <w:tab w:val="left" w:pos="1985"/>
        </w:tabs>
      </w:pPr>
    </w:p>
    <w:p w:rsidR="007F3466" w:rsidRDefault="007F3466" w:rsidP="00FC73F7">
      <w:pPr>
        <w:pStyle w:val="31"/>
        <w:spacing w:after="0"/>
        <w:ind w:left="0"/>
        <w:rPr>
          <w:b/>
          <w:sz w:val="28"/>
          <w:szCs w:val="28"/>
          <w:lang w:val="uk-UA"/>
        </w:rPr>
      </w:pPr>
    </w:p>
    <w:sectPr w:rsidR="007F3466" w:rsidSect="004321E0">
      <w:headerReference w:type="default" r:id="rId17"/>
      <w:footerReference w:type="default" r:id="rId18"/>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1E0" w:rsidRDefault="004321E0" w:rsidP="00B217C6">
      <w:r>
        <w:separator/>
      </w:r>
    </w:p>
  </w:endnote>
  <w:endnote w:type="continuationSeparator" w:id="0">
    <w:p w:rsidR="004321E0" w:rsidRDefault="004321E0"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E0" w:rsidRDefault="004321E0">
    <w:pPr>
      <w:pStyle w:val="a5"/>
    </w:pPr>
  </w:p>
  <w:p w:rsidR="004321E0" w:rsidRDefault="004321E0">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E0" w:rsidRDefault="004321E0">
    <w:pPr>
      <w:pStyle w:val="a5"/>
    </w:pPr>
  </w:p>
  <w:p w:rsidR="004321E0" w:rsidRDefault="004321E0">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E0" w:rsidRDefault="004321E0">
    <w:pPr>
      <w:pStyle w:val="a5"/>
    </w:pPr>
  </w:p>
  <w:p w:rsidR="004321E0" w:rsidRDefault="004321E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1E0" w:rsidRDefault="004321E0" w:rsidP="00B217C6">
      <w:r>
        <w:separator/>
      </w:r>
    </w:p>
  </w:footnote>
  <w:footnote w:type="continuationSeparator" w:id="0">
    <w:p w:rsidR="004321E0" w:rsidRDefault="004321E0"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0620ED">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E0" w:rsidRDefault="004321E0" w:rsidP="004321E0">
    <w:pPr>
      <w:pStyle w:val="a3"/>
      <w:tabs>
        <w:tab w:val="center" w:pos="7313"/>
        <w:tab w:val="left" w:pos="11745"/>
      </w:tabs>
    </w:pPr>
    <w:r>
      <w:tab/>
    </w:r>
    <w:r>
      <w:tab/>
    </w:r>
  </w:p>
  <w:p w:rsidR="004321E0" w:rsidRDefault="004321E0" w:rsidP="004321E0">
    <w:pPr>
      <w:pStyle w:val="a3"/>
      <w:tabs>
        <w:tab w:val="center" w:pos="7313"/>
        <w:tab w:val="left" w:pos="11745"/>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E0" w:rsidRDefault="004321E0" w:rsidP="004321E0">
    <w:pPr>
      <w:pStyle w:val="a3"/>
      <w:tabs>
        <w:tab w:val="center" w:pos="7313"/>
        <w:tab w:val="left" w:pos="11505"/>
      </w:tabs>
    </w:pPr>
    <w:r>
      <w:tab/>
    </w:r>
    <w:r>
      <w:tab/>
    </w:r>
    <w:r>
      <w:fldChar w:fldCharType="begin"/>
    </w:r>
    <w:r>
      <w:instrText>PAGE   \* MERGEFORMAT</w:instrText>
    </w:r>
    <w:r>
      <w:fldChar w:fldCharType="separate"/>
    </w:r>
    <w:r w:rsidR="0017653F">
      <w:rPr>
        <w:noProof/>
      </w:rPr>
      <w:t>11</w:t>
    </w:r>
    <w:r>
      <w:fldChar w:fldCharType="end"/>
    </w:r>
  </w:p>
  <w:p w:rsidR="00533747" w:rsidRDefault="00533747" w:rsidP="004321E0">
    <w:pPr>
      <w:pStyle w:val="a3"/>
      <w:tabs>
        <w:tab w:val="center" w:pos="7313"/>
        <w:tab w:val="left" w:pos="11505"/>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E0" w:rsidRDefault="004321E0" w:rsidP="004321E0">
    <w:pPr>
      <w:pStyle w:val="a3"/>
      <w:tabs>
        <w:tab w:val="center" w:pos="7313"/>
        <w:tab w:val="left" w:pos="11880"/>
      </w:tabs>
    </w:pPr>
    <w:r>
      <w:tab/>
    </w:r>
    <w:r>
      <w:tab/>
    </w:r>
    <w:r>
      <w:fldChar w:fldCharType="begin"/>
    </w:r>
    <w:r>
      <w:instrText>PAGE   \* MERGEFORMAT</w:instrText>
    </w:r>
    <w:r>
      <w:fldChar w:fldCharType="separate"/>
    </w:r>
    <w:r w:rsidR="0017653F">
      <w:rPr>
        <w:noProof/>
      </w:rPr>
      <w:t>160</w:t>
    </w:r>
    <w:r>
      <w:fldChar w:fldCharType="end"/>
    </w:r>
  </w:p>
  <w:p w:rsidR="0017653F" w:rsidRDefault="0017653F" w:rsidP="004321E0">
    <w:pPr>
      <w:pStyle w:val="a3"/>
      <w:tabs>
        <w:tab w:val="center" w:pos="7313"/>
        <w:tab w:val="left" w:pos="1188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1"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2"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3"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4"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5"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6"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8"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9"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0"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11" w15:restartNumberingAfterBreak="0">
    <w:nsid w:val="37A750A0"/>
    <w:multiLevelType w:val="hybridMultilevel"/>
    <w:tmpl w:val="E5B6F256"/>
    <w:lvl w:ilvl="0" w:tplc="ED044F2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1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15"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277B96"/>
    <w:multiLevelType w:val="multilevel"/>
    <w:tmpl w:val="67E08C7C"/>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8"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19" w15:restartNumberingAfterBreak="0">
    <w:nsid w:val="611540F8"/>
    <w:multiLevelType w:val="hybridMultilevel"/>
    <w:tmpl w:val="00BED906"/>
    <w:lvl w:ilvl="0" w:tplc="2140F94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21"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22"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6"/>
  </w:num>
  <w:num w:numId="2">
    <w:abstractNumId w:val="17"/>
  </w:num>
  <w:num w:numId="3">
    <w:abstractNumId w:val="13"/>
  </w:num>
  <w:num w:numId="4">
    <w:abstractNumId w:val="19"/>
  </w:num>
  <w:num w:numId="5">
    <w:abstractNumId w:val="11"/>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1"/>
  </w:num>
  <w:num w:numId="12">
    <w:abstractNumId w:val="2"/>
  </w:num>
  <w:num w:numId="13">
    <w:abstractNumId w:val="23"/>
  </w:num>
  <w:num w:numId="14">
    <w:abstractNumId w:val="21"/>
  </w:num>
  <w:num w:numId="15">
    <w:abstractNumId w:val="0"/>
  </w:num>
  <w:num w:numId="16">
    <w:abstractNumId w:val="3"/>
  </w:num>
  <w:num w:numId="17">
    <w:abstractNumId w:val="5"/>
  </w:num>
  <w:num w:numId="18">
    <w:abstractNumId w:val="10"/>
  </w:num>
  <w:num w:numId="19">
    <w:abstractNumId w:val="14"/>
  </w:num>
  <w:num w:numId="20">
    <w:abstractNumId w:val="12"/>
  </w:num>
  <w:num w:numId="21">
    <w:abstractNumId w:val="4"/>
  </w:num>
  <w:num w:numId="22">
    <w:abstractNumId w:val="20"/>
  </w:num>
  <w:num w:numId="23">
    <w:abstractNumId w:val="18"/>
  </w:num>
  <w:num w:numId="24">
    <w:abstractNumId w:val="1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20ED"/>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7653F"/>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2C9"/>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3C9A"/>
    <w:rsid w:val="00265164"/>
    <w:rsid w:val="00266BB1"/>
    <w:rsid w:val="002674D8"/>
    <w:rsid w:val="00270856"/>
    <w:rsid w:val="00271E39"/>
    <w:rsid w:val="00273437"/>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21E0"/>
    <w:rsid w:val="00433379"/>
    <w:rsid w:val="00433C52"/>
    <w:rsid w:val="00433EDF"/>
    <w:rsid w:val="004342E4"/>
    <w:rsid w:val="0043553E"/>
    <w:rsid w:val="00437D4A"/>
    <w:rsid w:val="0044024F"/>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3747"/>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7323"/>
    <w:rsid w:val="005F1774"/>
    <w:rsid w:val="005F3D3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1587"/>
    <w:rsid w:val="00882986"/>
    <w:rsid w:val="00882B19"/>
    <w:rsid w:val="008866DB"/>
    <w:rsid w:val="00887C96"/>
    <w:rsid w:val="00890B55"/>
    <w:rsid w:val="008933A1"/>
    <w:rsid w:val="00893B0B"/>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1F90"/>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1617E"/>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2C09"/>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56B9"/>
    <w:rsid w:val="00E16389"/>
    <w:rsid w:val="00E2103A"/>
    <w:rsid w:val="00E2446B"/>
    <w:rsid w:val="00E24480"/>
    <w:rsid w:val="00E24DB9"/>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17D5"/>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19B7806-16B4-4BEF-90CE-4235E61B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263C9A"/>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E24DB9"/>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263C9A"/>
    <w:rPr>
      <w:rFonts w:ascii="Calibri Light" w:eastAsia="Times New Roman" w:hAnsi="Calibri Light" w:cs="Times New Roman"/>
      <w:b/>
      <w:bCs/>
      <w:i/>
      <w:iCs/>
      <w:sz w:val="28"/>
      <w:szCs w:val="28"/>
      <w:lang w:val="ru-RU" w:eastAsia="ru-RU"/>
    </w:rPr>
  </w:style>
  <w:style w:type="paragraph" w:customStyle="1" w:styleId="11">
    <w:name w:val="Обычный1"/>
    <w:basedOn w:val="a"/>
    <w:qFormat/>
    <w:rsid w:val="00263C9A"/>
    <w:rPr>
      <w:rFonts w:eastAsia="Times New Roman"/>
      <w:sz w:val="24"/>
      <w:szCs w:val="24"/>
      <w:lang w:val="uk-UA" w:eastAsia="uk-UA"/>
    </w:rPr>
  </w:style>
  <w:style w:type="paragraph" w:customStyle="1" w:styleId="110">
    <w:name w:val="Обычный11"/>
    <w:aliases w:val="Звичайний,Normal"/>
    <w:basedOn w:val="a"/>
    <w:qFormat/>
    <w:rsid w:val="00263C9A"/>
    <w:rPr>
      <w:rFonts w:eastAsia="Times New Roman"/>
      <w:sz w:val="24"/>
      <w:szCs w:val="24"/>
      <w:lang w:val="uk-UA" w:eastAsia="uk-UA"/>
    </w:rPr>
  </w:style>
  <w:style w:type="character" w:customStyle="1" w:styleId="cs7864ebcf1">
    <w:name w:val="cs7864ebcf1"/>
    <w:rsid w:val="00E156B9"/>
    <w:rPr>
      <w:rFonts w:ascii="Times New Roman" w:hAnsi="Times New Roman" w:cs="Times New Roman" w:hint="default"/>
      <w:b/>
      <w:bCs/>
      <w:i w:val="0"/>
      <w:iCs w:val="0"/>
      <w:color w:val="000000"/>
      <w:sz w:val="26"/>
      <w:szCs w:val="26"/>
      <w:shd w:val="clear" w:color="auto" w:fill="auto"/>
    </w:rPr>
  </w:style>
  <w:style w:type="character" w:customStyle="1" w:styleId="60">
    <w:name w:val="Заголовок 6 Знак"/>
    <w:link w:val="6"/>
    <w:uiPriority w:val="9"/>
    <w:rsid w:val="00E24DB9"/>
    <w:rPr>
      <w:rFonts w:ascii="Times New Roman" w:hAnsi="Times New Roman"/>
      <w:b/>
      <w:bCs/>
      <w:sz w:val="22"/>
      <w:szCs w:val="22"/>
    </w:rPr>
  </w:style>
  <w:style w:type="character" w:customStyle="1" w:styleId="40">
    <w:name w:val="Заголовок 4 Знак"/>
    <w:link w:val="4"/>
    <w:rsid w:val="00E24DB9"/>
    <w:rPr>
      <w:rFonts w:ascii="Times New Roman" w:hAnsi="Times New Roman"/>
      <w:b/>
      <w:bCs/>
      <w:sz w:val="28"/>
      <w:szCs w:val="28"/>
      <w:lang w:val="ru-RU" w:eastAsia="ru-RU"/>
    </w:rPr>
  </w:style>
  <w:style w:type="paragraph" w:customStyle="1" w:styleId="msolistparagraph0">
    <w:name w:val="msolistparagraph"/>
    <w:basedOn w:val="a"/>
    <w:uiPriority w:val="34"/>
    <w:qFormat/>
    <w:rsid w:val="00E24DB9"/>
    <w:pPr>
      <w:ind w:left="720"/>
      <w:contextualSpacing/>
    </w:pPr>
    <w:rPr>
      <w:rFonts w:eastAsia="Times New Roman"/>
      <w:sz w:val="24"/>
      <w:szCs w:val="24"/>
      <w:lang w:val="uk-UA" w:eastAsia="uk-UA"/>
    </w:rPr>
  </w:style>
  <w:style w:type="paragraph" w:customStyle="1" w:styleId="Encryption">
    <w:name w:val="Encryption"/>
    <w:basedOn w:val="a"/>
    <w:qFormat/>
    <w:rsid w:val="00E24DB9"/>
    <w:pPr>
      <w:jc w:val="both"/>
    </w:pPr>
    <w:rPr>
      <w:rFonts w:eastAsia="Times New Roman"/>
      <w:b/>
      <w:bCs/>
      <w:i/>
      <w:iCs/>
      <w:sz w:val="24"/>
      <w:szCs w:val="24"/>
      <w:lang w:val="uk-UA" w:eastAsia="uk-UA"/>
    </w:rPr>
  </w:style>
  <w:style w:type="character" w:customStyle="1" w:styleId="Heading2Char">
    <w:name w:val="Heading 2 Char"/>
    <w:link w:val="21"/>
    <w:locked/>
    <w:rsid w:val="00E24DB9"/>
    <w:rPr>
      <w:rFonts w:ascii="Arial" w:eastAsia="Times New Roman" w:hAnsi="Arial"/>
      <w:b/>
      <w:caps/>
      <w:sz w:val="16"/>
      <w:lang w:val="ru-RU" w:eastAsia="ru-RU"/>
    </w:rPr>
  </w:style>
  <w:style w:type="paragraph" w:customStyle="1" w:styleId="21">
    <w:name w:val="Заголовок 21"/>
    <w:basedOn w:val="a"/>
    <w:link w:val="Heading2Char"/>
    <w:rsid w:val="00E24DB9"/>
    <w:rPr>
      <w:rFonts w:ascii="Arial" w:eastAsia="Times New Roman" w:hAnsi="Arial"/>
      <w:b/>
      <w:caps/>
      <w:sz w:val="16"/>
    </w:rPr>
  </w:style>
  <w:style w:type="character" w:customStyle="1" w:styleId="Heading4Char">
    <w:name w:val="Heading 4 Char"/>
    <w:link w:val="41"/>
    <w:locked/>
    <w:rsid w:val="00E24DB9"/>
    <w:rPr>
      <w:rFonts w:ascii="Arial" w:eastAsia="Times New Roman" w:hAnsi="Arial"/>
      <w:b/>
      <w:lang w:val="ru-RU" w:eastAsia="ru-RU"/>
    </w:rPr>
  </w:style>
  <w:style w:type="paragraph" w:customStyle="1" w:styleId="41">
    <w:name w:val="Заголовок 41"/>
    <w:basedOn w:val="a"/>
    <w:link w:val="Heading4Char"/>
    <w:rsid w:val="00E24DB9"/>
    <w:rPr>
      <w:rFonts w:ascii="Arial" w:eastAsia="Times New Roman" w:hAnsi="Arial"/>
      <w:b/>
    </w:rPr>
  </w:style>
  <w:style w:type="table" w:styleId="a8">
    <w:name w:val="Table Grid"/>
    <w:basedOn w:val="a1"/>
    <w:rsid w:val="00E24DB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E24DB9"/>
    <w:rPr>
      <w:lang w:val="uk-UA"/>
    </w:rPr>
    <w:tblPr>
      <w:tblCellMar>
        <w:top w:w="0" w:type="dxa"/>
        <w:left w:w="108" w:type="dxa"/>
        <w:bottom w:w="0" w:type="dxa"/>
        <w:right w:w="108" w:type="dxa"/>
      </w:tblCellMar>
    </w:tblPr>
  </w:style>
  <w:style w:type="character" w:customStyle="1" w:styleId="csb3e8c9cf24">
    <w:name w:val="csb3e8c9cf24"/>
    <w:rsid w:val="00E24DB9"/>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E24DB9"/>
    <w:rPr>
      <w:rFonts w:ascii="Tahoma" w:eastAsia="Times New Roman" w:hAnsi="Tahoma" w:cs="Tahoma"/>
      <w:sz w:val="16"/>
      <w:szCs w:val="16"/>
    </w:rPr>
  </w:style>
  <w:style w:type="character" w:customStyle="1" w:styleId="aa">
    <w:name w:val="Текст выноски Знак"/>
    <w:link w:val="a9"/>
    <w:uiPriority w:val="99"/>
    <w:semiHidden/>
    <w:rsid w:val="00E24DB9"/>
    <w:rPr>
      <w:rFonts w:ascii="Tahoma" w:eastAsia="Times New Roman" w:hAnsi="Tahoma" w:cs="Tahoma"/>
      <w:sz w:val="16"/>
      <w:szCs w:val="16"/>
      <w:lang w:val="ru-RU" w:eastAsia="ru-RU"/>
    </w:rPr>
  </w:style>
  <w:style w:type="paragraph" w:customStyle="1" w:styleId="BodyTextIndent2">
    <w:name w:val="Body Text Indent2"/>
    <w:basedOn w:val="a"/>
    <w:rsid w:val="00E24DB9"/>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E24DB9"/>
    <w:pPr>
      <w:spacing w:before="120" w:after="120"/>
    </w:pPr>
    <w:rPr>
      <w:rFonts w:ascii="Arial" w:eastAsia="Times New Roman" w:hAnsi="Arial"/>
      <w:sz w:val="18"/>
    </w:rPr>
  </w:style>
  <w:style w:type="character" w:customStyle="1" w:styleId="BodyTextIndentChar">
    <w:name w:val="Body Text Indent Char"/>
    <w:link w:val="12"/>
    <w:locked/>
    <w:rsid w:val="00E24DB9"/>
    <w:rPr>
      <w:rFonts w:ascii="Arial" w:eastAsia="Times New Roman" w:hAnsi="Arial"/>
      <w:sz w:val="18"/>
      <w:lang w:val="ru-RU" w:eastAsia="ru-RU"/>
    </w:rPr>
  </w:style>
  <w:style w:type="character" w:customStyle="1" w:styleId="csab6e076947">
    <w:name w:val="csab6e076947"/>
    <w:rsid w:val="00E24DB9"/>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E24DB9"/>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E24DB9"/>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E24DB9"/>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E24DB9"/>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E24DB9"/>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E24DB9"/>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E24DB9"/>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E24DB9"/>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E24DB9"/>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E24DB9"/>
    <w:rPr>
      <w:rFonts w:eastAsia="Times New Roman"/>
      <w:sz w:val="24"/>
      <w:szCs w:val="24"/>
    </w:rPr>
  </w:style>
  <w:style w:type="character" w:customStyle="1" w:styleId="csab6e076981">
    <w:name w:val="csab6e076981"/>
    <w:rsid w:val="00E24DB9"/>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E24DB9"/>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E24DB9"/>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E24DB9"/>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E24DB9"/>
    <w:rPr>
      <w:rFonts w:ascii="Arial" w:hAnsi="Arial" w:cs="Arial" w:hint="default"/>
      <w:b/>
      <w:bCs/>
      <w:i w:val="0"/>
      <w:iCs w:val="0"/>
      <w:color w:val="000000"/>
      <w:sz w:val="18"/>
      <w:szCs w:val="18"/>
      <w:shd w:val="clear" w:color="auto" w:fill="auto"/>
    </w:rPr>
  </w:style>
  <w:style w:type="character" w:customStyle="1" w:styleId="csab6e076980">
    <w:name w:val="csab6e076980"/>
    <w:rsid w:val="00E24DB9"/>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E24DB9"/>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E24DB9"/>
    <w:rPr>
      <w:rFonts w:ascii="Arial" w:hAnsi="Arial" w:cs="Arial" w:hint="default"/>
      <w:b/>
      <w:bCs/>
      <w:i w:val="0"/>
      <w:iCs w:val="0"/>
      <w:color w:val="000000"/>
      <w:sz w:val="18"/>
      <w:szCs w:val="18"/>
      <w:shd w:val="clear" w:color="auto" w:fill="auto"/>
    </w:rPr>
  </w:style>
  <w:style w:type="character" w:customStyle="1" w:styleId="csab6e076961">
    <w:name w:val="csab6e076961"/>
    <w:rsid w:val="00E24DB9"/>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E24DB9"/>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E24DB9"/>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E24DB9"/>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E24DB9"/>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E24DB9"/>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E24DB9"/>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E24DB9"/>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E24DB9"/>
    <w:rPr>
      <w:rFonts w:ascii="Arial" w:hAnsi="Arial" w:cs="Arial" w:hint="default"/>
      <w:b/>
      <w:bCs/>
      <w:i w:val="0"/>
      <w:iCs w:val="0"/>
      <w:color w:val="000000"/>
      <w:sz w:val="18"/>
      <w:szCs w:val="18"/>
      <w:shd w:val="clear" w:color="auto" w:fill="auto"/>
    </w:rPr>
  </w:style>
  <w:style w:type="character" w:customStyle="1" w:styleId="csab6e0769276">
    <w:name w:val="csab6e0769276"/>
    <w:rsid w:val="00E24DB9"/>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E24DB9"/>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E24DB9"/>
    <w:rPr>
      <w:rFonts w:ascii="Arial" w:hAnsi="Arial" w:cs="Arial" w:hint="default"/>
      <w:b/>
      <w:bCs/>
      <w:i w:val="0"/>
      <w:iCs w:val="0"/>
      <w:color w:val="000000"/>
      <w:sz w:val="18"/>
      <w:szCs w:val="18"/>
      <w:shd w:val="clear" w:color="auto" w:fill="auto"/>
    </w:rPr>
  </w:style>
  <w:style w:type="character" w:customStyle="1" w:styleId="csf229d0ff13">
    <w:name w:val="csf229d0ff13"/>
    <w:rsid w:val="00E24DB9"/>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E24DB9"/>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E24DB9"/>
    <w:rPr>
      <w:rFonts w:ascii="Arial" w:hAnsi="Arial" w:cs="Arial" w:hint="default"/>
      <w:b/>
      <w:bCs/>
      <w:i w:val="0"/>
      <w:iCs w:val="0"/>
      <w:color w:val="000000"/>
      <w:sz w:val="18"/>
      <w:szCs w:val="18"/>
      <w:shd w:val="clear" w:color="auto" w:fill="auto"/>
    </w:rPr>
  </w:style>
  <w:style w:type="character" w:customStyle="1" w:styleId="csafaf5741100">
    <w:name w:val="csafaf5741100"/>
    <w:rsid w:val="00E24DB9"/>
    <w:rPr>
      <w:rFonts w:ascii="Arial" w:hAnsi="Arial" w:cs="Arial" w:hint="default"/>
      <w:b/>
      <w:bCs/>
      <w:i w:val="0"/>
      <w:iCs w:val="0"/>
      <w:color w:val="000000"/>
      <w:sz w:val="18"/>
      <w:szCs w:val="18"/>
      <w:shd w:val="clear" w:color="auto" w:fill="auto"/>
    </w:rPr>
  </w:style>
  <w:style w:type="paragraph" w:styleId="ab">
    <w:name w:val="Body Text Indent"/>
    <w:basedOn w:val="a"/>
    <w:link w:val="ac"/>
    <w:rsid w:val="00E24DB9"/>
    <w:pPr>
      <w:spacing w:after="120"/>
      <w:ind w:left="283"/>
    </w:pPr>
    <w:rPr>
      <w:rFonts w:eastAsia="Times New Roman"/>
      <w:sz w:val="24"/>
      <w:szCs w:val="24"/>
    </w:rPr>
  </w:style>
  <w:style w:type="character" w:customStyle="1" w:styleId="ac">
    <w:name w:val="Основной текст с отступом Знак"/>
    <w:link w:val="ab"/>
    <w:rsid w:val="00E24DB9"/>
    <w:rPr>
      <w:rFonts w:ascii="Times New Roman" w:eastAsia="Times New Roman" w:hAnsi="Times New Roman"/>
      <w:sz w:val="24"/>
      <w:szCs w:val="24"/>
      <w:lang w:val="ru-RU" w:eastAsia="ru-RU"/>
    </w:rPr>
  </w:style>
  <w:style w:type="character" w:customStyle="1" w:styleId="csf229d0ff16">
    <w:name w:val="csf229d0ff16"/>
    <w:rsid w:val="00E24DB9"/>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E24DB9"/>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E24DB9"/>
    <w:pPr>
      <w:spacing w:after="120"/>
    </w:pPr>
    <w:rPr>
      <w:rFonts w:eastAsia="Times New Roman"/>
      <w:sz w:val="16"/>
      <w:szCs w:val="16"/>
      <w:lang w:val="uk-UA" w:eastAsia="uk-UA"/>
    </w:rPr>
  </w:style>
  <w:style w:type="character" w:customStyle="1" w:styleId="34">
    <w:name w:val="Основной текст 3 Знак"/>
    <w:link w:val="33"/>
    <w:rsid w:val="00E24DB9"/>
    <w:rPr>
      <w:rFonts w:ascii="Times New Roman" w:eastAsia="Times New Roman" w:hAnsi="Times New Roman"/>
      <w:sz w:val="16"/>
      <w:szCs w:val="16"/>
      <w:lang w:val="uk-UA" w:eastAsia="uk-UA"/>
    </w:rPr>
  </w:style>
  <w:style w:type="character" w:customStyle="1" w:styleId="csab6e076931">
    <w:name w:val="csab6e076931"/>
    <w:rsid w:val="00E24DB9"/>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E24DB9"/>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E24DB9"/>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E24DB9"/>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E24DB9"/>
    <w:pPr>
      <w:ind w:firstLine="708"/>
      <w:jc w:val="both"/>
    </w:pPr>
    <w:rPr>
      <w:rFonts w:ascii="Arial" w:eastAsia="Times New Roman" w:hAnsi="Arial"/>
      <w:b/>
      <w:sz w:val="18"/>
      <w:lang w:val="uk-UA"/>
    </w:rPr>
  </w:style>
  <w:style w:type="character" w:customStyle="1" w:styleId="csf229d0ff25">
    <w:name w:val="csf229d0ff25"/>
    <w:rsid w:val="00E24DB9"/>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E24DB9"/>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E24DB9"/>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E24DB9"/>
    <w:pPr>
      <w:ind w:firstLine="708"/>
      <w:jc w:val="both"/>
    </w:pPr>
    <w:rPr>
      <w:rFonts w:ascii="Arial" w:eastAsia="Times New Roman" w:hAnsi="Arial"/>
      <w:b/>
      <w:sz w:val="18"/>
      <w:lang w:val="uk-UA" w:eastAsia="uk-UA"/>
    </w:rPr>
  </w:style>
  <w:style w:type="character" w:customStyle="1" w:styleId="cs95e872d01">
    <w:name w:val="cs95e872d01"/>
    <w:rsid w:val="00E24DB9"/>
  </w:style>
  <w:style w:type="paragraph" w:customStyle="1" w:styleId="cse71256d6">
    <w:name w:val="cse71256d6"/>
    <w:basedOn w:val="a"/>
    <w:rsid w:val="00E24DB9"/>
    <w:pPr>
      <w:ind w:left="1440"/>
    </w:pPr>
    <w:rPr>
      <w:rFonts w:eastAsia="Times New Roman"/>
      <w:sz w:val="24"/>
      <w:szCs w:val="24"/>
      <w:lang w:val="uk-UA" w:eastAsia="uk-UA"/>
    </w:rPr>
  </w:style>
  <w:style w:type="character" w:customStyle="1" w:styleId="csb3e8c9cf10">
    <w:name w:val="csb3e8c9cf10"/>
    <w:rsid w:val="00E24DB9"/>
    <w:rPr>
      <w:rFonts w:ascii="Arial" w:hAnsi="Arial" w:cs="Arial" w:hint="default"/>
      <w:b/>
      <w:bCs/>
      <w:i w:val="0"/>
      <w:iCs w:val="0"/>
      <w:color w:val="000000"/>
      <w:sz w:val="18"/>
      <w:szCs w:val="18"/>
      <w:shd w:val="clear" w:color="auto" w:fill="auto"/>
    </w:rPr>
  </w:style>
  <w:style w:type="character" w:customStyle="1" w:styleId="csafaf574127">
    <w:name w:val="csafaf574127"/>
    <w:rsid w:val="00E24DB9"/>
    <w:rPr>
      <w:rFonts w:ascii="Arial" w:hAnsi="Arial" w:cs="Arial" w:hint="default"/>
      <w:b/>
      <w:bCs/>
      <w:i w:val="0"/>
      <w:iCs w:val="0"/>
      <w:color w:val="000000"/>
      <w:sz w:val="18"/>
      <w:szCs w:val="18"/>
      <w:shd w:val="clear" w:color="auto" w:fill="auto"/>
    </w:rPr>
  </w:style>
  <w:style w:type="character" w:customStyle="1" w:styleId="csf229d0ff10">
    <w:name w:val="csf229d0ff10"/>
    <w:rsid w:val="00E24DB9"/>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E24DB9"/>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E24DB9"/>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E24DB9"/>
    <w:rPr>
      <w:rFonts w:ascii="Arial" w:hAnsi="Arial" w:cs="Arial" w:hint="default"/>
      <w:b/>
      <w:bCs/>
      <w:i w:val="0"/>
      <w:iCs w:val="0"/>
      <w:color w:val="000000"/>
      <w:sz w:val="18"/>
      <w:szCs w:val="18"/>
      <w:shd w:val="clear" w:color="auto" w:fill="auto"/>
    </w:rPr>
  </w:style>
  <w:style w:type="character" w:customStyle="1" w:styleId="csafaf5741106">
    <w:name w:val="csafaf5741106"/>
    <w:rsid w:val="00E24DB9"/>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E24DB9"/>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E24DB9"/>
    <w:pPr>
      <w:ind w:firstLine="708"/>
      <w:jc w:val="both"/>
    </w:pPr>
    <w:rPr>
      <w:rFonts w:ascii="Arial" w:eastAsia="Times New Roman" w:hAnsi="Arial"/>
      <w:b/>
      <w:sz w:val="18"/>
      <w:lang w:val="uk-UA" w:eastAsia="uk-UA"/>
    </w:rPr>
  </w:style>
  <w:style w:type="character" w:customStyle="1" w:styleId="csafaf5741216">
    <w:name w:val="csafaf5741216"/>
    <w:rsid w:val="00E24DB9"/>
    <w:rPr>
      <w:rFonts w:ascii="Arial" w:hAnsi="Arial" w:cs="Arial" w:hint="default"/>
      <w:b/>
      <w:bCs/>
      <w:i w:val="0"/>
      <w:iCs w:val="0"/>
      <w:color w:val="000000"/>
      <w:sz w:val="18"/>
      <w:szCs w:val="18"/>
      <w:shd w:val="clear" w:color="auto" w:fill="auto"/>
    </w:rPr>
  </w:style>
  <w:style w:type="character" w:customStyle="1" w:styleId="csf229d0ff19">
    <w:name w:val="csf229d0ff19"/>
    <w:rsid w:val="00E24DB9"/>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E24DB9"/>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E24DB9"/>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E24DB9"/>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E24DB9"/>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E24DB9"/>
    <w:pPr>
      <w:ind w:firstLine="708"/>
      <w:jc w:val="both"/>
    </w:pPr>
    <w:rPr>
      <w:rFonts w:ascii="Arial" w:eastAsia="Times New Roman" w:hAnsi="Arial"/>
      <w:b/>
      <w:sz w:val="18"/>
      <w:lang w:val="uk-UA" w:eastAsia="uk-UA"/>
    </w:rPr>
  </w:style>
  <w:style w:type="character" w:customStyle="1" w:styleId="csf229d0ff14">
    <w:name w:val="csf229d0ff14"/>
    <w:rsid w:val="00E24DB9"/>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E24DB9"/>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E24DB9"/>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E24DB9"/>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E24DB9"/>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E24DB9"/>
    <w:pPr>
      <w:ind w:firstLine="708"/>
      <w:jc w:val="both"/>
    </w:pPr>
    <w:rPr>
      <w:rFonts w:ascii="Arial" w:eastAsia="Times New Roman" w:hAnsi="Arial"/>
      <w:b/>
      <w:sz w:val="18"/>
      <w:lang w:val="uk-UA" w:eastAsia="uk-UA"/>
    </w:rPr>
  </w:style>
  <w:style w:type="character" w:customStyle="1" w:styleId="csab6e0769225">
    <w:name w:val="csab6e0769225"/>
    <w:rsid w:val="00E24DB9"/>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E24DB9"/>
    <w:pPr>
      <w:ind w:firstLine="708"/>
      <w:jc w:val="both"/>
    </w:pPr>
    <w:rPr>
      <w:rFonts w:ascii="Arial" w:eastAsia="Times New Roman" w:hAnsi="Arial"/>
      <w:b/>
      <w:sz w:val="18"/>
      <w:lang w:val="uk-UA" w:eastAsia="uk-UA"/>
    </w:rPr>
  </w:style>
  <w:style w:type="character" w:customStyle="1" w:styleId="csb3e8c9cf3">
    <w:name w:val="csb3e8c9cf3"/>
    <w:rsid w:val="00E24DB9"/>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E24DB9"/>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E24DB9"/>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E24DB9"/>
    <w:pPr>
      <w:ind w:firstLine="708"/>
      <w:jc w:val="both"/>
    </w:pPr>
    <w:rPr>
      <w:rFonts w:ascii="Arial" w:eastAsia="Times New Roman" w:hAnsi="Arial"/>
      <w:b/>
      <w:sz w:val="18"/>
      <w:lang w:val="uk-UA" w:eastAsia="uk-UA"/>
    </w:rPr>
  </w:style>
  <w:style w:type="character" w:customStyle="1" w:styleId="csb86c8cfe1">
    <w:name w:val="csb86c8cfe1"/>
    <w:rsid w:val="00E24DB9"/>
    <w:rPr>
      <w:rFonts w:ascii="Times New Roman" w:hAnsi="Times New Roman" w:cs="Times New Roman" w:hint="default"/>
      <w:b/>
      <w:bCs/>
      <w:i w:val="0"/>
      <w:iCs w:val="0"/>
      <w:color w:val="000000"/>
      <w:sz w:val="24"/>
      <w:szCs w:val="24"/>
    </w:rPr>
  </w:style>
  <w:style w:type="character" w:customStyle="1" w:styleId="csf229d0ff21">
    <w:name w:val="csf229d0ff21"/>
    <w:rsid w:val="00E24D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E24DB9"/>
    <w:pPr>
      <w:ind w:firstLine="708"/>
      <w:jc w:val="both"/>
    </w:pPr>
    <w:rPr>
      <w:rFonts w:ascii="Arial" w:eastAsia="Times New Roman" w:hAnsi="Arial"/>
      <w:b/>
      <w:sz w:val="18"/>
      <w:lang w:val="uk-UA" w:eastAsia="uk-UA"/>
    </w:rPr>
  </w:style>
  <w:style w:type="character" w:customStyle="1" w:styleId="csf229d0ff26">
    <w:name w:val="csf229d0ff26"/>
    <w:rsid w:val="00E24DB9"/>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E24DB9"/>
    <w:pPr>
      <w:jc w:val="both"/>
    </w:pPr>
    <w:rPr>
      <w:rFonts w:ascii="Arial" w:eastAsia="Times New Roman" w:hAnsi="Arial"/>
      <w:sz w:val="24"/>
      <w:szCs w:val="24"/>
      <w:lang w:val="uk-UA" w:eastAsia="uk-UA"/>
    </w:rPr>
  </w:style>
  <w:style w:type="character" w:customStyle="1" w:styleId="cs8c2cf3831">
    <w:name w:val="cs8c2cf3831"/>
    <w:rsid w:val="00E24DB9"/>
    <w:rPr>
      <w:rFonts w:ascii="Arial" w:hAnsi="Arial" w:cs="Arial" w:hint="default"/>
      <w:b/>
      <w:bCs/>
      <w:i/>
      <w:iCs/>
      <w:color w:val="102B56"/>
      <w:sz w:val="18"/>
      <w:szCs w:val="18"/>
      <w:shd w:val="clear" w:color="auto" w:fill="auto"/>
    </w:rPr>
  </w:style>
  <w:style w:type="character" w:customStyle="1" w:styleId="csd71f5e5a1">
    <w:name w:val="csd71f5e5a1"/>
    <w:rsid w:val="00E24DB9"/>
    <w:rPr>
      <w:rFonts w:ascii="Arial" w:hAnsi="Arial" w:cs="Arial" w:hint="default"/>
      <w:b w:val="0"/>
      <w:bCs w:val="0"/>
      <w:i/>
      <w:iCs/>
      <w:color w:val="102B56"/>
      <w:sz w:val="18"/>
      <w:szCs w:val="18"/>
      <w:shd w:val="clear" w:color="auto" w:fill="auto"/>
    </w:rPr>
  </w:style>
  <w:style w:type="character" w:customStyle="1" w:styleId="cs8f6c24af1">
    <w:name w:val="cs8f6c24af1"/>
    <w:rsid w:val="00E24DB9"/>
    <w:rPr>
      <w:rFonts w:ascii="Arial" w:hAnsi="Arial" w:cs="Arial" w:hint="default"/>
      <w:b/>
      <w:bCs/>
      <w:i w:val="0"/>
      <w:iCs w:val="0"/>
      <w:color w:val="102B56"/>
      <w:sz w:val="18"/>
      <w:szCs w:val="18"/>
      <w:shd w:val="clear" w:color="auto" w:fill="auto"/>
    </w:rPr>
  </w:style>
  <w:style w:type="character" w:customStyle="1" w:styleId="csa5a0f5421">
    <w:name w:val="csa5a0f5421"/>
    <w:rsid w:val="00E24DB9"/>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E24DB9"/>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E24DB9"/>
    <w:pPr>
      <w:ind w:firstLine="708"/>
      <w:jc w:val="both"/>
    </w:pPr>
    <w:rPr>
      <w:rFonts w:ascii="Arial" w:eastAsia="Times New Roman" w:hAnsi="Arial"/>
      <w:b/>
      <w:sz w:val="18"/>
      <w:lang w:val="uk-UA" w:eastAsia="uk-UA"/>
    </w:rPr>
  </w:style>
  <w:style w:type="character" w:styleId="ad">
    <w:name w:val="line number"/>
    <w:uiPriority w:val="99"/>
    <w:rsid w:val="00E24DB9"/>
    <w:rPr>
      <w:rFonts w:ascii="Segoe UI" w:hAnsi="Segoe UI" w:cs="Segoe UI"/>
      <w:color w:val="000000"/>
      <w:sz w:val="18"/>
      <w:szCs w:val="18"/>
    </w:rPr>
  </w:style>
  <w:style w:type="character" w:styleId="ae">
    <w:name w:val="Hyperlink"/>
    <w:uiPriority w:val="99"/>
    <w:rsid w:val="00E24DB9"/>
    <w:rPr>
      <w:rFonts w:ascii="Segoe UI" w:hAnsi="Segoe UI" w:cs="Segoe UI"/>
      <w:color w:val="0000FF"/>
      <w:sz w:val="18"/>
      <w:szCs w:val="18"/>
      <w:u w:val="single"/>
    </w:rPr>
  </w:style>
  <w:style w:type="paragraph" w:customStyle="1" w:styleId="23">
    <w:name w:val="Основной текст с отступом23"/>
    <w:basedOn w:val="a"/>
    <w:rsid w:val="00E24DB9"/>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E24DB9"/>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E24DB9"/>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E24DB9"/>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E24DB9"/>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E24DB9"/>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E24DB9"/>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E24DB9"/>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E24DB9"/>
    <w:pPr>
      <w:ind w:firstLine="708"/>
      <w:jc w:val="both"/>
    </w:pPr>
    <w:rPr>
      <w:rFonts w:ascii="Arial" w:eastAsia="Times New Roman" w:hAnsi="Arial"/>
      <w:b/>
      <w:sz w:val="18"/>
      <w:lang w:val="uk-UA" w:eastAsia="uk-UA"/>
    </w:rPr>
  </w:style>
  <w:style w:type="character" w:customStyle="1" w:styleId="csa939b0971">
    <w:name w:val="csa939b0971"/>
    <w:rsid w:val="00E24DB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E24DB9"/>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E24DB9"/>
    <w:pPr>
      <w:ind w:firstLine="708"/>
      <w:jc w:val="both"/>
    </w:pPr>
    <w:rPr>
      <w:rFonts w:ascii="Arial" w:eastAsia="Times New Roman" w:hAnsi="Arial"/>
      <w:b/>
      <w:sz w:val="18"/>
      <w:lang w:val="uk-UA" w:eastAsia="uk-UA"/>
    </w:rPr>
  </w:style>
  <w:style w:type="character" w:styleId="af">
    <w:name w:val="annotation reference"/>
    <w:semiHidden/>
    <w:unhideWhenUsed/>
    <w:rsid w:val="00E24DB9"/>
    <w:rPr>
      <w:sz w:val="16"/>
      <w:szCs w:val="16"/>
    </w:rPr>
  </w:style>
  <w:style w:type="paragraph" w:styleId="af0">
    <w:name w:val="annotation text"/>
    <w:basedOn w:val="a"/>
    <w:link w:val="af1"/>
    <w:semiHidden/>
    <w:unhideWhenUsed/>
    <w:rsid w:val="00E24DB9"/>
    <w:rPr>
      <w:rFonts w:eastAsia="Times New Roman"/>
      <w:lang w:val="uk-UA" w:eastAsia="uk-UA"/>
    </w:rPr>
  </w:style>
  <w:style w:type="character" w:customStyle="1" w:styleId="af1">
    <w:name w:val="Текст примечания Знак"/>
    <w:link w:val="af0"/>
    <w:semiHidden/>
    <w:rsid w:val="00E24DB9"/>
    <w:rPr>
      <w:rFonts w:ascii="Times New Roman" w:eastAsia="Times New Roman" w:hAnsi="Times New Roman"/>
      <w:lang w:val="uk-UA" w:eastAsia="uk-UA"/>
    </w:rPr>
  </w:style>
  <w:style w:type="paragraph" w:styleId="af2">
    <w:name w:val="annotation subject"/>
    <w:basedOn w:val="af0"/>
    <w:next w:val="af0"/>
    <w:link w:val="af3"/>
    <w:semiHidden/>
    <w:unhideWhenUsed/>
    <w:rsid w:val="00E24DB9"/>
    <w:rPr>
      <w:b/>
      <w:bCs/>
    </w:rPr>
  </w:style>
  <w:style w:type="character" w:customStyle="1" w:styleId="af3">
    <w:name w:val="Тема примечания Знак"/>
    <w:link w:val="af2"/>
    <w:semiHidden/>
    <w:rsid w:val="00E24DB9"/>
    <w:rPr>
      <w:rFonts w:ascii="Times New Roman" w:eastAsia="Times New Roman" w:hAnsi="Times New Roman"/>
      <w:b/>
      <w:bCs/>
      <w:lang w:val="uk-UA" w:eastAsia="uk-UA"/>
    </w:rPr>
  </w:style>
  <w:style w:type="paragraph" w:styleId="af4">
    <w:name w:val="Revision"/>
    <w:hidden/>
    <w:uiPriority w:val="99"/>
    <w:semiHidden/>
    <w:rsid w:val="00E24DB9"/>
    <w:rPr>
      <w:rFonts w:ascii="Times New Roman" w:eastAsia="Times New Roman" w:hAnsi="Times New Roman"/>
      <w:sz w:val="24"/>
      <w:szCs w:val="24"/>
      <w:lang w:val="uk-UA" w:eastAsia="uk-UA"/>
    </w:rPr>
  </w:style>
  <w:style w:type="character" w:customStyle="1" w:styleId="csb3e8c9cf69">
    <w:name w:val="csb3e8c9cf69"/>
    <w:rsid w:val="00E24DB9"/>
    <w:rPr>
      <w:rFonts w:ascii="Arial" w:hAnsi="Arial" w:cs="Arial" w:hint="default"/>
      <w:b/>
      <w:bCs/>
      <w:i w:val="0"/>
      <w:iCs w:val="0"/>
      <w:color w:val="000000"/>
      <w:sz w:val="18"/>
      <w:szCs w:val="18"/>
      <w:shd w:val="clear" w:color="auto" w:fill="auto"/>
    </w:rPr>
  </w:style>
  <w:style w:type="character" w:customStyle="1" w:styleId="csf229d0ff64">
    <w:name w:val="csf229d0ff64"/>
    <w:rsid w:val="00E24DB9"/>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E24DB9"/>
    <w:rPr>
      <w:rFonts w:ascii="Arial" w:eastAsia="Times New Roman" w:hAnsi="Arial"/>
      <w:sz w:val="24"/>
      <w:szCs w:val="24"/>
      <w:lang w:val="uk-UA" w:eastAsia="uk-UA"/>
    </w:rPr>
  </w:style>
  <w:style w:type="character" w:customStyle="1" w:styleId="csd398459525">
    <w:name w:val="csd398459525"/>
    <w:rsid w:val="00E24DB9"/>
    <w:rPr>
      <w:rFonts w:ascii="Arial" w:hAnsi="Arial" w:cs="Arial" w:hint="default"/>
      <w:b/>
      <w:bCs/>
      <w:i/>
      <w:iCs/>
      <w:color w:val="000000"/>
      <w:sz w:val="18"/>
      <w:szCs w:val="18"/>
      <w:u w:val="single"/>
      <w:shd w:val="clear" w:color="auto" w:fill="auto"/>
    </w:rPr>
  </w:style>
  <w:style w:type="character" w:customStyle="1" w:styleId="csd3c90d4325">
    <w:name w:val="csd3c90d4325"/>
    <w:rsid w:val="00E24DB9"/>
    <w:rPr>
      <w:rFonts w:ascii="Arial" w:hAnsi="Arial" w:cs="Arial" w:hint="default"/>
      <w:b w:val="0"/>
      <w:bCs w:val="0"/>
      <w:i/>
      <w:iCs/>
      <w:color w:val="000000"/>
      <w:sz w:val="18"/>
      <w:szCs w:val="18"/>
      <w:shd w:val="clear" w:color="auto" w:fill="auto"/>
    </w:rPr>
  </w:style>
  <w:style w:type="character" w:customStyle="1" w:styleId="csb86c8cfe3">
    <w:name w:val="csb86c8cfe3"/>
    <w:rsid w:val="00E24DB9"/>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E24DB9"/>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E24DB9"/>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E24DB9"/>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E24DB9"/>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E24DB9"/>
    <w:pPr>
      <w:ind w:firstLine="708"/>
      <w:jc w:val="both"/>
    </w:pPr>
    <w:rPr>
      <w:rFonts w:ascii="Arial" w:eastAsia="Times New Roman" w:hAnsi="Arial"/>
      <w:b/>
      <w:sz w:val="18"/>
      <w:lang w:val="uk-UA" w:eastAsia="uk-UA"/>
    </w:rPr>
  </w:style>
  <w:style w:type="character" w:customStyle="1" w:styleId="csab6e076977">
    <w:name w:val="csab6e076977"/>
    <w:rsid w:val="00E24DB9"/>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E24DB9"/>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E24DB9"/>
    <w:rPr>
      <w:rFonts w:ascii="Arial" w:hAnsi="Arial" w:cs="Arial" w:hint="default"/>
      <w:b/>
      <w:bCs/>
      <w:i w:val="0"/>
      <w:iCs w:val="0"/>
      <w:color w:val="000000"/>
      <w:sz w:val="18"/>
      <w:szCs w:val="18"/>
      <w:shd w:val="clear" w:color="auto" w:fill="auto"/>
    </w:rPr>
  </w:style>
  <w:style w:type="character" w:customStyle="1" w:styleId="cs607602ac2">
    <w:name w:val="cs607602ac2"/>
    <w:rsid w:val="00E24DB9"/>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E24DB9"/>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E24DB9"/>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E24DB9"/>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E24DB9"/>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E24DB9"/>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E24DB9"/>
    <w:pPr>
      <w:ind w:firstLine="708"/>
      <w:jc w:val="both"/>
    </w:pPr>
    <w:rPr>
      <w:rFonts w:ascii="Arial" w:eastAsia="Times New Roman" w:hAnsi="Arial"/>
      <w:b/>
      <w:sz w:val="18"/>
      <w:lang w:val="uk-UA" w:eastAsia="uk-UA"/>
    </w:rPr>
  </w:style>
  <w:style w:type="character" w:customStyle="1" w:styleId="csab6e0769291">
    <w:name w:val="csab6e0769291"/>
    <w:rsid w:val="00E24DB9"/>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E24DB9"/>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E24DB9"/>
    <w:pPr>
      <w:ind w:firstLine="708"/>
      <w:jc w:val="both"/>
    </w:pPr>
    <w:rPr>
      <w:rFonts w:ascii="Arial" w:eastAsia="Times New Roman" w:hAnsi="Arial"/>
      <w:b/>
      <w:sz w:val="18"/>
      <w:lang w:val="uk-UA" w:eastAsia="uk-UA"/>
    </w:rPr>
  </w:style>
  <w:style w:type="character" w:customStyle="1" w:styleId="csf562b92915">
    <w:name w:val="csf562b92915"/>
    <w:rsid w:val="00E24DB9"/>
    <w:rPr>
      <w:rFonts w:ascii="Arial" w:hAnsi="Arial" w:cs="Arial" w:hint="default"/>
      <w:b/>
      <w:bCs/>
      <w:i/>
      <w:iCs/>
      <w:color w:val="000000"/>
      <w:sz w:val="18"/>
      <w:szCs w:val="18"/>
      <w:shd w:val="clear" w:color="auto" w:fill="auto"/>
    </w:rPr>
  </w:style>
  <w:style w:type="character" w:customStyle="1" w:styleId="cseed234731">
    <w:name w:val="cseed234731"/>
    <w:rsid w:val="00E24DB9"/>
    <w:rPr>
      <w:rFonts w:ascii="Arial" w:hAnsi="Arial" w:cs="Arial" w:hint="default"/>
      <w:b/>
      <w:bCs/>
      <w:i/>
      <w:iCs/>
      <w:color w:val="000000"/>
      <w:sz w:val="12"/>
      <w:szCs w:val="12"/>
      <w:shd w:val="clear" w:color="auto" w:fill="auto"/>
    </w:rPr>
  </w:style>
  <w:style w:type="character" w:customStyle="1" w:styleId="csb3e8c9cf35">
    <w:name w:val="csb3e8c9cf35"/>
    <w:rsid w:val="00E24DB9"/>
    <w:rPr>
      <w:rFonts w:ascii="Arial" w:hAnsi="Arial" w:cs="Arial" w:hint="default"/>
      <w:b/>
      <w:bCs/>
      <w:i w:val="0"/>
      <w:iCs w:val="0"/>
      <w:color w:val="000000"/>
      <w:sz w:val="18"/>
      <w:szCs w:val="18"/>
      <w:shd w:val="clear" w:color="auto" w:fill="auto"/>
    </w:rPr>
  </w:style>
  <w:style w:type="character" w:customStyle="1" w:styleId="csb3e8c9cf28">
    <w:name w:val="csb3e8c9cf28"/>
    <w:rsid w:val="00E24DB9"/>
    <w:rPr>
      <w:rFonts w:ascii="Arial" w:hAnsi="Arial" w:cs="Arial" w:hint="default"/>
      <w:b/>
      <w:bCs/>
      <w:i w:val="0"/>
      <w:iCs w:val="0"/>
      <w:color w:val="000000"/>
      <w:sz w:val="18"/>
      <w:szCs w:val="18"/>
      <w:shd w:val="clear" w:color="auto" w:fill="auto"/>
    </w:rPr>
  </w:style>
  <w:style w:type="character" w:customStyle="1" w:styleId="csf562b9296">
    <w:name w:val="csf562b9296"/>
    <w:rsid w:val="00E24DB9"/>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E24DB9"/>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E24DB9"/>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E24DB9"/>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E24DB9"/>
    <w:pPr>
      <w:ind w:firstLine="708"/>
      <w:jc w:val="both"/>
    </w:pPr>
    <w:rPr>
      <w:rFonts w:ascii="Arial" w:eastAsia="Times New Roman" w:hAnsi="Arial"/>
      <w:b/>
      <w:sz w:val="18"/>
      <w:lang w:val="uk-UA" w:eastAsia="uk-UA"/>
    </w:rPr>
  </w:style>
  <w:style w:type="character" w:customStyle="1" w:styleId="csab6e076930">
    <w:name w:val="csab6e076930"/>
    <w:rsid w:val="00E24DB9"/>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E24DB9"/>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E24DB9"/>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E24DB9"/>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E24DB9"/>
    <w:pPr>
      <w:ind w:firstLine="708"/>
      <w:jc w:val="both"/>
    </w:pPr>
    <w:rPr>
      <w:rFonts w:ascii="Arial" w:eastAsia="Times New Roman" w:hAnsi="Arial"/>
      <w:b/>
      <w:sz w:val="18"/>
      <w:lang w:val="uk-UA" w:eastAsia="uk-UA"/>
    </w:rPr>
  </w:style>
  <w:style w:type="paragraph" w:customStyle="1" w:styleId="24">
    <w:name w:val="Обычный2"/>
    <w:rsid w:val="00E24DB9"/>
    <w:rPr>
      <w:rFonts w:ascii="Times New Roman" w:eastAsia="Times New Roman" w:hAnsi="Times New Roman"/>
      <w:sz w:val="24"/>
      <w:lang w:val="uk-UA" w:eastAsia="ru-RU"/>
    </w:rPr>
  </w:style>
  <w:style w:type="paragraph" w:customStyle="1" w:styleId="220">
    <w:name w:val="Основной текст с отступом22"/>
    <w:basedOn w:val="a"/>
    <w:rsid w:val="00E24DB9"/>
    <w:pPr>
      <w:spacing w:before="120" w:after="120"/>
    </w:pPr>
    <w:rPr>
      <w:rFonts w:ascii="Arial" w:eastAsia="Times New Roman" w:hAnsi="Arial"/>
      <w:sz w:val="18"/>
    </w:rPr>
  </w:style>
  <w:style w:type="paragraph" w:customStyle="1" w:styleId="221">
    <w:name w:val="Заголовок 22"/>
    <w:basedOn w:val="a"/>
    <w:rsid w:val="00E24DB9"/>
    <w:rPr>
      <w:rFonts w:ascii="Arial" w:eastAsia="Times New Roman" w:hAnsi="Arial"/>
      <w:b/>
      <w:caps/>
      <w:sz w:val="16"/>
    </w:rPr>
  </w:style>
  <w:style w:type="paragraph" w:customStyle="1" w:styleId="421">
    <w:name w:val="Заголовок 42"/>
    <w:basedOn w:val="a"/>
    <w:rsid w:val="00E24DB9"/>
    <w:rPr>
      <w:rFonts w:ascii="Arial" w:eastAsia="Times New Roman" w:hAnsi="Arial"/>
      <w:b/>
    </w:rPr>
  </w:style>
  <w:style w:type="paragraph" w:customStyle="1" w:styleId="3a">
    <w:name w:val="Обычный3"/>
    <w:rsid w:val="00E24DB9"/>
    <w:rPr>
      <w:rFonts w:ascii="Times New Roman" w:eastAsia="Times New Roman" w:hAnsi="Times New Roman"/>
      <w:sz w:val="24"/>
      <w:lang w:val="uk-UA" w:eastAsia="ru-RU"/>
    </w:rPr>
  </w:style>
  <w:style w:type="paragraph" w:customStyle="1" w:styleId="240">
    <w:name w:val="Основной текст с отступом24"/>
    <w:basedOn w:val="a"/>
    <w:rsid w:val="00E24DB9"/>
    <w:pPr>
      <w:spacing w:before="120" w:after="120"/>
    </w:pPr>
    <w:rPr>
      <w:rFonts w:ascii="Arial" w:eastAsia="Times New Roman" w:hAnsi="Arial"/>
      <w:sz w:val="18"/>
    </w:rPr>
  </w:style>
  <w:style w:type="paragraph" w:customStyle="1" w:styleId="230">
    <w:name w:val="Заголовок 23"/>
    <w:basedOn w:val="a"/>
    <w:rsid w:val="00E24DB9"/>
    <w:rPr>
      <w:rFonts w:ascii="Arial" w:eastAsia="Times New Roman" w:hAnsi="Arial"/>
      <w:b/>
      <w:caps/>
      <w:sz w:val="16"/>
    </w:rPr>
  </w:style>
  <w:style w:type="paragraph" w:customStyle="1" w:styleId="430">
    <w:name w:val="Заголовок 43"/>
    <w:basedOn w:val="a"/>
    <w:rsid w:val="00E24DB9"/>
    <w:rPr>
      <w:rFonts w:ascii="Arial" w:eastAsia="Times New Roman" w:hAnsi="Arial"/>
      <w:b/>
    </w:rPr>
  </w:style>
  <w:style w:type="paragraph" w:customStyle="1" w:styleId="BodyTextIndent">
    <w:name w:val="Body Text Indent"/>
    <w:basedOn w:val="a"/>
    <w:rsid w:val="00E24DB9"/>
    <w:pPr>
      <w:spacing w:before="120" w:after="120"/>
    </w:pPr>
    <w:rPr>
      <w:rFonts w:ascii="Arial" w:eastAsia="Times New Roman" w:hAnsi="Arial"/>
      <w:sz w:val="18"/>
    </w:rPr>
  </w:style>
  <w:style w:type="paragraph" w:customStyle="1" w:styleId="Heading2">
    <w:name w:val="Heading 2"/>
    <w:basedOn w:val="a"/>
    <w:rsid w:val="00E24DB9"/>
    <w:rPr>
      <w:rFonts w:ascii="Arial" w:eastAsia="Times New Roman" w:hAnsi="Arial"/>
      <w:b/>
      <w:caps/>
      <w:sz w:val="16"/>
    </w:rPr>
  </w:style>
  <w:style w:type="paragraph" w:customStyle="1" w:styleId="Heading4">
    <w:name w:val="Heading 4"/>
    <w:basedOn w:val="a"/>
    <w:rsid w:val="00E24DB9"/>
    <w:rPr>
      <w:rFonts w:ascii="Arial" w:eastAsia="Times New Roman" w:hAnsi="Arial"/>
      <w:b/>
    </w:rPr>
  </w:style>
  <w:style w:type="paragraph" w:customStyle="1" w:styleId="62">
    <w:name w:val="Основной текст с отступом62"/>
    <w:basedOn w:val="a"/>
    <w:rsid w:val="00E24DB9"/>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E24DB9"/>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E24DB9"/>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E24DB9"/>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E24DB9"/>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E24DB9"/>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E24DB9"/>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E24DB9"/>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E24DB9"/>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E24DB9"/>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E24DB9"/>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E24DB9"/>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E24DB9"/>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E24DB9"/>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E24DB9"/>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E24DB9"/>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E24DB9"/>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E24DB9"/>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E24DB9"/>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E24DB9"/>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E24DB9"/>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E24DB9"/>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E24DB9"/>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E24DB9"/>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E24DB9"/>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E24DB9"/>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E24DB9"/>
    <w:pPr>
      <w:ind w:firstLine="708"/>
      <w:jc w:val="both"/>
    </w:pPr>
    <w:rPr>
      <w:rFonts w:ascii="Arial" w:eastAsia="Times New Roman" w:hAnsi="Arial"/>
      <w:b/>
      <w:sz w:val="18"/>
      <w:lang w:val="uk-UA" w:eastAsia="uk-UA"/>
    </w:rPr>
  </w:style>
  <w:style w:type="character" w:customStyle="1" w:styleId="csab6e076965">
    <w:name w:val="csab6e076965"/>
    <w:rsid w:val="00E24DB9"/>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E24DB9"/>
    <w:pPr>
      <w:ind w:firstLine="708"/>
      <w:jc w:val="both"/>
    </w:pPr>
    <w:rPr>
      <w:rFonts w:ascii="Arial" w:eastAsia="Times New Roman" w:hAnsi="Arial"/>
      <w:b/>
      <w:sz w:val="18"/>
      <w:lang w:val="uk-UA" w:eastAsia="uk-UA"/>
    </w:rPr>
  </w:style>
  <w:style w:type="character" w:customStyle="1" w:styleId="csf229d0ff33">
    <w:name w:val="csf229d0ff33"/>
    <w:rsid w:val="00E24DB9"/>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E24DB9"/>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E24DB9"/>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E24DB9"/>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E24DB9"/>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E24DB9"/>
    <w:pPr>
      <w:ind w:firstLine="708"/>
      <w:jc w:val="both"/>
    </w:pPr>
    <w:rPr>
      <w:rFonts w:ascii="Arial" w:eastAsia="Times New Roman" w:hAnsi="Arial"/>
      <w:b/>
      <w:sz w:val="18"/>
      <w:lang w:val="uk-UA" w:eastAsia="uk-UA"/>
    </w:rPr>
  </w:style>
  <w:style w:type="character" w:customStyle="1" w:styleId="csab6e076920">
    <w:name w:val="csab6e076920"/>
    <w:rsid w:val="00E24DB9"/>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E24DB9"/>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E24DB9"/>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E24DB9"/>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E24DB9"/>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E24DB9"/>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E24DB9"/>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E24DB9"/>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E24DB9"/>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E24DB9"/>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E24DB9"/>
    <w:pPr>
      <w:ind w:firstLine="708"/>
      <w:jc w:val="both"/>
    </w:pPr>
    <w:rPr>
      <w:rFonts w:ascii="Arial" w:eastAsia="Times New Roman" w:hAnsi="Arial"/>
      <w:b/>
      <w:sz w:val="18"/>
      <w:lang w:val="uk-UA" w:eastAsia="uk-UA"/>
    </w:rPr>
  </w:style>
  <w:style w:type="character" w:customStyle="1" w:styleId="csf229d0ff50">
    <w:name w:val="csf229d0ff50"/>
    <w:rsid w:val="00E24DB9"/>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E24DB9"/>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E24DB9"/>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E24DB9"/>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E24DB9"/>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E24DB9"/>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E24DB9"/>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E24DB9"/>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E24DB9"/>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E24DB9"/>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E24DB9"/>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E24DB9"/>
    <w:pPr>
      <w:ind w:firstLine="708"/>
      <w:jc w:val="both"/>
    </w:pPr>
    <w:rPr>
      <w:rFonts w:ascii="Arial" w:eastAsia="Times New Roman" w:hAnsi="Arial"/>
      <w:b/>
      <w:sz w:val="18"/>
      <w:lang w:val="uk-UA" w:eastAsia="uk-UA"/>
    </w:rPr>
  </w:style>
  <w:style w:type="character" w:customStyle="1" w:styleId="csf229d0ff83">
    <w:name w:val="csf229d0ff83"/>
    <w:rsid w:val="00E24DB9"/>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E24DB9"/>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E24DB9"/>
    <w:pPr>
      <w:ind w:firstLine="708"/>
      <w:jc w:val="both"/>
    </w:pPr>
    <w:rPr>
      <w:rFonts w:ascii="Arial" w:eastAsia="Times New Roman" w:hAnsi="Arial"/>
      <w:b/>
      <w:sz w:val="18"/>
      <w:lang w:val="uk-UA" w:eastAsia="uk-UA"/>
    </w:rPr>
  </w:style>
  <w:style w:type="character" w:customStyle="1" w:styleId="csf229d0ff76">
    <w:name w:val="csf229d0ff76"/>
    <w:rsid w:val="00E24DB9"/>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E24DB9"/>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E24DB9"/>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E24DB9"/>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E24DB9"/>
    <w:pPr>
      <w:ind w:firstLine="708"/>
      <w:jc w:val="both"/>
    </w:pPr>
    <w:rPr>
      <w:rFonts w:ascii="Arial" w:eastAsia="Times New Roman" w:hAnsi="Arial"/>
      <w:b/>
      <w:sz w:val="18"/>
      <w:lang w:val="uk-UA" w:eastAsia="uk-UA"/>
    </w:rPr>
  </w:style>
  <w:style w:type="character" w:customStyle="1" w:styleId="csf229d0ff20">
    <w:name w:val="csf229d0ff20"/>
    <w:rsid w:val="00E24DB9"/>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24DB9"/>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E24DB9"/>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E24DB9"/>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E24DB9"/>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E24DB9"/>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E24DB9"/>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E24DB9"/>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E24DB9"/>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E24DB9"/>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E24DB9"/>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E24DB9"/>
    <w:pPr>
      <w:ind w:firstLine="708"/>
      <w:jc w:val="both"/>
    </w:pPr>
    <w:rPr>
      <w:rFonts w:ascii="Arial" w:eastAsia="Times New Roman" w:hAnsi="Arial"/>
      <w:b/>
      <w:sz w:val="18"/>
      <w:lang w:val="uk-UA" w:eastAsia="uk-UA"/>
    </w:rPr>
  </w:style>
  <w:style w:type="character" w:customStyle="1" w:styleId="csab6e07697">
    <w:name w:val="csab6e07697"/>
    <w:rsid w:val="00E24DB9"/>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24DB9"/>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E24DB9"/>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E24DB9"/>
    <w:pPr>
      <w:ind w:firstLine="708"/>
      <w:jc w:val="both"/>
    </w:pPr>
    <w:rPr>
      <w:rFonts w:ascii="Arial" w:eastAsia="Times New Roman" w:hAnsi="Arial"/>
      <w:b/>
      <w:sz w:val="18"/>
      <w:lang w:val="uk-UA" w:eastAsia="uk-UA"/>
    </w:rPr>
  </w:style>
  <w:style w:type="character" w:customStyle="1" w:styleId="csb3e8c9cf94">
    <w:name w:val="csb3e8c9cf94"/>
    <w:rsid w:val="00E24DB9"/>
    <w:rPr>
      <w:rFonts w:ascii="Arial" w:hAnsi="Arial" w:cs="Arial" w:hint="default"/>
      <w:b/>
      <w:bCs/>
      <w:i w:val="0"/>
      <w:iCs w:val="0"/>
      <w:color w:val="000000"/>
      <w:sz w:val="18"/>
      <w:szCs w:val="18"/>
      <w:shd w:val="clear" w:color="auto" w:fill="auto"/>
    </w:rPr>
  </w:style>
  <w:style w:type="character" w:customStyle="1" w:styleId="csf229d0ff91">
    <w:name w:val="csf229d0ff91"/>
    <w:rsid w:val="00E24DB9"/>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E24DB9"/>
    <w:rPr>
      <w:rFonts w:ascii="Arial" w:eastAsia="Times New Roman" w:hAnsi="Arial"/>
      <w:b/>
      <w:caps/>
      <w:sz w:val="16"/>
      <w:lang w:val="ru-RU" w:eastAsia="ru-RU"/>
    </w:rPr>
  </w:style>
  <w:style w:type="character" w:customStyle="1" w:styleId="411">
    <w:name w:val="Заголовок 4 Знак1"/>
    <w:uiPriority w:val="9"/>
    <w:locked/>
    <w:rsid w:val="00E24DB9"/>
    <w:rPr>
      <w:rFonts w:ascii="Arial" w:eastAsia="Times New Roman" w:hAnsi="Arial"/>
      <w:b/>
      <w:lang w:val="ru-RU" w:eastAsia="ru-RU"/>
    </w:rPr>
  </w:style>
  <w:style w:type="character" w:customStyle="1" w:styleId="csf229d0ff74">
    <w:name w:val="csf229d0ff74"/>
    <w:rsid w:val="00E24DB9"/>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E24DB9"/>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E24DB9"/>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E24DB9"/>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E24DB9"/>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E24DB9"/>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E24DB9"/>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E24DB9"/>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E24DB9"/>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E24DB9"/>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E24DB9"/>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E24DB9"/>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E24DB9"/>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24DB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E24DB9"/>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E24DB9"/>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E24DB9"/>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E24DB9"/>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E24DB9"/>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E24DB9"/>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E24DB9"/>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E24DB9"/>
    <w:rPr>
      <w:rFonts w:ascii="Arial" w:hAnsi="Arial" w:cs="Arial" w:hint="default"/>
      <w:b w:val="0"/>
      <w:bCs w:val="0"/>
      <w:i w:val="0"/>
      <w:iCs w:val="0"/>
      <w:color w:val="000000"/>
      <w:sz w:val="18"/>
      <w:szCs w:val="18"/>
      <w:shd w:val="clear" w:color="auto" w:fill="auto"/>
    </w:rPr>
  </w:style>
  <w:style w:type="character" w:customStyle="1" w:styleId="csba294252">
    <w:name w:val="csba294252"/>
    <w:rsid w:val="00E24DB9"/>
    <w:rPr>
      <w:rFonts w:ascii="Segoe UI" w:hAnsi="Segoe UI" w:cs="Segoe UI" w:hint="default"/>
      <w:b/>
      <w:bCs/>
      <w:i/>
      <w:iCs/>
      <w:color w:val="102B56"/>
      <w:sz w:val="18"/>
      <w:szCs w:val="18"/>
      <w:shd w:val="clear" w:color="auto" w:fill="auto"/>
    </w:rPr>
  </w:style>
  <w:style w:type="character" w:customStyle="1" w:styleId="csf229d0ff131">
    <w:name w:val="csf229d0ff131"/>
    <w:rsid w:val="00E24DB9"/>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E24DB9"/>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E24DB9"/>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E24DB9"/>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24DB9"/>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24DB9"/>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E24DB9"/>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E24DB9"/>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E24DB9"/>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E24DB9"/>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E24DB9"/>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E24DB9"/>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E24DB9"/>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E24DB9"/>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E24DB9"/>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E24DB9"/>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E24DB9"/>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E24DB9"/>
    <w:rPr>
      <w:rFonts w:ascii="Arial" w:hAnsi="Arial" w:cs="Arial" w:hint="default"/>
      <w:b/>
      <w:bCs/>
      <w:i/>
      <w:iCs/>
      <w:color w:val="000000"/>
      <w:sz w:val="18"/>
      <w:szCs w:val="18"/>
      <w:shd w:val="clear" w:color="auto" w:fill="auto"/>
    </w:rPr>
  </w:style>
  <w:style w:type="character" w:customStyle="1" w:styleId="csf229d0ff144">
    <w:name w:val="csf229d0ff144"/>
    <w:rsid w:val="00E24DB9"/>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E24DB9"/>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E24DB9"/>
    <w:rPr>
      <w:rFonts w:ascii="Arial" w:hAnsi="Arial" w:cs="Arial" w:hint="default"/>
      <w:b/>
      <w:bCs/>
      <w:i/>
      <w:iCs/>
      <w:color w:val="000000"/>
      <w:sz w:val="18"/>
      <w:szCs w:val="18"/>
      <w:shd w:val="clear" w:color="auto" w:fill="auto"/>
    </w:rPr>
  </w:style>
  <w:style w:type="character" w:customStyle="1" w:styleId="csf229d0ff122">
    <w:name w:val="csf229d0ff122"/>
    <w:rsid w:val="00E24DB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E24DB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E24DB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E24DB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E24DB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E24DB9"/>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E24DB9"/>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24DB9"/>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E24DB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E24DB9"/>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E24DB9"/>
    <w:rPr>
      <w:rFonts w:ascii="Arial" w:hAnsi="Arial" w:cs="Arial"/>
      <w:sz w:val="18"/>
      <w:szCs w:val="18"/>
      <w:lang w:val="ru-RU"/>
    </w:rPr>
  </w:style>
  <w:style w:type="paragraph" w:customStyle="1" w:styleId="Arial90">
    <w:name w:val="Arial9(без отступов)"/>
    <w:link w:val="Arial9"/>
    <w:semiHidden/>
    <w:rsid w:val="00E24DB9"/>
    <w:pPr>
      <w:ind w:left="-113"/>
    </w:pPr>
    <w:rPr>
      <w:rFonts w:ascii="Arial" w:hAnsi="Arial" w:cs="Arial"/>
      <w:sz w:val="18"/>
      <w:szCs w:val="18"/>
      <w:lang w:val="ru-RU"/>
    </w:rPr>
  </w:style>
  <w:style w:type="character" w:customStyle="1" w:styleId="csf229d0ff178">
    <w:name w:val="csf229d0ff178"/>
    <w:rsid w:val="00E24DB9"/>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E24DB9"/>
    <w:rPr>
      <w:rFonts w:ascii="Arial" w:hAnsi="Arial" w:cs="Arial" w:hint="default"/>
      <w:b/>
      <w:bCs/>
      <w:i w:val="0"/>
      <w:iCs w:val="0"/>
      <w:color w:val="000000"/>
      <w:sz w:val="18"/>
      <w:szCs w:val="18"/>
      <w:shd w:val="clear" w:color="auto" w:fill="auto"/>
    </w:rPr>
  </w:style>
  <w:style w:type="character" w:customStyle="1" w:styleId="csf229d0ff8">
    <w:name w:val="csf229d0ff8"/>
    <w:rsid w:val="00E24DB9"/>
    <w:rPr>
      <w:rFonts w:ascii="Arial" w:hAnsi="Arial" w:cs="Arial" w:hint="default"/>
      <w:b w:val="0"/>
      <w:bCs w:val="0"/>
      <w:i w:val="0"/>
      <w:iCs w:val="0"/>
      <w:color w:val="000000"/>
      <w:sz w:val="18"/>
      <w:szCs w:val="18"/>
      <w:shd w:val="clear" w:color="auto" w:fill="auto"/>
    </w:rPr>
  </w:style>
  <w:style w:type="character" w:customStyle="1" w:styleId="cs9b006263">
    <w:name w:val="cs9b006263"/>
    <w:rsid w:val="00E24DB9"/>
    <w:rPr>
      <w:rFonts w:ascii="Arial" w:hAnsi="Arial" w:cs="Arial" w:hint="default"/>
      <w:b/>
      <w:bCs/>
      <w:i w:val="0"/>
      <w:iCs w:val="0"/>
      <w:color w:val="000000"/>
      <w:sz w:val="20"/>
      <w:szCs w:val="20"/>
      <w:shd w:val="clear" w:color="auto" w:fill="auto"/>
    </w:rPr>
  </w:style>
  <w:style w:type="character" w:customStyle="1" w:styleId="csf229d0ff36">
    <w:name w:val="csf229d0ff36"/>
    <w:rsid w:val="00E24DB9"/>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24DB9"/>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E24DB9"/>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E24DB9"/>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E24DB9"/>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E24DB9"/>
    <w:pPr>
      <w:snapToGrid w:val="0"/>
      <w:ind w:left="720"/>
      <w:contextualSpacing/>
    </w:pPr>
    <w:rPr>
      <w:rFonts w:ascii="Arial" w:eastAsia="Times New Roman" w:hAnsi="Arial"/>
      <w:sz w:val="28"/>
    </w:rPr>
  </w:style>
  <w:style w:type="character" w:customStyle="1" w:styleId="csf229d0ff102">
    <w:name w:val="csf229d0ff102"/>
    <w:rsid w:val="00E24DB9"/>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E24DB9"/>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E24DB9"/>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E24DB9"/>
    <w:rPr>
      <w:rFonts w:ascii="Arial" w:hAnsi="Arial" w:cs="Arial" w:hint="default"/>
      <w:b/>
      <w:bCs/>
      <w:i/>
      <w:iCs/>
      <w:color w:val="000000"/>
      <w:sz w:val="18"/>
      <w:szCs w:val="18"/>
      <w:shd w:val="clear" w:color="auto" w:fill="auto"/>
    </w:rPr>
  </w:style>
  <w:style w:type="character" w:customStyle="1" w:styleId="csf229d0ff142">
    <w:name w:val="csf229d0ff142"/>
    <w:rsid w:val="00E24DB9"/>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E24DB9"/>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E24DB9"/>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E24DB9"/>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E24DB9"/>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E24DB9"/>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E24DB9"/>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E24DB9"/>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E24DB9"/>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E24DB9"/>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E24DB9"/>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E24DB9"/>
    <w:rPr>
      <w:rFonts w:ascii="Arial" w:hAnsi="Arial" w:cs="Arial" w:hint="default"/>
      <w:b/>
      <w:bCs/>
      <w:i w:val="0"/>
      <w:iCs w:val="0"/>
      <w:color w:val="000000"/>
      <w:sz w:val="18"/>
      <w:szCs w:val="18"/>
      <w:shd w:val="clear" w:color="auto" w:fill="auto"/>
    </w:rPr>
  </w:style>
  <w:style w:type="character" w:customStyle="1" w:styleId="csf229d0ff107">
    <w:name w:val="csf229d0ff107"/>
    <w:rsid w:val="00E24DB9"/>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E24DB9"/>
    <w:rPr>
      <w:rFonts w:ascii="Arial" w:hAnsi="Arial" w:cs="Arial" w:hint="default"/>
      <w:b/>
      <w:bCs/>
      <w:i/>
      <w:iCs/>
      <w:color w:val="000000"/>
      <w:sz w:val="18"/>
      <w:szCs w:val="18"/>
      <w:shd w:val="clear" w:color="auto" w:fill="auto"/>
    </w:rPr>
  </w:style>
  <w:style w:type="character" w:customStyle="1" w:styleId="csab6e076993">
    <w:name w:val="csab6e076993"/>
    <w:rsid w:val="00E24DB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E24DB9"/>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E24DB9"/>
    <w:rPr>
      <w:rFonts w:ascii="Arial" w:hAnsi="Arial"/>
      <w:sz w:val="18"/>
      <w:lang w:val="x-none" w:eastAsia="ru-RU"/>
    </w:rPr>
  </w:style>
  <w:style w:type="paragraph" w:customStyle="1" w:styleId="Arial960">
    <w:name w:val="Arial9+6пт"/>
    <w:basedOn w:val="a"/>
    <w:link w:val="Arial96"/>
    <w:rsid w:val="00E24DB9"/>
    <w:pPr>
      <w:snapToGrid w:val="0"/>
      <w:spacing w:before="120"/>
    </w:pPr>
    <w:rPr>
      <w:rFonts w:ascii="Arial" w:hAnsi="Arial"/>
      <w:sz w:val="18"/>
      <w:lang w:val="x-none"/>
    </w:rPr>
  </w:style>
  <w:style w:type="character" w:customStyle="1" w:styleId="csf229d0ff86">
    <w:name w:val="csf229d0ff86"/>
    <w:rsid w:val="00E24DB9"/>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E24DB9"/>
    <w:rPr>
      <w:rFonts w:ascii="Segoe UI" w:hAnsi="Segoe UI" w:cs="Segoe UI" w:hint="default"/>
      <w:b/>
      <w:bCs/>
      <w:i/>
      <w:iCs/>
      <w:color w:val="102B56"/>
      <w:sz w:val="18"/>
      <w:szCs w:val="18"/>
      <w:shd w:val="clear" w:color="auto" w:fill="auto"/>
    </w:rPr>
  </w:style>
  <w:style w:type="character" w:customStyle="1" w:styleId="csab6e076914">
    <w:name w:val="csab6e076914"/>
    <w:rsid w:val="00E24DB9"/>
    <w:rPr>
      <w:rFonts w:ascii="Arial" w:hAnsi="Arial" w:cs="Arial" w:hint="default"/>
      <w:b w:val="0"/>
      <w:bCs w:val="0"/>
      <w:i w:val="0"/>
      <w:iCs w:val="0"/>
      <w:color w:val="000000"/>
      <w:sz w:val="18"/>
      <w:szCs w:val="18"/>
    </w:rPr>
  </w:style>
  <w:style w:type="character" w:customStyle="1" w:styleId="csf229d0ff134">
    <w:name w:val="csf229d0ff134"/>
    <w:rsid w:val="00E24DB9"/>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E24DB9"/>
    <w:rPr>
      <w:rFonts w:ascii="Arial" w:hAnsi="Arial" w:cs="Arial" w:hint="default"/>
      <w:b/>
      <w:bCs/>
      <w:i/>
      <w:iCs/>
      <w:color w:val="000000"/>
      <w:sz w:val="20"/>
      <w:szCs w:val="20"/>
      <w:shd w:val="clear" w:color="auto" w:fill="auto"/>
    </w:rPr>
  </w:style>
  <w:style w:type="character" w:styleId="af6">
    <w:name w:val="FollowedHyperlink"/>
    <w:uiPriority w:val="99"/>
    <w:unhideWhenUsed/>
    <w:rsid w:val="00E24DB9"/>
    <w:rPr>
      <w:color w:val="954F72"/>
      <w:u w:val="single"/>
    </w:rPr>
  </w:style>
  <w:style w:type="paragraph" w:customStyle="1" w:styleId="msonormal0">
    <w:name w:val="msonormal"/>
    <w:basedOn w:val="a"/>
    <w:rsid w:val="00E24DB9"/>
    <w:pPr>
      <w:spacing w:before="100" w:beforeAutospacing="1" w:after="100" w:afterAutospacing="1"/>
    </w:pPr>
    <w:rPr>
      <w:sz w:val="24"/>
      <w:szCs w:val="24"/>
      <w:lang w:val="en-US" w:eastAsia="en-US"/>
    </w:rPr>
  </w:style>
  <w:style w:type="paragraph" w:styleId="af7">
    <w:name w:val="Title"/>
    <w:basedOn w:val="a"/>
    <w:link w:val="af8"/>
    <w:uiPriority w:val="10"/>
    <w:qFormat/>
    <w:rsid w:val="00E24DB9"/>
    <w:rPr>
      <w:sz w:val="24"/>
      <w:szCs w:val="24"/>
      <w:lang w:val="en-US" w:eastAsia="en-US"/>
    </w:rPr>
  </w:style>
  <w:style w:type="character" w:customStyle="1" w:styleId="af8">
    <w:name w:val="Заголовок Знак"/>
    <w:link w:val="af7"/>
    <w:uiPriority w:val="10"/>
    <w:rsid w:val="00E24DB9"/>
    <w:rPr>
      <w:rFonts w:ascii="Times New Roman" w:hAnsi="Times New Roman"/>
      <w:sz w:val="24"/>
      <w:szCs w:val="24"/>
    </w:rPr>
  </w:style>
  <w:style w:type="paragraph" w:styleId="25">
    <w:name w:val="Body Text 2"/>
    <w:basedOn w:val="a"/>
    <w:link w:val="27"/>
    <w:uiPriority w:val="99"/>
    <w:unhideWhenUsed/>
    <w:rsid w:val="00E24DB9"/>
    <w:rPr>
      <w:sz w:val="24"/>
      <w:szCs w:val="24"/>
      <w:lang w:val="en-US" w:eastAsia="en-US"/>
    </w:rPr>
  </w:style>
  <w:style w:type="character" w:customStyle="1" w:styleId="27">
    <w:name w:val="Основной текст 2 Знак"/>
    <w:link w:val="25"/>
    <w:uiPriority w:val="99"/>
    <w:rsid w:val="00E24DB9"/>
    <w:rPr>
      <w:rFonts w:ascii="Times New Roman" w:hAnsi="Times New Roman"/>
      <w:sz w:val="24"/>
      <w:szCs w:val="24"/>
    </w:rPr>
  </w:style>
  <w:style w:type="character" w:customStyle="1" w:styleId="af9">
    <w:name w:val="Название Знак"/>
    <w:link w:val="afa"/>
    <w:locked/>
    <w:rsid w:val="00E24DB9"/>
    <w:rPr>
      <w:rFonts w:ascii="Cambria" w:hAnsi="Cambria"/>
      <w:color w:val="17365D"/>
      <w:spacing w:val="5"/>
    </w:rPr>
  </w:style>
  <w:style w:type="paragraph" w:customStyle="1" w:styleId="afa">
    <w:name w:val="Название"/>
    <w:basedOn w:val="a"/>
    <w:link w:val="af9"/>
    <w:rsid w:val="00E24DB9"/>
    <w:rPr>
      <w:rFonts w:ascii="Cambria" w:hAnsi="Cambria"/>
      <w:color w:val="17365D"/>
      <w:spacing w:val="5"/>
      <w:lang w:val="en-US" w:eastAsia="en-US"/>
    </w:rPr>
  </w:style>
  <w:style w:type="character" w:customStyle="1" w:styleId="afb">
    <w:name w:val="Верхній колонтитул Знак"/>
    <w:link w:val="1a"/>
    <w:uiPriority w:val="99"/>
    <w:locked/>
    <w:rsid w:val="00E24DB9"/>
  </w:style>
  <w:style w:type="paragraph" w:customStyle="1" w:styleId="1a">
    <w:name w:val="Верхній колонтитул1"/>
    <w:basedOn w:val="a"/>
    <w:link w:val="afb"/>
    <w:uiPriority w:val="99"/>
    <w:rsid w:val="00E24DB9"/>
    <w:rPr>
      <w:rFonts w:ascii="Calibri" w:hAnsi="Calibri"/>
      <w:lang w:val="en-US" w:eastAsia="en-US"/>
    </w:rPr>
  </w:style>
  <w:style w:type="character" w:customStyle="1" w:styleId="afc">
    <w:name w:val="Нижній колонтитул Знак"/>
    <w:link w:val="1b"/>
    <w:uiPriority w:val="99"/>
    <w:locked/>
    <w:rsid w:val="00E24DB9"/>
  </w:style>
  <w:style w:type="paragraph" w:customStyle="1" w:styleId="1b">
    <w:name w:val="Нижній колонтитул1"/>
    <w:basedOn w:val="a"/>
    <w:link w:val="afc"/>
    <w:uiPriority w:val="99"/>
    <w:rsid w:val="00E24DB9"/>
    <w:rPr>
      <w:rFonts w:ascii="Calibri" w:hAnsi="Calibri"/>
      <w:lang w:val="en-US" w:eastAsia="en-US"/>
    </w:rPr>
  </w:style>
  <w:style w:type="character" w:customStyle="1" w:styleId="afd">
    <w:name w:val="Назва Знак"/>
    <w:link w:val="1c"/>
    <w:locked/>
    <w:rsid w:val="00E24DB9"/>
    <w:rPr>
      <w:rFonts w:ascii="Calibri Light" w:hAnsi="Calibri Light" w:cs="Calibri Light"/>
      <w:spacing w:val="-10"/>
    </w:rPr>
  </w:style>
  <w:style w:type="paragraph" w:customStyle="1" w:styleId="1c">
    <w:name w:val="Назва1"/>
    <w:basedOn w:val="a"/>
    <w:link w:val="afd"/>
    <w:rsid w:val="00E24DB9"/>
    <w:rPr>
      <w:rFonts w:ascii="Calibri Light" w:hAnsi="Calibri Light" w:cs="Calibri Light"/>
      <w:spacing w:val="-10"/>
      <w:lang w:val="en-US" w:eastAsia="en-US"/>
    </w:rPr>
  </w:style>
  <w:style w:type="character" w:customStyle="1" w:styleId="2a">
    <w:name w:val="Основний текст 2 Знак"/>
    <w:link w:val="212"/>
    <w:locked/>
    <w:rsid w:val="00E24DB9"/>
  </w:style>
  <w:style w:type="paragraph" w:customStyle="1" w:styleId="212">
    <w:name w:val="Основний текст 21"/>
    <w:basedOn w:val="a"/>
    <w:link w:val="2a"/>
    <w:rsid w:val="00E24DB9"/>
    <w:rPr>
      <w:rFonts w:ascii="Calibri" w:hAnsi="Calibri"/>
      <w:lang w:val="en-US" w:eastAsia="en-US"/>
    </w:rPr>
  </w:style>
  <w:style w:type="character" w:customStyle="1" w:styleId="afe">
    <w:name w:val="Текст у виносці Знак"/>
    <w:link w:val="1d"/>
    <w:locked/>
    <w:rsid w:val="00E24DB9"/>
    <w:rPr>
      <w:rFonts w:ascii="Segoe UI" w:hAnsi="Segoe UI" w:cs="Segoe UI"/>
    </w:rPr>
  </w:style>
  <w:style w:type="paragraph" w:customStyle="1" w:styleId="1d">
    <w:name w:val="Текст у виносці1"/>
    <w:basedOn w:val="a"/>
    <w:link w:val="afe"/>
    <w:rsid w:val="00E24DB9"/>
    <w:rPr>
      <w:rFonts w:ascii="Segoe UI" w:hAnsi="Segoe UI" w:cs="Segoe UI"/>
      <w:lang w:val="en-US" w:eastAsia="en-US"/>
    </w:rPr>
  </w:style>
  <w:style w:type="character" w:customStyle="1" w:styleId="emailstyle45">
    <w:name w:val="emailstyle45"/>
    <w:semiHidden/>
    <w:rsid w:val="00E24DB9"/>
    <w:rPr>
      <w:rFonts w:ascii="Calibri" w:hAnsi="Calibri" w:cs="Calibri" w:hint="default"/>
      <w:color w:val="auto"/>
    </w:rPr>
  </w:style>
  <w:style w:type="character" w:customStyle="1" w:styleId="error">
    <w:name w:val="error"/>
    <w:rsid w:val="00E24DB9"/>
  </w:style>
  <w:style w:type="character" w:customStyle="1" w:styleId="TimesNewRoman121">
    <w:name w:val="Стиль Times New Roman 12 пт1"/>
    <w:rsid w:val="00E24DB9"/>
    <w:rPr>
      <w:rFonts w:ascii="Times New Roman" w:hAnsi="Times New Roman" w:cs="Times New Roman" w:hint="default"/>
    </w:rPr>
  </w:style>
  <w:style w:type="character" w:customStyle="1" w:styleId="cs95e872d03">
    <w:name w:val="cs95e872d03"/>
    <w:rsid w:val="00E24DB9"/>
  </w:style>
  <w:style w:type="character" w:customStyle="1" w:styleId="cs7a65ad241">
    <w:name w:val="cs7a65ad241"/>
    <w:rsid w:val="00E24DB9"/>
    <w:rPr>
      <w:rFonts w:ascii="Times New Roman" w:hAnsi="Times New Roman" w:cs="Times New Roman" w:hint="default"/>
      <w:b/>
      <w:bCs/>
      <w:i w:val="0"/>
      <w:iCs w:val="0"/>
      <w:color w:val="000000"/>
      <w:sz w:val="26"/>
      <w:szCs w:val="26"/>
    </w:rPr>
  </w:style>
  <w:style w:type="character" w:customStyle="1" w:styleId="csccf5e31620">
    <w:name w:val="csccf5e31620"/>
    <w:rsid w:val="00E24DB9"/>
    <w:rPr>
      <w:rFonts w:ascii="Arial" w:hAnsi="Arial" w:cs="Arial" w:hint="default"/>
      <w:b/>
      <w:bCs/>
      <w:i w:val="0"/>
      <w:iCs w:val="0"/>
      <w:color w:val="000000"/>
      <w:sz w:val="18"/>
      <w:szCs w:val="18"/>
      <w:shd w:val="clear" w:color="auto" w:fill="auto"/>
    </w:rPr>
  </w:style>
  <w:style w:type="character" w:customStyle="1" w:styleId="cs9ff1b61120">
    <w:name w:val="cs9ff1b61120"/>
    <w:rsid w:val="00E24DB9"/>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E24DB9"/>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E24DB9"/>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E24DB9"/>
    <w:rPr>
      <w:rFonts w:ascii="Arial" w:hAnsi="Arial" w:cs="Arial" w:hint="default"/>
      <w:b w:val="0"/>
      <w:bCs w:val="0"/>
      <w:i w:val="0"/>
      <w:iCs w:val="0"/>
      <w:color w:val="000000"/>
      <w:sz w:val="18"/>
      <w:szCs w:val="18"/>
      <w:shd w:val="clear" w:color="auto" w:fill="auto"/>
    </w:rPr>
  </w:style>
  <w:style w:type="table" w:styleId="1e">
    <w:name w:val="Table Simple 1"/>
    <w:basedOn w:val="a1"/>
    <w:uiPriority w:val="99"/>
    <w:rsid w:val="00E24DB9"/>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E24DB9"/>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E24DB9"/>
    <w:rPr>
      <w:rFonts w:ascii="Arial" w:hAnsi="Arial" w:cs="Arial" w:hint="default"/>
      <w:b/>
      <w:bCs/>
      <w:i w:val="0"/>
      <w:iCs w:val="0"/>
      <w:color w:val="000000"/>
      <w:sz w:val="18"/>
      <w:szCs w:val="18"/>
      <w:shd w:val="clear" w:color="auto" w:fill="auto"/>
    </w:rPr>
  </w:style>
  <w:style w:type="character" w:customStyle="1" w:styleId="cs9ff1b611210">
    <w:name w:val="cs9ff1b611210"/>
    <w:rsid w:val="00E24DB9"/>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E24DB9"/>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E4901-11DE-49C5-8A3B-AF4EF8B6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55325</Words>
  <Characters>315358</Characters>
  <Application>Microsoft Office Word</Application>
  <DocSecurity>0</DocSecurity>
  <Lines>2627</Lines>
  <Paragraphs>739</Paragraphs>
  <ScaleCrop>false</ScaleCrop>
  <HeadingPairs>
    <vt:vector size="6" baseType="variant">
      <vt:variant>
        <vt:lpstr>Название</vt:lpstr>
      </vt:variant>
      <vt:variant>
        <vt:i4>1</vt:i4>
      </vt:variant>
      <vt:variant>
        <vt:lpstr>Заголовки</vt:lpstr>
      </vt:variant>
      <vt:variant>
        <vt:i4>4</vt:i4>
      </vt:variant>
      <vt:variant>
        <vt:lpstr>Назва</vt:lpstr>
      </vt:variant>
      <vt:variant>
        <vt:i4>1</vt:i4>
      </vt:variant>
    </vt:vector>
  </HeadingPairs>
  <TitlesOfParts>
    <vt:vector size="6" baseType="lpstr">
      <vt:lpstr/>
      <vt:lpstr>МІНІСТЕРСТВО ОХОРОНИ ЗДОРОВ’Я УКРАЇНИ</vt:lpstr>
      <vt:lpstr>НАКАЗ</vt:lpstr>
      <vt:lpstr>    ПЕРЕЛІК</vt:lpstr>
      <vt:lpstr>    ПЕРЕЛІК</vt:lpstr>
      <vt:lpstr/>
    </vt:vector>
  </TitlesOfParts>
  <Company>Krokoz™</Company>
  <LinksUpToDate>false</LinksUpToDate>
  <CharactersWithSpaces>369944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RePack by Diakov</cp:lastModifiedBy>
  <cp:revision>2</cp:revision>
  <cp:lastPrinted>2023-05-23T14:14:00Z</cp:lastPrinted>
  <dcterms:created xsi:type="dcterms:W3CDTF">2023-08-07T13:23:00Z</dcterms:created>
  <dcterms:modified xsi:type="dcterms:W3CDTF">2023-08-07T13:23:00Z</dcterms:modified>
</cp:coreProperties>
</file>