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КОМПЕТЕНТНИМИ ОРГАНАМИ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B672E0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8B4BC4" w:rsidRDefault="00B672E0" w:rsidP="008B4BC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B4BC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E3812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E3812" w:rsidRPr="008B4BC4" w:rsidRDefault="009E3812" w:rsidP="008B4BC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B4BC4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1843" w:type="dxa"/>
            <w:shd w:val="clear" w:color="auto" w:fill="FFFFFF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120 мг/мл; по 1 флакону в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голкою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фільтрувальною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7" w:type="dxa"/>
            <w:shd w:val="clear" w:color="auto" w:fill="FFFFFF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Алкон-Куврьор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готується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асептично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97D7B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Штейн АГ,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біологічний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9E3812" w:rsidRP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9E3812" w:rsidRDefault="008B4BC4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B4BC4" w:rsidRPr="008B4BC4" w:rsidRDefault="008B4BC4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B.I.d.1.a.4 type IB – Stability of AS - Change in the re-test period/storage period - Extension or introduction of a re-test period/storage period supported by real time data. Extension of the shelf-life of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brolucizumab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active substance, used in process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H at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 xml:space="preserve"> Sandoz GmbH, </w:t>
            </w:r>
            <w:proofErr w:type="spellStart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Kundl</w:t>
            </w:r>
            <w:proofErr w:type="spellEnd"/>
            <w:r w:rsidRPr="008B4BC4">
              <w:rPr>
                <w:rFonts w:ascii="Arial" w:hAnsi="Arial" w:cs="Arial"/>
                <w:color w:val="000000"/>
                <w:sz w:val="16"/>
                <w:szCs w:val="16"/>
              </w:rPr>
              <w:t>, from 36 months to 60 months.</w:t>
            </w:r>
          </w:p>
        </w:tc>
        <w:tc>
          <w:tcPr>
            <w:tcW w:w="1134" w:type="dxa"/>
            <w:shd w:val="clear" w:color="auto" w:fill="FFFFFF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B4BC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B4B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B4BC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E3812" w:rsidRPr="008B4BC4" w:rsidRDefault="009E3812" w:rsidP="008B4BC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4BC4">
              <w:rPr>
                <w:rFonts w:ascii="Arial" w:hAnsi="Arial" w:cs="Arial"/>
                <w:sz w:val="16"/>
                <w:szCs w:val="16"/>
              </w:rPr>
              <w:t>UA/18277/01/01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2150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935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33C67E-399D-46AD-B040-F1D85034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2516-14D6-4CB6-979A-ADEA432E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2023-06-30T06:48:00Z</dcterms:created>
  <dcterms:modified xsi:type="dcterms:W3CDTF">2023-06-30T06:48:00Z</dcterms:modified>
</cp:coreProperties>
</file>