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007D8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</w:t>
      </w:r>
      <w:r w:rsidRPr="00BC13D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6007D8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BF116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, </w:t>
      </w:r>
      <w:r w:rsidRPr="00BC13DC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</w:t>
      </w:r>
      <w:r w:rsidRPr="009C5603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6007D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6007D8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127"/>
        <w:gridCol w:w="1417"/>
        <w:gridCol w:w="1276"/>
        <w:gridCol w:w="1559"/>
        <w:gridCol w:w="1276"/>
        <w:gridCol w:w="2977"/>
        <w:gridCol w:w="1134"/>
        <w:gridCol w:w="1559"/>
      </w:tblGrid>
      <w:tr w:rsidR="00223F55" w:rsidRPr="00660546" w:rsidTr="00963D2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963D2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963D2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6007D8" w:rsidRPr="00DB4214" w:rsidTr="00963D2E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007D8" w:rsidRPr="00DB6015" w:rsidRDefault="006007D8" w:rsidP="006007D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6007D8" w:rsidRDefault="006007D8" w:rsidP="006007D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2127" w:type="dxa"/>
            <w:shd w:val="clear" w:color="auto" w:fill="FFFFFF"/>
          </w:tcPr>
          <w:p w:rsidR="006007D8" w:rsidRDefault="006007D8" w:rsidP="006007D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англійською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6007D8" w:rsidRDefault="006007D8" w:rsidP="006007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Ейч.Сі.Пі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Корпорейшн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007D8" w:rsidRDefault="006007D8" w:rsidP="006007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559" w:type="dxa"/>
            <w:shd w:val="clear" w:color="auto" w:fill="FFFFFF"/>
          </w:tcPr>
          <w:p w:rsidR="006007D8" w:rsidRDefault="006007D8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6007D8" w:rsidRDefault="006007D8" w:rsidP="006007D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D2E">
              <w:rPr>
                <w:rFonts w:ascii="Arial" w:hAnsi="Arial" w:cs="Arial"/>
                <w:b/>
                <w:bCs/>
                <w:sz w:val="18"/>
                <w:szCs w:val="18"/>
              </w:rPr>
              <w:t>C.I.4, type II – Change(s) in the SPC, Labelling or PL due to new quality, preclinical, clinical or pharmacovigilance data.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D2E">
              <w:rPr>
                <w:rFonts w:ascii="Arial" w:hAnsi="Arial" w:cs="Arial"/>
                <w:sz w:val="18"/>
                <w:szCs w:val="18"/>
              </w:rPr>
              <w:t xml:space="preserve">Update of sections 4.4 and 4.8 of the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SmPC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based on updated safety data from the Full Cumulative Pool (April 2021 data cut) from the ongoing long-term extension study B7451015.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D2E">
              <w:rPr>
                <w:rFonts w:ascii="Arial" w:hAnsi="Arial" w:cs="Arial"/>
                <w:sz w:val="18"/>
                <w:szCs w:val="18"/>
              </w:rPr>
              <w:t xml:space="preserve">The updated RMP version v2.0 was considered acceptable. In addition, MAH took the opportunity to implement editorial changes in the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SmPC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and to update the contact details of the local representatives in the Package Leaflet.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Зміни в розділах «Спосіб застосування та дози» та «Взаємодія з іншими лікарськими засобами та інші види взаємодій» Інструкції для медичного застосування.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</w:pPr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uk-UA"/>
              </w:rPr>
              <w:t>В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ведення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змін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протягом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9-ти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місяців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після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D2E">
              <w:rPr>
                <w:rFonts w:ascii="Arial" w:hAnsi="Arial" w:cs="Arial"/>
                <w:b/>
                <w:bCs/>
                <w:sz w:val="18"/>
                <w:szCs w:val="18"/>
              </w:rPr>
              <w:t>C.I.4, type II – Change(s) in the SPC, Labelling or PL due to new quality, preclinical, clinical or pharmacovigilance data.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D2E">
              <w:rPr>
                <w:rFonts w:ascii="Arial" w:hAnsi="Arial" w:cs="Arial"/>
                <w:sz w:val="18"/>
                <w:szCs w:val="18"/>
              </w:rPr>
              <w:t xml:space="preserve">Update of sections 4.2 and 4.5 of the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SmPC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based on results from Drug-Drug Interaction (DDI) study </w:t>
            </w:r>
            <w:r w:rsidRPr="00963D2E">
              <w:rPr>
                <w:rFonts w:ascii="Arial" w:hAnsi="Arial" w:cs="Arial"/>
                <w:sz w:val="18"/>
                <w:szCs w:val="18"/>
              </w:rPr>
              <w:lastRenderedPageBreak/>
              <w:t xml:space="preserve">B7451061; A phase 1,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randomised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, crossover study to evaluate relative bioavailability of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abrocitinib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oral suspension and effect of an acid-reducing agent on the bioavailability of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abrocitinib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commercial tablet and to assess the taste of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abrocitinib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oral formulations in healthy adult participants aged 18 to 55 years of age. The Package Leaflet is updated in accordance.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Зміни в розділах «Особливості застосування» та «Взаємодія з іншими лікарськими засобами та інші види взаємодій» Інструкції для медичного застосування.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</w:pP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Введення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змін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протягом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9-ти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місяців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після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D2E">
              <w:rPr>
                <w:rFonts w:ascii="Arial" w:hAnsi="Arial" w:cs="Arial"/>
                <w:b/>
                <w:bCs/>
                <w:sz w:val="18"/>
                <w:szCs w:val="18"/>
              </w:rPr>
              <w:t>C.I.4, type II – Change(s) in the SPC, Labelling or PL due to new quality, preclinical, clinical or pharmacovigilance data.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D2E">
              <w:rPr>
                <w:rFonts w:ascii="Arial" w:hAnsi="Arial" w:cs="Arial"/>
                <w:sz w:val="18"/>
                <w:szCs w:val="18"/>
              </w:rPr>
              <w:t xml:space="preserve">Update of sections 4.5 and 5.2 of the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SmPC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based on final results from Drug-Drug Interaction (DDI) study B7451092. This is a Phase I, open-label, fixed-sequence, 2-period study to estimate the effect of multiple dose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abrocitinib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on the pharmacokinetics of single doses of caffeine,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efavirenz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>, and omeprazole in healthy participants. The Package Leaflet (PL) is updated in accordance.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Зміни в розділах «Взаємодія з іншими лікарськими засобами та інші види взаємодій» та «Фармакокінетика» Інструкції для медичного застосування.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</w:pP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Введення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змін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протягом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9-ти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місяців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після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 xml:space="preserve">У Плані управління ризиків, що був затверджений та додається в рамках пропонованих змін (версію ПУР 1.0 надано в ЄМА з досьє до процедури EMEA/H/C/0005452/II/001, версію 2.0 оновлено з наданням відповіді), </w:t>
            </w:r>
            <w:proofErr w:type="spellStart"/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внесено</w:t>
            </w:r>
            <w:proofErr w:type="spellEnd"/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 xml:space="preserve"> оновлення відповідно до резюме, приведеного нижче.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Обґрунтування для подання ПУР: основною метою цієї редакції є внесення оновлених повних сукупних даних клінічних досліджень та додавання важливого потенційного ризику Переломи.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Резюме значних змін в ПУР: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Частина II, модуль SIII: Оновлені дані клінічних випробувань про вплив для повного сукупного пулу 2021.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Частина II, модуль SVII: Оновлені клінічні дані щодо важливих ідентифікованих ризиків і важливих потенційних ризиків. Додано переломи як важливий потенційний ризик.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Частину III: Переломи було додано як кінцеву точку, що представляє інтерес для дослідження B7451084.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Частина V: Переломи додано до списку проблем безпеки.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Частину VI: Переломи додано до списку важливих потенційних ризиків і до кінцевих точок інтересу для дослідження B7451084.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 xml:space="preserve">∙ Частина VII, Додаток 2: </w:t>
            </w: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lastRenderedPageBreak/>
              <w:t>Оновлено короткий огляд цілей і питань безпеки для дослідження B7451084.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Частина VII, Додаток 3: Оновлено кінцеві точки для включення переломів, що представляють інтерес для дослідження B7451084.</w:t>
            </w:r>
          </w:p>
          <w:p w:rsidR="006007D8" w:rsidRPr="00963D2E" w:rsidRDefault="006007D8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6007D8" w:rsidRDefault="006007D8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6007D8" w:rsidRDefault="006007D8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6007D8" w:rsidRDefault="006007D8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UA/19698/01/01</w:t>
            </w:r>
          </w:p>
        </w:tc>
      </w:tr>
      <w:tr w:rsidR="00963D2E" w:rsidRPr="00DB4214" w:rsidTr="00963D2E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63D2E" w:rsidRPr="00DB6015" w:rsidRDefault="00963D2E" w:rsidP="00963D2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963D2E" w:rsidRDefault="00963D2E" w:rsidP="00963D2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2127" w:type="dxa"/>
            <w:shd w:val="clear" w:color="auto" w:fill="FFFFFF"/>
          </w:tcPr>
          <w:p w:rsidR="00963D2E" w:rsidRDefault="00963D2E" w:rsidP="00963D2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англійською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Ейч.Сі.Пі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Корпорейшн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559" w:type="dxa"/>
            <w:shd w:val="clear" w:color="auto" w:fill="FFFFFF"/>
          </w:tcPr>
          <w:p w:rsid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D2E">
              <w:rPr>
                <w:rFonts w:ascii="Arial" w:hAnsi="Arial" w:cs="Arial"/>
                <w:b/>
                <w:bCs/>
                <w:sz w:val="18"/>
                <w:szCs w:val="18"/>
              </w:rPr>
              <w:t>C.I.4, type II – Change(s) in the SPC, Labelling or PL due to new quality, preclinical, clinical or pharmacovigilance data.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D2E">
              <w:rPr>
                <w:rFonts w:ascii="Arial" w:hAnsi="Arial" w:cs="Arial"/>
                <w:sz w:val="18"/>
                <w:szCs w:val="18"/>
              </w:rPr>
              <w:t xml:space="preserve">Update of sections 4.4 and 4.8 of the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SmPC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based on updated safety data from the Full Cumulative Pool (April 2021 data cut) from the ongoing long-term extension study B7451015.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D2E">
              <w:rPr>
                <w:rFonts w:ascii="Arial" w:hAnsi="Arial" w:cs="Arial"/>
                <w:sz w:val="18"/>
                <w:szCs w:val="18"/>
              </w:rPr>
              <w:t xml:space="preserve">The updated RMP version v2.0 was considered acceptable. In addition, MAH took the opportunity to implement editorial changes in the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SmPC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and to update the contact details of the local representatives in the Package Leaflet.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Зміни в розділах «Спосіб застосування та дози» та «Взаємодія з іншими лікарськими засобами та інші види взаємодій» Інструкції для медичного застосування.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</w:pPr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uk-UA"/>
              </w:rPr>
              <w:t>В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ведення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змін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протягом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9-ти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місяців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після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D2E">
              <w:rPr>
                <w:rFonts w:ascii="Arial" w:hAnsi="Arial" w:cs="Arial"/>
                <w:b/>
                <w:bCs/>
                <w:sz w:val="18"/>
                <w:szCs w:val="18"/>
              </w:rPr>
              <w:t>C.I.4, type II – Change(s) in the SPC, Labelling or PL due to new quality, preclinical, clinical or pharmacovigilance data.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D2E">
              <w:rPr>
                <w:rFonts w:ascii="Arial" w:hAnsi="Arial" w:cs="Arial"/>
                <w:sz w:val="18"/>
                <w:szCs w:val="18"/>
              </w:rPr>
              <w:t xml:space="preserve">Update of sections 4.2 and 4.5 of the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SmPC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based on results from Drug-Drug Interaction (DDI) study B7451061; A phase 1,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randomised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, crossover study to evaluate relative bioavailability of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abrocitinib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oral suspension and effect of an acid-reducing agent on the bioavailability of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abrocitinib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commercial tablet and to assess the taste of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abrocitinib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oral formulations in healthy adult participants aged 18 to 55 years of age. The Package Leaflet is updated in accordance.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Зміни в розділах «Особливості застосування» та «Взаємодія з іншими лікарськими засобами та інші види взаємодій» Інструкції для медичного застосування.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</w:pP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Введення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змін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протягом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9-ти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місяців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після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D2E">
              <w:rPr>
                <w:rFonts w:ascii="Arial" w:hAnsi="Arial" w:cs="Arial"/>
                <w:b/>
                <w:bCs/>
                <w:sz w:val="18"/>
                <w:szCs w:val="18"/>
              </w:rPr>
              <w:t>C.I.4, type II – Change(s) in the SPC, Labelling or PL due to new quality, preclinical, clinical or pharmacovigilance data.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D2E">
              <w:rPr>
                <w:rFonts w:ascii="Arial" w:hAnsi="Arial" w:cs="Arial"/>
                <w:sz w:val="18"/>
                <w:szCs w:val="18"/>
              </w:rPr>
              <w:t xml:space="preserve">Update of sections 4.5 and 5.2 of the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SmPC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based on final results from Drug-Drug Interaction (DDI) study B7451092. This is a Phase I, open-label, fixed-sequence, 2-period study to estimate the effect of multiple dose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abrocitinib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on the pharmacokinetics of single doses of caffeine,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efavirenz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>, and omeprazole in healthy participants. The Package Leaflet (PL) is updated in accordance.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Зміни в розділах «Взаємодія з іншими лікарськими засобами та інші види взаємодій» та «Фармакокінетика» Інструкції для медичного застосування.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</w:pP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Введення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змін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протягом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9-ти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місяців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після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 xml:space="preserve">У Плані управління ризиків, що був затверджений та додається в рамках пропонованих змін (версію ПУР 1.0 надано в ЄМА з досьє до процедури EMEA/H/C/0005452/II/001, версію 2.0 оновлено з наданням відповіді), </w:t>
            </w:r>
            <w:proofErr w:type="spellStart"/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внесено</w:t>
            </w:r>
            <w:proofErr w:type="spellEnd"/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 xml:space="preserve"> оновлення відповідно до резюме, приведеного нижче.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Обґрунтування для подання ПУР: основною метою цієї редакції є внесення оновлених повних сукупних даних клінічних досліджень та додавання важливого потенційного ризику Переломи.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Резюме значних змін в ПУР: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Частина II, модуль SIII: Оновлені дані клінічних випробувань про вплив для повного сукупного пулу 2021.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Частина II, модуль SVII: Оновлені клінічні дані щодо важливих ідентифікованих ризиків і важливих потенційних ризиків. Додано переломи як важливий потенційний ризик.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Частину III: Переломи було додано як кінцеву точку, що представляє інтерес для дослідження B7451084.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Частина V: Переломи додано до списку проблем безпеки.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Частину VI: Переломи додано до списку важливих потенційних ризиків і до кінцевих точок інтересу для дослідження B7451084.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Частина VII, Додаток 2: Оновлено короткий огляд цілей і питань безпеки для дослідження B7451084.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Частина VII, Додаток 3: Оновлено кінцеві точки для включення переломів, що представляють інтерес для дослідження B7451084.</w:t>
            </w:r>
          </w:p>
          <w:p w:rsidR="00963D2E" w:rsidRP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UA/19698/01/02</w:t>
            </w:r>
          </w:p>
        </w:tc>
      </w:tr>
      <w:tr w:rsidR="00963D2E" w:rsidRPr="00DB4214" w:rsidTr="00963D2E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63D2E" w:rsidRPr="00DB6015" w:rsidRDefault="00963D2E" w:rsidP="00963D2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963D2E" w:rsidRDefault="00963D2E" w:rsidP="00963D2E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2127" w:type="dxa"/>
            <w:shd w:val="clear" w:color="auto" w:fill="FFFFFF"/>
          </w:tcPr>
          <w:p w:rsidR="00963D2E" w:rsidRDefault="00963D2E" w:rsidP="00963D2E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англійською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Ейч.Сі.Пі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Корпорейшн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1559" w:type="dxa"/>
            <w:shd w:val="clear" w:color="auto" w:fill="FFFFFF"/>
          </w:tcPr>
          <w:p w:rsid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D2E">
              <w:rPr>
                <w:rFonts w:ascii="Arial" w:hAnsi="Arial" w:cs="Arial"/>
                <w:b/>
                <w:bCs/>
                <w:sz w:val="18"/>
                <w:szCs w:val="18"/>
              </w:rPr>
              <w:t>C.I.4, type II – Change(s) in the SPC, Labelling or PL due to new quality, preclinical, clinical or pharmacovigilance data.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D2E">
              <w:rPr>
                <w:rFonts w:ascii="Arial" w:hAnsi="Arial" w:cs="Arial"/>
                <w:sz w:val="18"/>
                <w:szCs w:val="18"/>
              </w:rPr>
              <w:t xml:space="preserve">Update of sections 4.4 and 4.8 of the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SmPC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based on updated safety data from the Full Cumulative Pool (April 2021 data cut) from the ongoing long-term extension study B7451015.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D2E">
              <w:rPr>
                <w:rFonts w:ascii="Arial" w:hAnsi="Arial" w:cs="Arial"/>
                <w:sz w:val="18"/>
                <w:szCs w:val="18"/>
              </w:rPr>
              <w:t xml:space="preserve">The updated RMP version v2.0 was considered acceptable. In addition, MAH took the opportunity to implement editorial changes in the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SmPC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and to update the contact details of the local representatives in the Package Leaflet.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Зміни в розділах «Спосіб застосування та дози» та «Взаємодія з іншими лікарськими засобами та інші види взаємодій» Інструкції для медичного застосування.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</w:pPr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uk-UA"/>
              </w:rPr>
              <w:t>В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ведення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змін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протягом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9-ти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місяців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після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D2E">
              <w:rPr>
                <w:rFonts w:ascii="Arial" w:hAnsi="Arial" w:cs="Arial"/>
                <w:b/>
                <w:bCs/>
                <w:sz w:val="18"/>
                <w:szCs w:val="18"/>
              </w:rPr>
              <w:t>C.I.4, type II – Change(s) in the SPC, Labelling or PL due to new quality, preclinical, clinical or pharmacovigilance data.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D2E">
              <w:rPr>
                <w:rFonts w:ascii="Arial" w:hAnsi="Arial" w:cs="Arial"/>
                <w:sz w:val="18"/>
                <w:szCs w:val="18"/>
              </w:rPr>
              <w:t xml:space="preserve">Update of sections 4.2 and 4.5 of the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SmPC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based on results from Drug-Drug Interaction (DDI) study B7451061; A phase 1,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randomised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, crossover study to evaluate relative bioavailability of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abrocitinib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oral suspension and effect of an acid-reducing agent on the bioavailability of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abrocitinib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commercial tablet and to assess the taste of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abrocitinib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oral formulations in healthy adult participants aged 18 to 55 years of age. The Package Leaflet is updated in accordance.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Зміни в розділах «Особливості застосування» та «Взаємодія з іншими лікарськими засобами та інші види взаємодій» Інструкції для медичного застосування.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</w:pP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Введення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змін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протягом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9-ти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місяців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після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3D2E">
              <w:rPr>
                <w:rFonts w:ascii="Arial" w:hAnsi="Arial" w:cs="Arial"/>
                <w:b/>
                <w:bCs/>
                <w:sz w:val="18"/>
                <w:szCs w:val="18"/>
              </w:rPr>
              <w:t>C.I.4, type II – Change(s) in the SPC, Labelling or PL due to new quality, preclinical, clinical or pharmacovigilance data.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D2E">
              <w:rPr>
                <w:rFonts w:ascii="Arial" w:hAnsi="Arial" w:cs="Arial"/>
                <w:sz w:val="18"/>
                <w:szCs w:val="18"/>
              </w:rPr>
              <w:t xml:space="preserve">Update of sections 4.5 and 5.2 of the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SmPC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based on final results from Drug-Drug Interaction (DDI) study B7451092. This is a Phase I, open-label, fixed-sequence, 2-period study to estimate the effect of multiple dose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abrocitinib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 xml:space="preserve"> on the pharmacokinetics of single doses of caffeine, </w:t>
            </w:r>
            <w:proofErr w:type="spellStart"/>
            <w:r w:rsidRPr="00963D2E">
              <w:rPr>
                <w:rFonts w:ascii="Arial" w:hAnsi="Arial" w:cs="Arial"/>
                <w:sz w:val="18"/>
                <w:szCs w:val="18"/>
              </w:rPr>
              <w:t>efavirenz</w:t>
            </w:r>
            <w:proofErr w:type="spellEnd"/>
            <w:r w:rsidRPr="00963D2E">
              <w:rPr>
                <w:rFonts w:ascii="Arial" w:hAnsi="Arial" w:cs="Arial"/>
                <w:sz w:val="18"/>
                <w:szCs w:val="18"/>
              </w:rPr>
              <w:t>, and omeprazole in healthy participants. The Package Leaflet (PL) is updated in accordance.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Зміни в розділах «Взаємодія з іншими лікарськими засобами та інші види взаємодій» та «Фармакокінетика» Інструкції для медичного застосування.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</w:pP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Введення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змін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протягом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9-ти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місяців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після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963D2E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 xml:space="preserve">У Плані управління ризиків, що був затверджений та додається в рамках пропонованих змін (версію ПУР 1.0 надано в ЄМА з досьє до процедури EMEA/H/C/0005452/II/001, версію 2.0 оновлено з наданням відповіді), </w:t>
            </w:r>
            <w:proofErr w:type="spellStart"/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внесено</w:t>
            </w:r>
            <w:proofErr w:type="spellEnd"/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 xml:space="preserve"> оновлення відповідно до резюме, приведеного нижче.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Обґрунтування для подання ПУР: основною метою цієї редакції є внесення оновлених повних сукупних даних клінічних досліджень та додавання важливого потенційного ризику Переломи.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Резюме значних змін в ПУР: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Частина II, модуль SIII: Оновлені дані клінічних випробувань про вплив для повного сукупного пулу 2021.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Частина II, модуль SVII: Оновлені клінічні дані щодо важливих ідентифікованих ризиків і важливих потенційних ризиків. Додано переломи як важливий потенційний ризик.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Частину III: Переломи було додано як кінцеву точку, що представляє інтерес для дослідження B7451084.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Частина V: Переломи додано до списку проблем безпеки.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Частину VI: Переломи додано до списку важливих потенційних ризиків і до кінцевих точок інтересу для дослідження B7451084.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Частина VII, Додаток 2: Оновлено короткий огляд цілей і питань безпеки для дослідження B7451084.</w:t>
            </w:r>
          </w:p>
          <w:p w:rsidR="00963D2E" w:rsidRPr="00963D2E" w:rsidRDefault="00963D2E" w:rsidP="00963D2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val="uk-UA"/>
              </w:rPr>
            </w:pPr>
            <w:r w:rsidRPr="00963D2E">
              <w:rPr>
                <w:rFonts w:ascii="Arial" w:hAnsi="Arial" w:cs="Arial"/>
                <w:iCs/>
                <w:sz w:val="18"/>
                <w:szCs w:val="18"/>
                <w:lang w:val="uk-UA"/>
              </w:rPr>
              <w:t>∙ Частина VII, Додаток 3: Оновлено кінцеві точки для включення переломів, що представляють інтерес для дослідження B7451084.</w:t>
            </w:r>
          </w:p>
          <w:p w:rsidR="00963D2E" w:rsidRP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963D2E" w:rsidRDefault="00963D2E" w:rsidP="00963D2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UA/19698/01/03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1742F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D1E35"/>
    <w:rsid w:val="000D5EC9"/>
    <w:rsid w:val="000E69A9"/>
    <w:rsid w:val="000F08AF"/>
    <w:rsid w:val="000F2048"/>
    <w:rsid w:val="000F2C55"/>
    <w:rsid w:val="000F4290"/>
    <w:rsid w:val="00104F10"/>
    <w:rsid w:val="00105B45"/>
    <w:rsid w:val="00106FD2"/>
    <w:rsid w:val="00107236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1E94"/>
    <w:rsid w:val="00283CE4"/>
    <w:rsid w:val="00292262"/>
    <w:rsid w:val="002A0692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23F1"/>
    <w:rsid w:val="0052639E"/>
    <w:rsid w:val="00526600"/>
    <w:rsid w:val="005274B5"/>
    <w:rsid w:val="005277CA"/>
    <w:rsid w:val="00527874"/>
    <w:rsid w:val="00527A3D"/>
    <w:rsid w:val="005363CE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778E0"/>
    <w:rsid w:val="00580982"/>
    <w:rsid w:val="00583DFA"/>
    <w:rsid w:val="00590B68"/>
    <w:rsid w:val="0059462C"/>
    <w:rsid w:val="005964D6"/>
    <w:rsid w:val="005978A6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4C7F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4147"/>
    <w:rsid w:val="00787529"/>
    <w:rsid w:val="00790AD6"/>
    <w:rsid w:val="007914B1"/>
    <w:rsid w:val="00792B19"/>
    <w:rsid w:val="00792DFB"/>
    <w:rsid w:val="007940D4"/>
    <w:rsid w:val="00796146"/>
    <w:rsid w:val="00796BAB"/>
    <w:rsid w:val="007A2D8A"/>
    <w:rsid w:val="007B211A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63D2E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A6756"/>
    <w:rsid w:val="009B041E"/>
    <w:rsid w:val="009B1268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7E86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2355"/>
    <w:rsid w:val="00B24BEC"/>
    <w:rsid w:val="00B2596A"/>
    <w:rsid w:val="00B25F0C"/>
    <w:rsid w:val="00B32B75"/>
    <w:rsid w:val="00B3356B"/>
    <w:rsid w:val="00B339B0"/>
    <w:rsid w:val="00B34056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85B48"/>
    <w:rsid w:val="00B93409"/>
    <w:rsid w:val="00B9428C"/>
    <w:rsid w:val="00B954D1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12937"/>
    <w:rsid w:val="00D13F24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7DE3"/>
    <w:rsid w:val="00DD27CE"/>
    <w:rsid w:val="00DD30C0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425AE"/>
    <w:rsid w:val="00F5747E"/>
    <w:rsid w:val="00F57ED0"/>
    <w:rsid w:val="00F6465B"/>
    <w:rsid w:val="00F661EC"/>
    <w:rsid w:val="00F71294"/>
    <w:rsid w:val="00F724CA"/>
    <w:rsid w:val="00F8026A"/>
    <w:rsid w:val="00F8267D"/>
    <w:rsid w:val="00F846E8"/>
    <w:rsid w:val="00F8570F"/>
    <w:rsid w:val="00F865EB"/>
    <w:rsid w:val="00F90062"/>
    <w:rsid w:val="00F9263E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4386E0-F4FF-4B23-82B5-6A41DF36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BBA1-9913-4967-9DFD-41010B2D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2023-06-01T13:32:00Z</dcterms:created>
  <dcterms:modified xsi:type="dcterms:W3CDTF">2023-06-01T13:32:00Z</dcterms:modified>
</cp:coreProperties>
</file>