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F65551" w:rsidRPr="00F65551">
              <w:rPr>
                <w:rFonts w:eastAsia="Times New Roman"/>
                <w:b/>
                <w:color w:val="000000" w:themeColor="text1"/>
                <w:sz w:val="24"/>
                <w:szCs w:val="24"/>
                <w:lang w:eastAsia="ar-SA"/>
              </w:rPr>
              <w:t xml:space="preserve">Друковані видання, а саме Довідники: </w:t>
            </w:r>
            <w:proofErr w:type="spellStart"/>
            <w:r w:rsidR="00F65551" w:rsidRPr="00F65551">
              <w:rPr>
                <w:rFonts w:eastAsia="Times New Roman"/>
                <w:b/>
                <w:color w:val="000000" w:themeColor="text1"/>
                <w:sz w:val="24"/>
                <w:szCs w:val="24"/>
                <w:lang w:eastAsia="ar-SA"/>
              </w:rPr>
              <w:t>European</w:t>
            </w:r>
            <w:proofErr w:type="spellEnd"/>
            <w:r w:rsidR="00F65551" w:rsidRPr="00F65551">
              <w:rPr>
                <w:rFonts w:eastAsia="Times New Roman"/>
                <w:b/>
                <w:color w:val="000000" w:themeColor="text1"/>
                <w:sz w:val="24"/>
                <w:szCs w:val="24"/>
                <w:lang w:eastAsia="ar-SA"/>
              </w:rPr>
              <w:t xml:space="preserve"> </w:t>
            </w:r>
            <w:proofErr w:type="spellStart"/>
            <w:r w:rsidR="00F65551" w:rsidRPr="00F65551">
              <w:rPr>
                <w:rFonts w:eastAsia="Times New Roman"/>
                <w:b/>
                <w:color w:val="000000" w:themeColor="text1"/>
                <w:sz w:val="24"/>
                <w:szCs w:val="24"/>
                <w:lang w:eastAsia="ar-SA"/>
              </w:rPr>
              <w:t>Pharmacopoeia</w:t>
            </w:r>
            <w:proofErr w:type="spellEnd"/>
            <w:r w:rsidR="00F65551" w:rsidRPr="00F65551">
              <w:rPr>
                <w:rFonts w:eastAsia="Times New Roman"/>
                <w:b/>
                <w:color w:val="000000" w:themeColor="text1"/>
                <w:sz w:val="24"/>
                <w:szCs w:val="24"/>
                <w:lang w:eastAsia="ar-SA"/>
              </w:rPr>
              <w:t xml:space="preserve">, 11 </w:t>
            </w:r>
            <w:proofErr w:type="spellStart"/>
            <w:r w:rsidR="00F65551" w:rsidRPr="00F65551">
              <w:rPr>
                <w:rFonts w:eastAsia="Times New Roman"/>
                <w:b/>
                <w:color w:val="000000" w:themeColor="text1"/>
                <w:sz w:val="24"/>
                <w:szCs w:val="24"/>
                <w:lang w:eastAsia="ar-SA"/>
              </w:rPr>
              <w:t>edition</w:t>
            </w:r>
            <w:proofErr w:type="spellEnd"/>
            <w:r w:rsidR="00F65551" w:rsidRPr="00F65551">
              <w:rPr>
                <w:rFonts w:eastAsia="Times New Roman"/>
                <w:b/>
                <w:color w:val="000000" w:themeColor="text1"/>
                <w:sz w:val="24"/>
                <w:szCs w:val="24"/>
                <w:lang w:eastAsia="ar-SA"/>
              </w:rPr>
              <w:t xml:space="preserve">, </w:t>
            </w:r>
            <w:proofErr w:type="spellStart"/>
            <w:r w:rsidR="00F65551" w:rsidRPr="00F65551">
              <w:rPr>
                <w:rFonts w:eastAsia="Times New Roman"/>
                <w:b/>
                <w:color w:val="000000" w:themeColor="text1"/>
                <w:sz w:val="24"/>
                <w:szCs w:val="24"/>
                <w:lang w:eastAsia="ar-SA"/>
              </w:rPr>
              <w:t>Suppl</w:t>
            </w:r>
            <w:proofErr w:type="spellEnd"/>
            <w:r w:rsidR="00F65551" w:rsidRPr="00F65551">
              <w:rPr>
                <w:rFonts w:eastAsia="Times New Roman"/>
                <w:b/>
                <w:color w:val="000000" w:themeColor="text1"/>
                <w:sz w:val="24"/>
                <w:szCs w:val="24"/>
                <w:lang w:eastAsia="ar-SA"/>
              </w:rPr>
              <w:t>. 11.3, 11.4, 11.5</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F65551" w:rsidRPr="00F65551">
              <w:rPr>
                <w:b/>
                <w:color w:val="000000" w:themeColor="text1"/>
                <w:sz w:val="24"/>
                <w:szCs w:val="24"/>
              </w:rPr>
              <w:t>22130000-0: Довідники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bookmarkStart w:id="0" w:name="_GoBack"/>
            <w:bookmarkEnd w:id="0"/>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F65551" w:rsidRPr="00F65551">
              <w:rPr>
                <w:b/>
                <w:color w:val="000000" w:themeColor="text1"/>
                <w:sz w:val="24"/>
                <w:szCs w:val="24"/>
              </w:rPr>
              <w:t>221 270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F65551">
              <w:rPr>
                <w:b/>
                <w:color w:val="000000" w:themeColor="text1"/>
                <w:sz w:val="24"/>
                <w:szCs w:val="24"/>
              </w:rPr>
              <w:t>09</w:t>
            </w:r>
            <w:r w:rsidR="006475BF" w:rsidRPr="001C60E2">
              <w:rPr>
                <w:b/>
                <w:color w:val="000000" w:themeColor="text1"/>
                <w:sz w:val="24"/>
                <w:szCs w:val="24"/>
              </w:rPr>
              <w:t xml:space="preserve"> </w:t>
            </w:r>
            <w:r w:rsidR="00F65551">
              <w:rPr>
                <w:b/>
                <w:color w:val="000000" w:themeColor="text1"/>
                <w:sz w:val="24"/>
                <w:szCs w:val="24"/>
                <w:lang w:val="ru-UA"/>
              </w:rPr>
              <w:t>жовт</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41E47"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9D09A9">
              <w:rPr>
                <w:color w:val="000000" w:themeColor="text1"/>
                <w:sz w:val="24"/>
                <w:szCs w:val="24"/>
              </w:rPr>
              <w:t xml:space="preserve"> </w:t>
            </w:r>
            <w:hyperlink r:id="rId5" w:history="1">
              <w:r w:rsidR="00F65551" w:rsidRPr="00F65551">
                <w:rPr>
                  <w:rStyle w:val="a3"/>
                  <w:sz w:val="24"/>
                  <w:szCs w:val="24"/>
                </w:rPr>
                <w:t>https://prozorro.gov.ua/tender/UA-2023-10-09-012176-a</w:t>
              </w:r>
            </w:hyperlink>
          </w:p>
          <w:p w:rsidR="001612A9" w:rsidRPr="00FA33B2" w:rsidRDefault="001612A9" w:rsidP="00FA33B2">
            <w:pPr>
              <w:spacing w:after="0" w:line="276" w:lineRule="auto"/>
            </w:pPr>
          </w:p>
        </w:tc>
      </w:tr>
    </w:tbl>
    <w:p w:rsidR="00A049E3" w:rsidRDefault="00A049E3" w:rsidP="00A049E3">
      <w:pPr>
        <w:tabs>
          <w:tab w:val="left" w:pos="708"/>
        </w:tabs>
        <w:jc w:val="center"/>
        <w:rPr>
          <w:b/>
          <w:sz w:val="24"/>
          <w:szCs w:val="24"/>
        </w:rPr>
      </w:pPr>
    </w:p>
    <w:p w:rsidR="00F65551" w:rsidRPr="00F65551" w:rsidRDefault="00F65551" w:rsidP="00F65551">
      <w:pPr>
        <w:tabs>
          <w:tab w:val="left" w:pos="708"/>
        </w:tabs>
        <w:spacing w:after="0"/>
        <w:jc w:val="center"/>
        <w:rPr>
          <w:b/>
          <w:sz w:val="24"/>
          <w:szCs w:val="24"/>
        </w:rPr>
      </w:pPr>
      <w:r w:rsidRPr="00F65551">
        <w:rPr>
          <w:b/>
          <w:sz w:val="24"/>
          <w:szCs w:val="24"/>
        </w:rPr>
        <w:t>ІНФОРМАЦІЯ ПРО ТЕХНІЧНІ, ЯКІСНІ ТА КІЛЬКІСНІ</w:t>
      </w:r>
    </w:p>
    <w:p w:rsidR="00F65551" w:rsidRPr="00F65551" w:rsidRDefault="00F65551" w:rsidP="00F65551">
      <w:pPr>
        <w:tabs>
          <w:tab w:val="left" w:pos="708"/>
        </w:tabs>
        <w:spacing w:after="0"/>
        <w:jc w:val="center"/>
        <w:rPr>
          <w:b/>
          <w:sz w:val="24"/>
          <w:szCs w:val="24"/>
        </w:rPr>
      </w:pPr>
      <w:r w:rsidRPr="00F65551">
        <w:rPr>
          <w:b/>
          <w:sz w:val="24"/>
          <w:szCs w:val="24"/>
        </w:rPr>
        <w:t>ХАРАКТЕРИСТИКИ ПРЕДМЕТА ЗАКУПІВЛІ</w:t>
      </w:r>
    </w:p>
    <w:p w:rsidR="00F65551" w:rsidRPr="00F65551" w:rsidRDefault="00F65551" w:rsidP="00F65551">
      <w:pPr>
        <w:tabs>
          <w:tab w:val="left" w:pos="708"/>
        </w:tabs>
        <w:spacing w:after="0"/>
        <w:jc w:val="center"/>
        <w:rPr>
          <w:b/>
          <w:sz w:val="24"/>
          <w:szCs w:val="24"/>
        </w:rPr>
      </w:pPr>
    </w:p>
    <w:p w:rsidR="00F65551" w:rsidRPr="00F65551" w:rsidRDefault="00F65551" w:rsidP="00F65551">
      <w:pPr>
        <w:spacing w:after="0"/>
        <w:rPr>
          <w:b/>
          <w:sz w:val="24"/>
          <w:szCs w:val="24"/>
        </w:rPr>
      </w:pPr>
    </w:p>
    <w:p w:rsidR="00F65551" w:rsidRPr="00F65551" w:rsidRDefault="00F65551" w:rsidP="00F65551">
      <w:pPr>
        <w:pStyle w:val="a5"/>
        <w:widowControl/>
        <w:numPr>
          <w:ilvl w:val="0"/>
          <w:numId w:val="5"/>
        </w:numPr>
        <w:suppressAutoHyphens w:val="0"/>
        <w:autoSpaceDE/>
        <w:contextualSpacing/>
        <w:jc w:val="both"/>
        <w:rPr>
          <w:rFonts w:ascii="Times New Roman" w:hAnsi="Times New Roman" w:cs="Times New Roman"/>
          <w:b/>
          <w:lang w:eastAsia="ru-RU"/>
        </w:rPr>
      </w:pPr>
      <w:proofErr w:type="spellStart"/>
      <w:r w:rsidRPr="00F65551">
        <w:rPr>
          <w:rFonts w:ascii="Times New Roman" w:hAnsi="Times New Roman" w:cs="Times New Roman"/>
          <w:b/>
          <w:lang w:eastAsia="ru-RU"/>
        </w:rPr>
        <w:t>Технічні</w:t>
      </w:r>
      <w:proofErr w:type="spellEnd"/>
      <w:r w:rsidRPr="00F65551">
        <w:rPr>
          <w:rFonts w:ascii="Times New Roman" w:hAnsi="Times New Roman" w:cs="Times New Roman"/>
          <w:b/>
          <w:lang w:eastAsia="ru-RU"/>
        </w:rPr>
        <w:t xml:space="preserve">, </w:t>
      </w:r>
      <w:proofErr w:type="spellStart"/>
      <w:r w:rsidRPr="00F65551">
        <w:rPr>
          <w:rFonts w:ascii="Times New Roman" w:hAnsi="Times New Roman" w:cs="Times New Roman"/>
          <w:b/>
          <w:lang w:eastAsia="ru-RU"/>
        </w:rPr>
        <w:t>якісні</w:t>
      </w:r>
      <w:proofErr w:type="spellEnd"/>
      <w:r w:rsidRPr="00F65551">
        <w:rPr>
          <w:rFonts w:ascii="Times New Roman" w:hAnsi="Times New Roman" w:cs="Times New Roman"/>
          <w:b/>
          <w:lang w:eastAsia="ru-RU"/>
        </w:rPr>
        <w:t xml:space="preserve"> та </w:t>
      </w:r>
      <w:proofErr w:type="spellStart"/>
      <w:r w:rsidRPr="00F65551">
        <w:rPr>
          <w:rFonts w:ascii="Times New Roman" w:hAnsi="Times New Roman" w:cs="Times New Roman"/>
          <w:b/>
          <w:lang w:eastAsia="ru-RU"/>
        </w:rPr>
        <w:t>кількісні</w:t>
      </w:r>
      <w:proofErr w:type="spellEnd"/>
      <w:r w:rsidRPr="00F65551">
        <w:rPr>
          <w:rFonts w:ascii="Times New Roman" w:hAnsi="Times New Roman" w:cs="Times New Roman"/>
          <w:b/>
          <w:lang w:eastAsia="ru-RU"/>
        </w:rPr>
        <w:t xml:space="preserve"> характеристики предмета </w:t>
      </w:r>
      <w:proofErr w:type="gramStart"/>
      <w:r w:rsidRPr="00F65551">
        <w:rPr>
          <w:rFonts w:ascii="Times New Roman" w:hAnsi="Times New Roman" w:cs="Times New Roman"/>
          <w:b/>
          <w:lang w:eastAsia="ru-RU"/>
        </w:rPr>
        <w:t>закупівлі :</w:t>
      </w:r>
      <w:proofErr w:type="gramEnd"/>
    </w:p>
    <w:p w:rsidR="00F65551" w:rsidRPr="00F65551" w:rsidRDefault="00F65551" w:rsidP="00F65551">
      <w:pPr>
        <w:pStyle w:val="a5"/>
        <w:contextualSpacing/>
        <w:jc w:val="both"/>
        <w:rPr>
          <w:rFonts w:ascii="Times New Roman" w:hAnsi="Times New Roman" w:cs="Times New Roman"/>
          <w:b/>
          <w:lang w:eastAsia="ru-RU"/>
        </w:rPr>
      </w:pPr>
    </w:p>
    <w:tbl>
      <w:tblPr>
        <w:tblpPr w:leftFromText="180" w:rightFromText="180" w:vertAnchor="text" w:tblpY="1"/>
        <w:tblOverlap w:val="never"/>
        <w:tblW w:w="10356" w:type="dxa"/>
        <w:tblLayout w:type="fixed"/>
        <w:tblLook w:val="04A0" w:firstRow="1" w:lastRow="0" w:firstColumn="1" w:lastColumn="0" w:noHBand="0" w:noVBand="1"/>
      </w:tblPr>
      <w:tblGrid>
        <w:gridCol w:w="743"/>
        <w:gridCol w:w="2547"/>
        <w:gridCol w:w="3667"/>
        <w:gridCol w:w="1626"/>
        <w:gridCol w:w="1773"/>
      </w:tblGrid>
      <w:tr w:rsidR="00F65551" w:rsidRPr="00F65551" w:rsidTr="00186504">
        <w:trPr>
          <w:trHeight w:val="488"/>
        </w:trPr>
        <w:tc>
          <w:tcPr>
            <w:tcW w:w="743" w:type="dxa"/>
            <w:tcBorders>
              <w:top w:val="single" w:sz="8" w:space="0" w:color="auto"/>
              <w:left w:val="single" w:sz="8" w:space="0" w:color="auto"/>
              <w:bottom w:val="single" w:sz="8" w:space="0" w:color="auto"/>
              <w:right w:val="single" w:sz="8" w:space="0" w:color="auto"/>
            </w:tcBorders>
            <w:shd w:val="clear" w:color="auto" w:fill="F2F2F2"/>
            <w:hideMark/>
          </w:tcPr>
          <w:p w:rsidR="00F65551" w:rsidRPr="00F65551" w:rsidRDefault="00F65551" w:rsidP="00F65551">
            <w:pPr>
              <w:spacing w:after="0"/>
              <w:jc w:val="center"/>
              <w:rPr>
                <w:b/>
                <w:bCs/>
                <w:sz w:val="24"/>
                <w:szCs w:val="24"/>
              </w:rPr>
            </w:pPr>
            <w:r w:rsidRPr="00F65551">
              <w:rPr>
                <w:b/>
                <w:bCs/>
                <w:sz w:val="24"/>
                <w:szCs w:val="24"/>
              </w:rPr>
              <w:t>№</w:t>
            </w:r>
          </w:p>
          <w:p w:rsidR="00F65551" w:rsidRPr="00F65551" w:rsidRDefault="00F65551" w:rsidP="00F65551">
            <w:pPr>
              <w:spacing w:after="0"/>
              <w:jc w:val="center"/>
              <w:rPr>
                <w:b/>
                <w:bCs/>
                <w:sz w:val="24"/>
                <w:szCs w:val="24"/>
              </w:rPr>
            </w:pPr>
            <w:r w:rsidRPr="00F65551">
              <w:rPr>
                <w:b/>
                <w:bCs/>
                <w:sz w:val="24"/>
                <w:szCs w:val="24"/>
              </w:rPr>
              <w:t>з/п</w:t>
            </w:r>
          </w:p>
        </w:tc>
        <w:tc>
          <w:tcPr>
            <w:tcW w:w="2547" w:type="dxa"/>
            <w:tcBorders>
              <w:top w:val="single" w:sz="8" w:space="0" w:color="auto"/>
              <w:left w:val="single" w:sz="8" w:space="0" w:color="auto"/>
              <w:bottom w:val="single" w:sz="8" w:space="0" w:color="auto"/>
              <w:right w:val="single" w:sz="8" w:space="0" w:color="auto"/>
            </w:tcBorders>
            <w:shd w:val="clear" w:color="auto" w:fill="F2F2F2"/>
            <w:noWrap/>
            <w:hideMark/>
          </w:tcPr>
          <w:p w:rsidR="00F65551" w:rsidRPr="00F65551" w:rsidRDefault="00F65551" w:rsidP="00F65551">
            <w:pPr>
              <w:spacing w:after="0"/>
              <w:jc w:val="center"/>
              <w:rPr>
                <w:b/>
                <w:bCs/>
                <w:sz w:val="24"/>
                <w:szCs w:val="24"/>
              </w:rPr>
            </w:pPr>
            <w:r w:rsidRPr="00F65551">
              <w:rPr>
                <w:b/>
                <w:bCs/>
                <w:sz w:val="24"/>
                <w:szCs w:val="24"/>
              </w:rPr>
              <w:t>ISBN</w:t>
            </w:r>
          </w:p>
        </w:tc>
        <w:tc>
          <w:tcPr>
            <w:tcW w:w="3667" w:type="dxa"/>
            <w:tcBorders>
              <w:top w:val="single" w:sz="8" w:space="0" w:color="auto"/>
              <w:left w:val="nil"/>
              <w:bottom w:val="single" w:sz="8" w:space="0" w:color="auto"/>
              <w:right w:val="single" w:sz="8" w:space="0" w:color="auto"/>
            </w:tcBorders>
            <w:shd w:val="clear" w:color="auto" w:fill="F2F2F2"/>
            <w:hideMark/>
          </w:tcPr>
          <w:p w:rsidR="00F65551" w:rsidRPr="00F65551" w:rsidRDefault="00F65551" w:rsidP="00F65551">
            <w:pPr>
              <w:spacing w:after="0"/>
              <w:jc w:val="center"/>
              <w:rPr>
                <w:b/>
                <w:bCs/>
                <w:sz w:val="24"/>
                <w:szCs w:val="24"/>
              </w:rPr>
            </w:pPr>
            <w:r w:rsidRPr="00F65551">
              <w:rPr>
                <w:b/>
                <w:bCs/>
                <w:sz w:val="24"/>
                <w:szCs w:val="24"/>
              </w:rPr>
              <w:t>Найменування</w:t>
            </w:r>
          </w:p>
        </w:tc>
        <w:tc>
          <w:tcPr>
            <w:tcW w:w="1626" w:type="dxa"/>
            <w:tcBorders>
              <w:top w:val="single" w:sz="8" w:space="0" w:color="auto"/>
              <w:left w:val="nil"/>
              <w:bottom w:val="single" w:sz="8" w:space="0" w:color="auto"/>
              <w:right w:val="single" w:sz="8" w:space="0" w:color="auto"/>
            </w:tcBorders>
            <w:shd w:val="clear" w:color="auto" w:fill="F2F2F2"/>
            <w:noWrap/>
            <w:hideMark/>
          </w:tcPr>
          <w:p w:rsidR="00F65551" w:rsidRPr="00F65551" w:rsidRDefault="00F65551" w:rsidP="00F65551">
            <w:pPr>
              <w:spacing w:after="0"/>
              <w:jc w:val="center"/>
              <w:rPr>
                <w:b/>
                <w:bCs/>
                <w:sz w:val="24"/>
                <w:szCs w:val="24"/>
              </w:rPr>
            </w:pPr>
            <w:r w:rsidRPr="00F65551">
              <w:rPr>
                <w:b/>
                <w:bCs/>
                <w:sz w:val="24"/>
                <w:szCs w:val="24"/>
              </w:rPr>
              <w:t>Період</w:t>
            </w:r>
          </w:p>
        </w:tc>
        <w:tc>
          <w:tcPr>
            <w:tcW w:w="1771" w:type="dxa"/>
            <w:tcBorders>
              <w:top w:val="single" w:sz="8" w:space="0" w:color="auto"/>
              <w:left w:val="nil"/>
              <w:bottom w:val="single" w:sz="8" w:space="0" w:color="auto"/>
              <w:right w:val="single" w:sz="8" w:space="0" w:color="auto"/>
            </w:tcBorders>
            <w:shd w:val="clear" w:color="auto" w:fill="F2F2F2"/>
            <w:hideMark/>
          </w:tcPr>
          <w:p w:rsidR="00F65551" w:rsidRPr="00F65551" w:rsidRDefault="00F65551" w:rsidP="00F65551">
            <w:pPr>
              <w:spacing w:after="0"/>
              <w:rPr>
                <w:b/>
                <w:bCs/>
                <w:sz w:val="24"/>
                <w:szCs w:val="24"/>
              </w:rPr>
            </w:pPr>
            <w:r w:rsidRPr="00F65551">
              <w:rPr>
                <w:b/>
                <w:bCs/>
                <w:sz w:val="24"/>
                <w:szCs w:val="24"/>
              </w:rPr>
              <w:t>Кіл-</w:t>
            </w:r>
            <w:proofErr w:type="spellStart"/>
            <w:r w:rsidRPr="00F65551">
              <w:rPr>
                <w:b/>
                <w:bCs/>
                <w:sz w:val="24"/>
                <w:szCs w:val="24"/>
              </w:rPr>
              <w:t>ть</w:t>
            </w:r>
            <w:proofErr w:type="spellEnd"/>
            <w:r w:rsidRPr="00F65551">
              <w:rPr>
                <w:b/>
                <w:bCs/>
                <w:sz w:val="24"/>
                <w:szCs w:val="24"/>
              </w:rPr>
              <w:t xml:space="preserve"> </w:t>
            </w:r>
            <w:r w:rsidRPr="00F65551">
              <w:rPr>
                <w:b/>
                <w:bCs/>
                <w:sz w:val="24"/>
                <w:szCs w:val="24"/>
              </w:rPr>
              <w:br/>
            </w:r>
            <w:proofErr w:type="spellStart"/>
            <w:r w:rsidRPr="00F65551">
              <w:rPr>
                <w:b/>
                <w:bCs/>
                <w:sz w:val="24"/>
                <w:szCs w:val="24"/>
                <w:lang w:val="ru-RU"/>
              </w:rPr>
              <w:t>примірників</w:t>
            </w:r>
            <w:proofErr w:type="spellEnd"/>
          </w:p>
        </w:tc>
      </w:tr>
      <w:tr w:rsidR="00F65551" w:rsidRPr="00F65551" w:rsidTr="00186504">
        <w:trPr>
          <w:trHeight w:val="772"/>
        </w:trPr>
        <w:tc>
          <w:tcPr>
            <w:tcW w:w="743" w:type="dxa"/>
            <w:tcBorders>
              <w:top w:val="nil"/>
              <w:left w:val="single" w:sz="8" w:space="0" w:color="auto"/>
              <w:bottom w:val="nil"/>
              <w:right w:val="single" w:sz="8" w:space="0" w:color="auto"/>
            </w:tcBorders>
            <w:hideMark/>
          </w:tcPr>
          <w:p w:rsidR="00F65551" w:rsidRPr="00F65551" w:rsidRDefault="00F65551" w:rsidP="00F65551">
            <w:pPr>
              <w:spacing w:after="0"/>
              <w:rPr>
                <w:sz w:val="24"/>
                <w:szCs w:val="24"/>
              </w:rPr>
            </w:pPr>
            <w:r w:rsidRPr="00F65551">
              <w:rPr>
                <w:sz w:val="24"/>
                <w:szCs w:val="24"/>
              </w:rPr>
              <w:t>1.</w:t>
            </w:r>
          </w:p>
        </w:tc>
        <w:tc>
          <w:tcPr>
            <w:tcW w:w="2547" w:type="dxa"/>
            <w:tcBorders>
              <w:top w:val="nil"/>
              <w:left w:val="single" w:sz="8" w:space="0" w:color="auto"/>
              <w:bottom w:val="nil"/>
              <w:right w:val="single" w:sz="8" w:space="0" w:color="auto"/>
            </w:tcBorders>
            <w:noWrap/>
            <w:hideMark/>
          </w:tcPr>
          <w:p w:rsidR="00F65551" w:rsidRPr="00F65551" w:rsidRDefault="00F65551" w:rsidP="00F65551">
            <w:pPr>
              <w:spacing w:after="0"/>
              <w:rPr>
                <w:sz w:val="24"/>
                <w:szCs w:val="24"/>
              </w:rPr>
            </w:pPr>
            <w:r w:rsidRPr="00F65551">
              <w:rPr>
                <w:sz w:val="24"/>
                <w:szCs w:val="24"/>
              </w:rPr>
              <w:t>978-92-871-9268-4</w:t>
            </w:r>
          </w:p>
        </w:tc>
        <w:tc>
          <w:tcPr>
            <w:tcW w:w="7066" w:type="dxa"/>
            <w:gridSpan w:val="3"/>
            <w:tcBorders>
              <w:top w:val="nil"/>
              <w:left w:val="nil"/>
              <w:bottom w:val="single" w:sz="8" w:space="0" w:color="auto"/>
              <w:right w:val="single" w:sz="8" w:space="0" w:color="auto"/>
            </w:tcBorders>
            <w:hideMark/>
          </w:tcPr>
          <w:p w:rsidR="00F65551" w:rsidRPr="00F65551" w:rsidRDefault="00F65551" w:rsidP="00F65551">
            <w:pPr>
              <w:spacing w:after="0"/>
              <w:rPr>
                <w:b/>
                <w:bCs/>
                <w:sz w:val="24"/>
                <w:szCs w:val="24"/>
              </w:rPr>
            </w:pPr>
            <w:r w:rsidRPr="00F65551">
              <w:rPr>
                <w:b/>
                <w:sz w:val="24"/>
                <w:szCs w:val="24"/>
                <w:lang w:val="en-US" w:eastAsia="uk-UA"/>
              </w:rPr>
              <w:t>European</w:t>
            </w:r>
            <w:r w:rsidRPr="00F65551">
              <w:rPr>
                <w:b/>
                <w:sz w:val="24"/>
                <w:szCs w:val="24"/>
                <w:lang w:eastAsia="uk-UA"/>
              </w:rPr>
              <w:t xml:space="preserve"> </w:t>
            </w:r>
            <w:r w:rsidRPr="00F65551">
              <w:rPr>
                <w:b/>
                <w:sz w:val="24"/>
                <w:szCs w:val="24"/>
                <w:lang w:val="en-US" w:eastAsia="uk-UA"/>
              </w:rPr>
              <w:t>Pharmacopoeia</w:t>
            </w:r>
            <w:r w:rsidRPr="00F65551">
              <w:rPr>
                <w:b/>
                <w:sz w:val="24"/>
                <w:szCs w:val="24"/>
                <w:lang w:eastAsia="uk-UA"/>
              </w:rPr>
              <w:t xml:space="preserve">, 11 </w:t>
            </w:r>
            <w:r w:rsidRPr="00F65551">
              <w:rPr>
                <w:b/>
                <w:sz w:val="24"/>
                <w:szCs w:val="24"/>
                <w:lang w:val="en-US" w:eastAsia="uk-UA"/>
              </w:rPr>
              <w:t>e</w:t>
            </w:r>
            <w:proofErr w:type="spellStart"/>
            <w:r w:rsidRPr="00F65551">
              <w:rPr>
                <w:b/>
                <w:sz w:val="24"/>
                <w:szCs w:val="24"/>
                <w:lang w:eastAsia="uk-UA"/>
              </w:rPr>
              <w:t>dition</w:t>
            </w:r>
            <w:proofErr w:type="spellEnd"/>
            <w:r w:rsidRPr="00F65551">
              <w:rPr>
                <w:b/>
                <w:sz w:val="24"/>
                <w:szCs w:val="24"/>
                <w:lang w:eastAsia="uk-UA"/>
              </w:rPr>
              <w:t xml:space="preserve">, </w:t>
            </w:r>
            <w:proofErr w:type="spellStart"/>
            <w:r w:rsidRPr="00F65551">
              <w:rPr>
                <w:b/>
                <w:sz w:val="24"/>
                <w:szCs w:val="24"/>
                <w:lang w:val="en-US" w:eastAsia="uk-UA"/>
              </w:rPr>
              <w:t>Suppl</w:t>
            </w:r>
            <w:proofErr w:type="spellEnd"/>
            <w:r w:rsidRPr="00F65551">
              <w:rPr>
                <w:b/>
                <w:sz w:val="24"/>
                <w:szCs w:val="24"/>
                <w:lang w:eastAsia="uk-UA"/>
              </w:rPr>
              <w:t>. 11.3, 11.4, 11.5</w:t>
            </w:r>
            <w:r w:rsidRPr="00F65551">
              <w:rPr>
                <w:b/>
                <w:sz w:val="24"/>
                <w:szCs w:val="24"/>
                <w:lang w:val="en-US"/>
              </w:rPr>
              <w:t xml:space="preserve">, Publisher —   European Directorate for the Quality of Medicines &amp; </w:t>
            </w:r>
            <w:proofErr w:type="gramStart"/>
            <w:r w:rsidRPr="00F65551">
              <w:rPr>
                <w:b/>
                <w:sz w:val="24"/>
                <w:szCs w:val="24"/>
                <w:lang w:val="en-US"/>
              </w:rPr>
              <w:t>HealthCare,  France</w:t>
            </w:r>
            <w:proofErr w:type="gramEnd"/>
            <w:r w:rsidRPr="00F65551">
              <w:rPr>
                <w:b/>
                <w:sz w:val="24"/>
                <w:szCs w:val="24"/>
                <w:lang w:val="en-US"/>
              </w:rPr>
              <w:t xml:space="preserve">, Strasbourg, — </w:t>
            </w:r>
            <w:r w:rsidRPr="00F65551">
              <w:rPr>
                <w:b/>
                <w:sz w:val="24"/>
                <w:szCs w:val="24"/>
              </w:rPr>
              <w:t>англійська мова</w:t>
            </w:r>
          </w:p>
          <w:p w:rsidR="00F65551" w:rsidRPr="00F65551" w:rsidRDefault="00F65551" w:rsidP="00F65551">
            <w:pPr>
              <w:spacing w:after="0"/>
              <w:ind w:hanging="4"/>
              <w:rPr>
                <w:b/>
                <w:bCs/>
                <w:sz w:val="24"/>
                <w:szCs w:val="24"/>
              </w:rPr>
            </w:pPr>
            <w:r w:rsidRPr="00F65551">
              <w:rPr>
                <w:b/>
                <w:sz w:val="24"/>
                <w:szCs w:val="24"/>
              </w:rPr>
              <w:t>2024 рік</w:t>
            </w:r>
          </w:p>
        </w:tc>
      </w:tr>
      <w:tr w:rsidR="00F65551" w:rsidRPr="00F65551" w:rsidTr="00186504">
        <w:trPr>
          <w:trHeight w:val="252"/>
        </w:trPr>
        <w:tc>
          <w:tcPr>
            <w:tcW w:w="743" w:type="dxa"/>
            <w:tcBorders>
              <w:top w:val="nil"/>
              <w:left w:val="single" w:sz="8" w:space="0" w:color="auto"/>
              <w:bottom w:val="nil"/>
              <w:right w:val="single" w:sz="8" w:space="0" w:color="auto"/>
            </w:tcBorders>
          </w:tcPr>
          <w:p w:rsidR="00F65551" w:rsidRPr="00F65551" w:rsidRDefault="00F65551" w:rsidP="00F65551">
            <w:pPr>
              <w:spacing w:after="0"/>
              <w:ind w:firstLine="284"/>
              <w:rPr>
                <w:sz w:val="24"/>
                <w:szCs w:val="24"/>
              </w:rPr>
            </w:pPr>
          </w:p>
        </w:tc>
        <w:tc>
          <w:tcPr>
            <w:tcW w:w="2547" w:type="dxa"/>
            <w:tcBorders>
              <w:top w:val="nil"/>
              <w:left w:val="single" w:sz="8" w:space="0" w:color="auto"/>
              <w:bottom w:val="nil"/>
              <w:right w:val="single" w:sz="8" w:space="0" w:color="auto"/>
            </w:tcBorders>
            <w:noWrap/>
            <w:hideMark/>
          </w:tcPr>
          <w:p w:rsidR="00F65551" w:rsidRPr="00F65551" w:rsidRDefault="00F65551" w:rsidP="00F65551">
            <w:pPr>
              <w:spacing w:after="0"/>
              <w:ind w:firstLine="284"/>
              <w:rPr>
                <w:sz w:val="24"/>
                <w:szCs w:val="24"/>
              </w:rPr>
            </w:pPr>
            <w:r w:rsidRPr="00F65551">
              <w:rPr>
                <w:sz w:val="24"/>
                <w:szCs w:val="24"/>
              </w:rPr>
              <w:t> </w:t>
            </w:r>
          </w:p>
        </w:tc>
        <w:tc>
          <w:tcPr>
            <w:tcW w:w="3667" w:type="dxa"/>
            <w:tcBorders>
              <w:top w:val="nil"/>
              <w:left w:val="nil"/>
              <w:bottom w:val="single" w:sz="8" w:space="0" w:color="auto"/>
              <w:right w:val="single" w:sz="8" w:space="0" w:color="auto"/>
            </w:tcBorders>
            <w:vAlign w:val="center"/>
            <w:hideMark/>
          </w:tcPr>
          <w:p w:rsidR="00F65551" w:rsidRPr="00F65551" w:rsidRDefault="00F65551" w:rsidP="00F65551">
            <w:pPr>
              <w:spacing w:after="0"/>
              <w:ind w:firstLine="31"/>
              <w:rPr>
                <w:sz w:val="24"/>
                <w:szCs w:val="24"/>
                <w:lang w:val="en-US"/>
              </w:rPr>
            </w:pPr>
            <w:r w:rsidRPr="00F65551">
              <w:rPr>
                <w:sz w:val="24"/>
                <w:szCs w:val="24"/>
                <w:lang w:val="en-US" w:eastAsia="uk-UA"/>
              </w:rPr>
              <w:t>European</w:t>
            </w:r>
            <w:r w:rsidRPr="00F65551">
              <w:rPr>
                <w:sz w:val="24"/>
                <w:szCs w:val="24"/>
                <w:lang w:eastAsia="uk-UA"/>
              </w:rPr>
              <w:t xml:space="preserve"> </w:t>
            </w:r>
            <w:r w:rsidRPr="00F65551">
              <w:rPr>
                <w:sz w:val="24"/>
                <w:szCs w:val="24"/>
                <w:lang w:val="en-US" w:eastAsia="uk-UA"/>
              </w:rPr>
              <w:t>Pharmacopoeia</w:t>
            </w:r>
            <w:r w:rsidRPr="00F65551">
              <w:rPr>
                <w:sz w:val="24"/>
                <w:szCs w:val="24"/>
                <w:lang w:eastAsia="uk-UA"/>
              </w:rPr>
              <w:t xml:space="preserve"> </w:t>
            </w:r>
            <w:proofErr w:type="spellStart"/>
            <w:r w:rsidRPr="00F65551">
              <w:rPr>
                <w:sz w:val="24"/>
                <w:szCs w:val="24"/>
              </w:rPr>
              <w:t>Print</w:t>
            </w:r>
            <w:proofErr w:type="spellEnd"/>
            <w:r w:rsidRPr="00F65551">
              <w:rPr>
                <w:sz w:val="24"/>
                <w:szCs w:val="24"/>
              </w:rPr>
              <w:t xml:space="preserve"> 1</w:t>
            </w:r>
            <w:r w:rsidRPr="00F65551">
              <w:rPr>
                <w:sz w:val="24"/>
                <w:szCs w:val="24"/>
                <w:lang w:val="en-US"/>
              </w:rPr>
              <w:t>1</w:t>
            </w:r>
            <w:proofErr w:type="spellStart"/>
            <w:r w:rsidRPr="00F65551">
              <w:rPr>
                <w:sz w:val="24"/>
                <w:szCs w:val="24"/>
              </w:rPr>
              <w:t>th</w:t>
            </w:r>
            <w:proofErr w:type="spellEnd"/>
            <w:r w:rsidRPr="00F65551">
              <w:rPr>
                <w:sz w:val="24"/>
                <w:szCs w:val="24"/>
              </w:rPr>
              <w:t xml:space="preserve"> </w:t>
            </w:r>
            <w:proofErr w:type="spellStart"/>
            <w:r w:rsidRPr="00F65551">
              <w:rPr>
                <w:sz w:val="24"/>
                <w:szCs w:val="24"/>
              </w:rPr>
              <w:t>Edition</w:t>
            </w:r>
            <w:proofErr w:type="spellEnd"/>
            <w:r w:rsidRPr="00F65551">
              <w:rPr>
                <w:sz w:val="24"/>
                <w:szCs w:val="24"/>
                <w:lang w:val="en-US"/>
              </w:rPr>
              <w:t>,  Suppl. 11.3</w:t>
            </w:r>
            <w:r w:rsidRPr="00F65551">
              <w:rPr>
                <w:sz w:val="24"/>
                <w:szCs w:val="24"/>
                <w:lang w:eastAsia="uk-UA"/>
              </w:rPr>
              <w:t xml:space="preserve">  </w:t>
            </w:r>
          </w:p>
        </w:tc>
        <w:tc>
          <w:tcPr>
            <w:tcW w:w="1626" w:type="dxa"/>
            <w:tcBorders>
              <w:top w:val="nil"/>
              <w:left w:val="nil"/>
              <w:bottom w:val="single" w:sz="8" w:space="0" w:color="auto"/>
              <w:right w:val="single" w:sz="8" w:space="0" w:color="auto"/>
            </w:tcBorders>
            <w:noWrap/>
            <w:vAlign w:val="center"/>
            <w:hideMark/>
          </w:tcPr>
          <w:p w:rsidR="00F65551" w:rsidRPr="00F65551" w:rsidRDefault="00F65551" w:rsidP="00F65551">
            <w:pPr>
              <w:spacing w:after="0"/>
              <w:ind w:firstLine="284"/>
              <w:jc w:val="center"/>
              <w:rPr>
                <w:sz w:val="24"/>
                <w:szCs w:val="24"/>
                <w:lang w:val="en-US"/>
              </w:rPr>
            </w:pPr>
            <w:r w:rsidRPr="00F65551">
              <w:rPr>
                <w:sz w:val="24"/>
                <w:szCs w:val="24"/>
              </w:rPr>
              <w:t> </w:t>
            </w:r>
            <w:r w:rsidRPr="00F65551">
              <w:rPr>
                <w:b/>
                <w:sz w:val="24"/>
                <w:szCs w:val="24"/>
              </w:rPr>
              <w:t>2024 рік</w:t>
            </w:r>
          </w:p>
        </w:tc>
        <w:tc>
          <w:tcPr>
            <w:tcW w:w="1771" w:type="dxa"/>
            <w:tcBorders>
              <w:top w:val="nil"/>
              <w:left w:val="nil"/>
              <w:bottom w:val="single" w:sz="8" w:space="0" w:color="auto"/>
              <w:right w:val="single" w:sz="8" w:space="0" w:color="auto"/>
            </w:tcBorders>
            <w:noWrap/>
            <w:vAlign w:val="center"/>
            <w:hideMark/>
          </w:tcPr>
          <w:p w:rsidR="00F65551" w:rsidRPr="00F65551" w:rsidRDefault="00F65551" w:rsidP="00F65551">
            <w:pPr>
              <w:spacing w:after="0"/>
              <w:jc w:val="center"/>
              <w:rPr>
                <w:sz w:val="24"/>
                <w:szCs w:val="24"/>
                <w:lang w:val="en-US"/>
              </w:rPr>
            </w:pPr>
            <w:r w:rsidRPr="00F65551">
              <w:rPr>
                <w:b/>
                <w:bCs/>
                <w:sz w:val="24"/>
                <w:szCs w:val="24"/>
              </w:rPr>
              <w:t>3</w:t>
            </w:r>
            <w:r w:rsidRPr="00F65551">
              <w:rPr>
                <w:b/>
                <w:bCs/>
                <w:sz w:val="24"/>
                <w:szCs w:val="24"/>
                <w:lang w:val="en-US"/>
              </w:rPr>
              <w:t xml:space="preserve"> </w:t>
            </w:r>
            <w:r w:rsidRPr="00F65551">
              <w:rPr>
                <w:b/>
                <w:bCs/>
                <w:sz w:val="24"/>
                <w:szCs w:val="24"/>
                <w:lang w:val="ru-RU"/>
              </w:rPr>
              <w:t>прим</w:t>
            </w:r>
            <w:r w:rsidRPr="00F65551">
              <w:rPr>
                <w:b/>
                <w:bCs/>
                <w:sz w:val="24"/>
                <w:szCs w:val="24"/>
                <w:lang w:val="en-US"/>
              </w:rPr>
              <w:t>.</w:t>
            </w:r>
          </w:p>
        </w:tc>
      </w:tr>
      <w:tr w:rsidR="00F65551" w:rsidRPr="00F65551" w:rsidTr="00186504">
        <w:trPr>
          <w:trHeight w:val="252"/>
        </w:trPr>
        <w:tc>
          <w:tcPr>
            <w:tcW w:w="743" w:type="dxa"/>
            <w:tcBorders>
              <w:top w:val="nil"/>
              <w:left w:val="single" w:sz="8" w:space="0" w:color="auto"/>
              <w:bottom w:val="nil"/>
              <w:right w:val="single" w:sz="8" w:space="0" w:color="auto"/>
            </w:tcBorders>
          </w:tcPr>
          <w:p w:rsidR="00F65551" w:rsidRPr="00F65551" w:rsidRDefault="00F65551" w:rsidP="00F65551">
            <w:pPr>
              <w:spacing w:after="0"/>
              <w:ind w:firstLine="284"/>
              <w:rPr>
                <w:sz w:val="24"/>
                <w:szCs w:val="24"/>
              </w:rPr>
            </w:pPr>
          </w:p>
        </w:tc>
        <w:tc>
          <w:tcPr>
            <w:tcW w:w="2547" w:type="dxa"/>
            <w:tcBorders>
              <w:top w:val="nil"/>
              <w:left w:val="single" w:sz="8" w:space="0" w:color="auto"/>
              <w:bottom w:val="nil"/>
              <w:right w:val="single" w:sz="8" w:space="0" w:color="auto"/>
            </w:tcBorders>
            <w:noWrap/>
          </w:tcPr>
          <w:p w:rsidR="00F65551" w:rsidRPr="00F65551" w:rsidRDefault="00F65551" w:rsidP="00F65551">
            <w:pPr>
              <w:spacing w:after="0"/>
              <w:ind w:firstLine="284"/>
              <w:rPr>
                <w:sz w:val="24"/>
                <w:szCs w:val="24"/>
              </w:rPr>
            </w:pPr>
          </w:p>
        </w:tc>
        <w:tc>
          <w:tcPr>
            <w:tcW w:w="3667" w:type="dxa"/>
            <w:tcBorders>
              <w:top w:val="nil"/>
              <w:left w:val="nil"/>
              <w:bottom w:val="single" w:sz="8" w:space="0" w:color="auto"/>
              <w:right w:val="single" w:sz="8" w:space="0" w:color="auto"/>
            </w:tcBorders>
            <w:vAlign w:val="center"/>
            <w:hideMark/>
          </w:tcPr>
          <w:p w:rsidR="00F65551" w:rsidRPr="00F65551" w:rsidRDefault="00F65551" w:rsidP="00F65551">
            <w:pPr>
              <w:spacing w:after="0"/>
              <w:ind w:firstLine="31"/>
              <w:rPr>
                <w:sz w:val="24"/>
                <w:szCs w:val="24"/>
                <w:lang w:val="en-US" w:eastAsia="uk-UA"/>
              </w:rPr>
            </w:pPr>
            <w:r w:rsidRPr="00F65551">
              <w:rPr>
                <w:sz w:val="24"/>
                <w:szCs w:val="24"/>
                <w:lang w:val="en-US" w:eastAsia="uk-UA"/>
              </w:rPr>
              <w:t>European</w:t>
            </w:r>
            <w:r w:rsidRPr="00F65551">
              <w:rPr>
                <w:sz w:val="24"/>
                <w:szCs w:val="24"/>
                <w:lang w:eastAsia="uk-UA"/>
              </w:rPr>
              <w:t xml:space="preserve"> </w:t>
            </w:r>
            <w:r w:rsidRPr="00F65551">
              <w:rPr>
                <w:sz w:val="24"/>
                <w:szCs w:val="24"/>
                <w:lang w:val="en-US" w:eastAsia="uk-UA"/>
              </w:rPr>
              <w:t>Pharmacopoeia</w:t>
            </w:r>
            <w:r w:rsidRPr="00F65551">
              <w:rPr>
                <w:sz w:val="24"/>
                <w:szCs w:val="24"/>
                <w:lang w:eastAsia="uk-UA"/>
              </w:rPr>
              <w:t xml:space="preserve"> </w:t>
            </w:r>
            <w:proofErr w:type="spellStart"/>
            <w:r w:rsidRPr="00F65551">
              <w:rPr>
                <w:sz w:val="24"/>
                <w:szCs w:val="24"/>
              </w:rPr>
              <w:t>Print</w:t>
            </w:r>
            <w:proofErr w:type="spellEnd"/>
            <w:r w:rsidRPr="00F65551">
              <w:rPr>
                <w:sz w:val="24"/>
                <w:szCs w:val="24"/>
              </w:rPr>
              <w:t xml:space="preserve"> 1</w:t>
            </w:r>
            <w:r w:rsidRPr="00F65551">
              <w:rPr>
                <w:sz w:val="24"/>
                <w:szCs w:val="24"/>
                <w:lang w:val="en-US"/>
              </w:rPr>
              <w:t>1</w:t>
            </w:r>
            <w:proofErr w:type="spellStart"/>
            <w:r w:rsidRPr="00F65551">
              <w:rPr>
                <w:sz w:val="24"/>
                <w:szCs w:val="24"/>
              </w:rPr>
              <w:t>th</w:t>
            </w:r>
            <w:proofErr w:type="spellEnd"/>
            <w:r w:rsidRPr="00F65551">
              <w:rPr>
                <w:sz w:val="24"/>
                <w:szCs w:val="24"/>
              </w:rPr>
              <w:t xml:space="preserve"> </w:t>
            </w:r>
            <w:proofErr w:type="spellStart"/>
            <w:r w:rsidRPr="00F65551">
              <w:rPr>
                <w:sz w:val="24"/>
                <w:szCs w:val="24"/>
              </w:rPr>
              <w:t>Edition</w:t>
            </w:r>
            <w:proofErr w:type="spellEnd"/>
            <w:r w:rsidRPr="00F65551">
              <w:rPr>
                <w:sz w:val="24"/>
                <w:szCs w:val="24"/>
                <w:lang w:val="en-US"/>
              </w:rPr>
              <w:t>,  Suppl. 11.4</w:t>
            </w:r>
            <w:r w:rsidRPr="00F65551">
              <w:rPr>
                <w:sz w:val="24"/>
                <w:szCs w:val="24"/>
                <w:lang w:eastAsia="uk-UA"/>
              </w:rPr>
              <w:t xml:space="preserve">  </w:t>
            </w:r>
          </w:p>
        </w:tc>
        <w:tc>
          <w:tcPr>
            <w:tcW w:w="1626" w:type="dxa"/>
            <w:tcBorders>
              <w:top w:val="nil"/>
              <w:left w:val="nil"/>
              <w:bottom w:val="single" w:sz="8" w:space="0" w:color="auto"/>
              <w:right w:val="single" w:sz="8" w:space="0" w:color="auto"/>
            </w:tcBorders>
            <w:noWrap/>
            <w:vAlign w:val="center"/>
          </w:tcPr>
          <w:p w:rsidR="00F65551" w:rsidRPr="00F65551" w:rsidRDefault="00F65551" w:rsidP="00F65551">
            <w:pPr>
              <w:spacing w:after="0"/>
              <w:ind w:firstLine="284"/>
              <w:jc w:val="center"/>
              <w:rPr>
                <w:sz w:val="24"/>
                <w:szCs w:val="24"/>
              </w:rPr>
            </w:pPr>
            <w:r w:rsidRPr="00F65551">
              <w:rPr>
                <w:b/>
                <w:sz w:val="24"/>
                <w:szCs w:val="24"/>
              </w:rPr>
              <w:t>2024 рік</w:t>
            </w:r>
          </w:p>
        </w:tc>
        <w:tc>
          <w:tcPr>
            <w:tcW w:w="1771" w:type="dxa"/>
            <w:tcBorders>
              <w:top w:val="nil"/>
              <w:left w:val="nil"/>
              <w:bottom w:val="single" w:sz="8" w:space="0" w:color="auto"/>
              <w:right w:val="single" w:sz="8" w:space="0" w:color="auto"/>
            </w:tcBorders>
            <w:noWrap/>
            <w:vAlign w:val="center"/>
            <w:hideMark/>
          </w:tcPr>
          <w:p w:rsidR="00F65551" w:rsidRPr="00F65551" w:rsidRDefault="00F65551" w:rsidP="00F65551">
            <w:pPr>
              <w:spacing w:after="0"/>
              <w:jc w:val="center"/>
              <w:rPr>
                <w:b/>
                <w:bCs/>
                <w:sz w:val="24"/>
                <w:szCs w:val="24"/>
              </w:rPr>
            </w:pPr>
            <w:r w:rsidRPr="00F65551">
              <w:rPr>
                <w:b/>
                <w:bCs/>
                <w:sz w:val="24"/>
                <w:szCs w:val="24"/>
              </w:rPr>
              <w:t>3</w:t>
            </w:r>
            <w:r w:rsidRPr="00F65551">
              <w:rPr>
                <w:b/>
                <w:bCs/>
                <w:sz w:val="24"/>
                <w:szCs w:val="24"/>
                <w:lang w:val="en-US"/>
              </w:rPr>
              <w:t xml:space="preserve"> </w:t>
            </w:r>
            <w:r w:rsidRPr="00F65551">
              <w:rPr>
                <w:b/>
                <w:bCs/>
                <w:sz w:val="24"/>
                <w:szCs w:val="24"/>
                <w:lang w:val="ru-RU"/>
              </w:rPr>
              <w:t>прим</w:t>
            </w:r>
            <w:r w:rsidRPr="00F65551">
              <w:rPr>
                <w:b/>
                <w:bCs/>
                <w:sz w:val="24"/>
                <w:szCs w:val="24"/>
                <w:lang w:val="en-US"/>
              </w:rPr>
              <w:t>.</w:t>
            </w:r>
          </w:p>
        </w:tc>
      </w:tr>
      <w:tr w:rsidR="00F65551" w:rsidRPr="00F65551" w:rsidTr="00186504">
        <w:trPr>
          <w:trHeight w:val="252"/>
        </w:trPr>
        <w:tc>
          <w:tcPr>
            <w:tcW w:w="743" w:type="dxa"/>
            <w:tcBorders>
              <w:top w:val="nil"/>
              <w:left w:val="single" w:sz="8" w:space="0" w:color="auto"/>
              <w:bottom w:val="nil"/>
              <w:right w:val="single" w:sz="8" w:space="0" w:color="auto"/>
            </w:tcBorders>
          </w:tcPr>
          <w:p w:rsidR="00F65551" w:rsidRPr="00F65551" w:rsidRDefault="00F65551" w:rsidP="00F65551">
            <w:pPr>
              <w:spacing w:after="0"/>
              <w:ind w:firstLine="284"/>
              <w:rPr>
                <w:sz w:val="24"/>
                <w:szCs w:val="24"/>
              </w:rPr>
            </w:pPr>
          </w:p>
        </w:tc>
        <w:tc>
          <w:tcPr>
            <w:tcW w:w="2547" w:type="dxa"/>
            <w:tcBorders>
              <w:top w:val="nil"/>
              <w:left w:val="single" w:sz="8" w:space="0" w:color="auto"/>
              <w:bottom w:val="nil"/>
              <w:right w:val="single" w:sz="8" w:space="0" w:color="auto"/>
            </w:tcBorders>
            <w:noWrap/>
          </w:tcPr>
          <w:p w:rsidR="00F65551" w:rsidRPr="00F65551" w:rsidRDefault="00F65551" w:rsidP="00F65551">
            <w:pPr>
              <w:spacing w:after="0"/>
              <w:ind w:firstLine="284"/>
              <w:rPr>
                <w:sz w:val="24"/>
                <w:szCs w:val="24"/>
              </w:rPr>
            </w:pPr>
          </w:p>
        </w:tc>
        <w:tc>
          <w:tcPr>
            <w:tcW w:w="3667" w:type="dxa"/>
            <w:vMerge w:val="restart"/>
            <w:tcBorders>
              <w:top w:val="nil"/>
              <w:left w:val="nil"/>
              <w:right w:val="single" w:sz="8" w:space="0" w:color="auto"/>
            </w:tcBorders>
            <w:vAlign w:val="center"/>
            <w:hideMark/>
          </w:tcPr>
          <w:p w:rsidR="00F65551" w:rsidRPr="00F65551" w:rsidRDefault="00F65551" w:rsidP="00F65551">
            <w:pPr>
              <w:spacing w:after="0"/>
              <w:ind w:firstLine="31"/>
              <w:rPr>
                <w:sz w:val="24"/>
                <w:szCs w:val="24"/>
                <w:lang w:val="ru-RU" w:eastAsia="uk-UA"/>
              </w:rPr>
            </w:pPr>
            <w:r w:rsidRPr="00F65551">
              <w:rPr>
                <w:sz w:val="24"/>
                <w:szCs w:val="24"/>
                <w:lang w:val="en-US" w:eastAsia="uk-UA"/>
              </w:rPr>
              <w:t>European</w:t>
            </w:r>
            <w:r w:rsidRPr="00F65551">
              <w:rPr>
                <w:sz w:val="24"/>
                <w:szCs w:val="24"/>
                <w:lang w:eastAsia="uk-UA"/>
              </w:rPr>
              <w:t xml:space="preserve"> </w:t>
            </w:r>
            <w:r w:rsidRPr="00F65551">
              <w:rPr>
                <w:sz w:val="24"/>
                <w:szCs w:val="24"/>
                <w:lang w:val="en-US" w:eastAsia="uk-UA"/>
              </w:rPr>
              <w:t>Pharmacopoeia</w:t>
            </w:r>
            <w:r w:rsidRPr="00F65551">
              <w:rPr>
                <w:sz w:val="24"/>
                <w:szCs w:val="24"/>
                <w:lang w:eastAsia="uk-UA"/>
              </w:rPr>
              <w:t xml:space="preserve"> </w:t>
            </w:r>
            <w:proofErr w:type="spellStart"/>
            <w:r w:rsidRPr="00F65551">
              <w:rPr>
                <w:sz w:val="24"/>
                <w:szCs w:val="24"/>
              </w:rPr>
              <w:t>Print</w:t>
            </w:r>
            <w:proofErr w:type="spellEnd"/>
            <w:r w:rsidRPr="00F65551">
              <w:rPr>
                <w:sz w:val="24"/>
                <w:szCs w:val="24"/>
              </w:rPr>
              <w:t xml:space="preserve"> 1</w:t>
            </w:r>
            <w:r w:rsidRPr="00F65551">
              <w:rPr>
                <w:sz w:val="24"/>
                <w:szCs w:val="24"/>
                <w:lang w:val="en-US"/>
              </w:rPr>
              <w:t>1</w:t>
            </w:r>
            <w:proofErr w:type="spellStart"/>
            <w:r w:rsidRPr="00F65551">
              <w:rPr>
                <w:sz w:val="24"/>
                <w:szCs w:val="24"/>
              </w:rPr>
              <w:t>th</w:t>
            </w:r>
            <w:proofErr w:type="spellEnd"/>
            <w:r w:rsidRPr="00F65551">
              <w:rPr>
                <w:sz w:val="24"/>
                <w:szCs w:val="24"/>
              </w:rPr>
              <w:t xml:space="preserve"> </w:t>
            </w:r>
            <w:proofErr w:type="spellStart"/>
            <w:r w:rsidRPr="00F65551">
              <w:rPr>
                <w:sz w:val="24"/>
                <w:szCs w:val="24"/>
              </w:rPr>
              <w:t>Edition</w:t>
            </w:r>
            <w:proofErr w:type="spellEnd"/>
            <w:r w:rsidRPr="00F65551">
              <w:rPr>
                <w:sz w:val="24"/>
                <w:szCs w:val="24"/>
                <w:lang w:val="en-US"/>
              </w:rPr>
              <w:t xml:space="preserve">,  Suppl. </w:t>
            </w:r>
            <w:r w:rsidRPr="00F65551">
              <w:rPr>
                <w:sz w:val="24"/>
                <w:szCs w:val="24"/>
                <w:lang w:val="ru-RU"/>
              </w:rPr>
              <w:t>11.5</w:t>
            </w:r>
            <w:r w:rsidRPr="00F65551">
              <w:rPr>
                <w:sz w:val="24"/>
                <w:szCs w:val="24"/>
                <w:lang w:eastAsia="uk-UA"/>
              </w:rPr>
              <w:t xml:space="preserve">  </w:t>
            </w:r>
          </w:p>
        </w:tc>
        <w:tc>
          <w:tcPr>
            <w:tcW w:w="1626" w:type="dxa"/>
            <w:vMerge w:val="restart"/>
            <w:tcBorders>
              <w:top w:val="nil"/>
              <w:left w:val="nil"/>
              <w:right w:val="single" w:sz="8" w:space="0" w:color="auto"/>
            </w:tcBorders>
            <w:noWrap/>
            <w:vAlign w:val="center"/>
          </w:tcPr>
          <w:p w:rsidR="00F65551" w:rsidRPr="00F65551" w:rsidRDefault="00F65551" w:rsidP="00F65551">
            <w:pPr>
              <w:spacing w:after="0"/>
              <w:ind w:firstLine="284"/>
              <w:jc w:val="center"/>
              <w:rPr>
                <w:sz w:val="24"/>
                <w:szCs w:val="24"/>
              </w:rPr>
            </w:pPr>
            <w:r w:rsidRPr="00F65551">
              <w:rPr>
                <w:b/>
                <w:sz w:val="24"/>
                <w:szCs w:val="24"/>
              </w:rPr>
              <w:t>2024 рік</w:t>
            </w:r>
          </w:p>
        </w:tc>
        <w:tc>
          <w:tcPr>
            <w:tcW w:w="1771" w:type="dxa"/>
            <w:vMerge w:val="restart"/>
            <w:tcBorders>
              <w:top w:val="nil"/>
              <w:left w:val="nil"/>
              <w:right w:val="single" w:sz="8" w:space="0" w:color="auto"/>
            </w:tcBorders>
            <w:noWrap/>
            <w:vAlign w:val="center"/>
            <w:hideMark/>
          </w:tcPr>
          <w:p w:rsidR="00F65551" w:rsidRPr="00F65551" w:rsidRDefault="00F65551" w:rsidP="00F65551">
            <w:pPr>
              <w:spacing w:after="0"/>
              <w:jc w:val="center"/>
              <w:rPr>
                <w:b/>
                <w:bCs/>
                <w:sz w:val="24"/>
                <w:szCs w:val="24"/>
              </w:rPr>
            </w:pPr>
            <w:r w:rsidRPr="00F65551">
              <w:rPr>
                <w:b/>
                <w:bCs/>
                <w:sz w:val="24"/>
                <w:szCs w:val="24"/>
              </w:rPr>
              <w:t>3</w:t>
            </w:r>
            <w:r w:rsidRPr="00F65551">
              <w:rPr>
                <w:b/>
                <w:bCs/>
                <w:sz w:val="24"/>
                <w:szCs w:val="24"/>
                <w:lang w:val="ru-RU"/>
              </w:rPr>
              <w:t xml:space="preserve"> прим.</w:t>
            </w:r>
          </w:p>
        </w:tc>
      </w:tr>
      <w:tr w:rsidR="00F65551" w:rsidRPr="00F65551" w:rsidTr="00186504">
        <w:trPr>
          <w:trHeight w:val="252"/>
        </w:trPr>
        <w:tc>
          <w:tcPr>
            <w:tcW w:w="743" w:type="dxa"/>
            <w:tcBorders>
              <w:top w:val="nil"/>
              <w:left w:val="single" w:sz="8" w:space="0" w:color="auto"/>
              <w:bottom w:val="nil"/>
              <w:right w:val="single" w:sz="8" w:space="0" w:color="auto"/>
            </w:tcBorders>
          </w:tcPr>
          <w:p w:rsidR="00F65551" w:rsidRPr="00F65551" w:rsidRDefault="00F65551" w:rsidP="00F65551">
            <w:pPr>
              <w:spacing w:after="0"/>
              <w:ind w:firstLine="284"/>
              <w:rPr>
                <w:sz w:val="24"/>
                <w:szCs w:val="24"/>
              </w:rPr>
            </w:pPr>
          </w:p>
        </w:tc>
        <w:tc>
          <w:tcPr>
            <w:tcW w:w="2547" w:type="dxa"/>
            <w:tcBorders>
              <w:top w:val="nil"/>
              <w:left w:val="single" w:sz="8" w:space="0" w:color="auto"/>
              <w:bottom w:val="nil"/>
              <w:right w:val="single" w:sz="8" w:space="0" w:color="auto"/>
            </w:tcBorders>
            <w:noWrap/>
            <w:hideMark/>
          </w:tcPr>
          <w:p w:rsidR="00F65551" w:rsidRPr="00F65551" w:rsidRDefault="00F65551" w:rsidP="00F65551">
            <w:pPr>
              <w:spacing w:after="0"/>
              <w:ind w:firstLine="284"/>
              <w:rPr>
                <w:sz w:val="24"/>
                <w:szCs w:val="24"/>
              </w:rPr>
            </w:pPr>
            <w:r w:rsidRPr="00F65551">
              <w:rPr>
                <w:sz w:val="24"/>
                <w:szCs w:val="24"/>
              </w:rPr>
              <w:t> </w:t>
            </w:r>
          </w:p>
        </w:tc>
        <w:tc>
          <w:tcPr>
            <w:tcW w:w="3667" w:type="dxa"/>
            <w:vMerge/>
            <w:tcBorders>
              <w:left w:val="nil"/>
              <w:right w:val="single" w:sz="8" w:space="0" w:color="auto"/>
            </w:tcBorders>
          </w:tcPr>
          <w:p w:rsidR="00F65551" w:rsidRPr="00F65551" w:rsidRDefault="00F65551" w:rsidP="00F65551">
            <w:pPr>
              <w:spacing w:after="0"/>
              <w:ind w:firstLine="31"/>
              <w:rPr>
                <w:sz w:val="24"/>
                <w:szCs w:val="24"/>
              </w:rPr>
            </w:pPr>
          </w:p>
        </w:tc>
        <w:tc>
          <w:tcPr>
            <w:tcW w:w="1626" w:type="dxa"/>
            <w:vMerge/>
            <w:tcBorders>
              <w:left w:val="nil"/>
              <w:right w:val="single" w:sz="8" w:space="0" w:color="auto"/>
            </w:tcBorders>
            <w:noWrap/>
            <w:vAlign w:val="center"/>
          </w:tcPr>
          <w:p w:rsidR="00F65551" w:rsidRPr="00F65551" w:rsidRDefault="00F65551" w:rsidP="00F65551">
            <w:pPr>
              <w:spacing w:after="0"/>
              <w:ind w:firstLine="284"/>
              <w:jc w:val="center"/>
              <w:rPr>
                <w:sz w:val="24"/>
                <w:szCs w:val="24"/>
                <w:lang w:val="ru-RU"/>
              </w:rPr>
            </w:pPr>
          </w:p>
        </w:tc>
        <w:tc>
          <w:tcPr>
            <w:tcW w:w="1771" w:type="dxa"/>
            <w:vMerge/>
            <w:tcBorders>
              <w:left w:val="nil"/>
              <w:right w:val="single" w:sz="8" w:space="0" w:color="auto"/>
            </w:tcBorders>
            <w:noWrap/>
          </w:tcPr>
          <w:p w:rsidR="00F65551" w:rsidRPr="00F65551" w:rsidRDefault="00F65551" w:rsidP="00F65551">
            <w:pPr>
              <w:spacing w:after="0"/>
              <w:jc w:val="center"/>
              <w:rPr>
                <w:sz w:val="24"/>
                <w:szCs w:val="24"/>
                <w:lang w:val="ru-RU"/>
              </w:rPr>
            </w:pPr>
          </w:p>
        </w:tc>
      </w:tr>
      <w:tr w:rsidR="00F65551" w:rsidRPr="00F65551" w:rsidTr="00186504">
        <w:trPr>
          <w:trHeight w:val="252"/>
        </w:trPr>
        <w:tc>
          <w:tcPr>
            <w:tcW w:w="743" w:type="dxa"/>
            <w:tcBorders>
              <w:top w:val="nil"/>
              <w:left w:val="single" w:sz="8" w:space="0" w:color="auto"/>
              <w:bottom w:val="single" w:sz="4" w:space="0" w:color="auto"/>
              <w:right w:val="single" w:sz="8" w:space="0" w:color="auto"/>
            </w:tcBorders>
          </w:tcPr>
          <w:p w:rsidR="00F65551" w:rsidRPr="00F65551" w:rsidRDefault="00F65551" w:rsidP="00F65551">
            <w:pPr>
              <w:spacing w:after="0"/>
              <w:ind w:firstLine="284"/>
              <w:rPr>
                <w:sz w:val="24"/>
                <w:szCs w:val="24"/>
              </w:rPr>
            </w:pPr>
          </w:p>
        </w:tc>
        <w:tc>
          <w:tcPr>
            <w:tcW w:w="2547" w:type="dxa"/>
            <w:tcBorders>
              <w:top w:val="nil"/>
              <w:left w:val="single" w:sz="8" w:space="0" w:color="auto"/>
              <w:bottom w:val="single" w:sz="4" w:space="0" w:color="auto"/>
              <w:right w:val="single" w:sz="8" w:space="0" w:color="auto"/>
            </w:tcBorders>
            <w:noWrap/>
            <w:hideMark/>
          </w:tcPr>
          <w:p w:rsidR="00F65551" w:rsidRPr="00F65551" w:rsidRDefault="00F65551" w:rsidP="00F65551">
            <w:pPr>
              <w:spacing w:after="0"/>
              <w:ind w:firstLine="284"/>
              <w:rPr>
                <w:sz w:val="24"/>
                <w:szCs w:val="24"/>
              </w:rPr>
            </w:pPr>
            <w:r w:rsidRPr="00F65551">
              <w:rPr>
                <w:sz w:val="24"/>
                <w:szCs w:val="24"/>
              </w:rPr>
              <w:t> </w:t>
            </w:r>
          </w:p>
        </w:tc>
        <w:tc>
          <w:tcPr>
            <w:tcW w:w="3667" w:type="dxa"/>
            <w:vMerge/>
            <w:tcBorders>
              <w:left w:val="nil"/>
              <w:bottom w:val="single" w:sz="4" w:space="0" w:color="auto"/>
              <w:right w:val="single" w:sz="8" w:space="0" w:color="auto"/>
            </w:tcBorders>
          </w:tcPr>
          <w:p w:rsidR="00F65551" w:rsidRPr="00F65551" w:rsidRDefault="00F65551" w:rsidP="00F65551">
            <w:pPr>
              <w:spacing w:after="0"/>
              <w:ind w:firstLine="31"/>
              <w:rPr>
                <w:sz w:val="24"/>
                <w:szCs w:val="24"/>
              </w:rPr>
            </w:pPr>
          </w:p>
        </w:tc>
        <w:tc>
          <w:tcPr>
            <w:tcW w:w="1626" w:type="dxa"/>
            <w:vMerge/>
            <w:tcBorders>
              <w:left w:val="nil"/>
              <w:bottom w:val="single" w:sz="4" w:space="0" w:color="auto"/>
              <w:right w:val="single" w:sz="8" w:space="0" w:color="auto"/>
            </w:tcBorders>
          </w:tcPr>
          <w:p w:rsidR="00F65551" w:rsidRPr="00F65551" w:rsidRDefault="00F65551" w:rsidP="00F65551">
            <w:pPr>
              <w:spacing w:after="0"/>
              <w:ind w:firstLine="284"/>
              <w:rPr>
                <w:sz w:val="24"/>
                <w:szCs w:val="24"/>
              </w:rPr>
            </w:pPr>
          </w:p>
        </w:tc>
        <w:tc>
          <w:tcPr>
            <w:tcW w:w="1771" w:type="dxa"/>
            <w:vMerge/>
            <w:tcBorders>
              <w:left w:val="nil"/>
              <w:bottom w:val="single" w:sz="4" w:space="0" w:color="auto"/>
              <w:right w:val="single" w:sz="8" w:space="0" w:color="auto"/>
            </w:tcBorders>
            <w:noWrap/>
          </w:tcPr>
          <w:p w:rsidR="00F65551" w:rsidRPr="00F65551" w:rsidRDefault="00F65551" w:rsidP="00F65551">
            <w:pPr>
              <w:spacing w:after="0"/>
              <w:jc w:val="center"/>
              <w:rPr>
                <w:sz w:val="24"/>
                <w:szCs w:val="24"/>
              </w:rPr>
            </w:pPr>
          </w:p>
        </w:tc>
      </w:tr>
    </w:tbl>
    <w:p w:rsidR="00F65551" w:rsidRPr="00F65551" w:rsidRDefault="00F65551" w:rsidP="00F65551">
      <w:pPr>
        <w:pStyle w:val="a5"/>
        <w:contextualSpacing/>
        <w:jc w:val="both"/>
        <w:rPr>
          <w:rFonts w:ascii="Times New Roman" w:hAnsi="Times New Roman" w:cs="Times New Roman"/>
          <w:b/>
          <w:lang w:eastAsia="ru-RU"/>
        </w:rPr>
      </w:pPr>
    </w:p>
    <w:p w:rsidR="00F65551" w:rsidRPr="00F65551" w:rsidRDefault="00F65551" w:rsidP="00F65551">
      <w:pPr>
        <w:pStyle w:val="13"/>
        <w:numPr>
          <w:ilvl w:val="0"/>
          <w:numId w:val="5"/>
        </w:numPr>
        <w:tabs>
          <w:tab w:val="left" w:pos="993"/>
        </w:tabs>
        <w:spacing w:before="0" w:after="0"/>
        <w:ind w:left="0" w:firstLine="709"/>
        <w:jc w:val="both"/>
      </w:pPr>
      <w:r w:rsidRPr="00F65551">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F65551" w:rsidRPr="00F65551" w:rsidRDefault="00F65551" w:rsidP="00F65551">
      <w:pPr>
        <w:pStyle w:val="13"/>
        <w:numPr>
          <w:ilvl w:val="0"/>
          <w:numId w:val="4"/>
        </w:numPr>
        <w:tabs>
          <w:tab w:val="left" w:pos="993"/>
        </w:tabs>
        <w:spacing w:before="0" w:after="0"/>
        <w:ind w:left="0" w:firstLine="709"/>
        <w:jc w:val="both"/>
      </w:pPr>
      <w:r w:rsidRPr="00F65551">
        <w:rPr>
          <w:spacing w:val="2"/>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w:t>
      </w:r>
    </w:p>
    <w:p w:rsidR="00F65551" w:rsidRPr="00F65551" w:rsidRDefault="00F65551" w:rsidP="00F65551">
      <w:pPr>
        <w:pStyle w:val="13"/>
        <w:numPr>
          <w:ilvl w:val="1"/>
          <w:numId w:val="4"/>
        </w:numPr>
        <w:tabs>
          <w:tab w:val="left" w:pos="993"/>
        </w:tabs>
        <w:spacing w:before="0" w:after="0"/>
        <w:ind w:left="1502" w:hanging="357"/>
        <w:jc w:val="both"/>
      </w:pPr>
      <w:r w:rsidRPr="00F65551">
        <w:rPr>
          <w:spacing w:val="2"/>
        </w:rPr>
        <w:t xml:space="preserve"> назв</w:t>
      </w:r>
      <w:r w:rsidRPr="00F65551">
        <w:rPr>
          <w:spacing w:val="2"/>
          <w:lang w:val="ru-RU"/>
        </w:rPr>
        <w:t xml:space="preserve">а </w:t>
      </w:r>
      <w:r w:rsidRPr="00F65551">
        <w:rPr>
          <w:spacing w:val="2"/>
        </w:rPr>
        <w:t xml:space="preserve">видавництва, яке друкує дані книги; </w:t>
      </w:r>
    </w:p>
    <w:p w:rsidR="00F65551" w:rsidRPr="00F65551" w:rsidRDefault="00F65551" w:rsidP="00F65551">
      <w:pPr>
        <w:pStyle w:val="13"/>
        <w:numPr>
          <w:ilvl w:val="1"/>
          <w:numId w:val="4"/>
        </w:numPr>
        <w:tabs>
          <w:tab w:val="left" w:pos="993"/>
        </w:tabs>
        <w:spacing w:before="0" w:after="0"/>
        <w:ind w:left="1502" w:hanging="357"/>
        <w:jc w:val="both"/>
      </w:pPr>
      <w:r w:rsidRPr="00F65551">
        <w:rPr>
          <w:spacing w:val="2"/>
        </w:rPr>
        <w:t>країна і місто виходу з друку книги;</w:t>
      </w:r>
    </w:p>
    <w:p w:rsidR="00F65551" w:rsidRPr="00F65551" w:rsidRDefault="00F65551" w:rsidP="00F65551">
      <w:pPr>
        <w:pStyle w:val="13"/>
        <w:numPr>
          <w:ilvl w:val="1"/>
          <w:numId w:val="4"/>
        </w:numPr>
        <w:tabs>
          <w:tab w:val="left" w:pos="993"/>
        </w:tabs>
        <w:spacing w:before="0" w:after="0"/>
        <w:ind w:left="1502" w:hanging="357"/>
        <w:jc w:val="both"/>
      </w:pPr>
      <w:r w:rsidRPr="00F65551">
        <w:rPr>
          <w:spacing w:val="2"/>
          <w:lang w:val="ru-RU"/>
        </w:rPr>
        <w:t xml:space="preserve">дата </w:t>
      </w:r>
      <w:r w:rsidRPr="00F65551">
        <w:rPr>
          <w:spacing w:val="2"/>
        </w:rPr>
        <w:t>виходу з друку книги;</w:t>
      </w:r>
    </w:p>
    <w:p w:rsidR="00F65551" w:rsidRPr="00F65551" w:rsidRDefault="00F65551" w:rsidP="00F65551">
      <w:pPr>
        <w:pStyle w:val="13"/>
        <w:numPr>
          <w:ilvl w:val="1"/>
          <w:numId w:val="4"/>
        </w:numPr>
        <w:tabs>
          <w:tab w:val="left" w:pos="993"/>
        </w:tabs>
        <w:spacing w:before="0" w:after="0"/>
        <w:ind w:left="1502" w:hanging="357"/>
        <w:jc w:val="both"/>
      </w:pPr>
      <w:r w:rsidRPr="00F65551">
        <w:rPr>
          <w:spacing w:val="2"/>
          <w:lang w:val="en-US"/>
        </w:rPr>
        <w:t xml:space="preserve">ISBN — </w:t>
      </w:r>
      <w:proofErr w:type="spellStart"/>
      <w:r w:rsidRPr="00F65551">
        <w:rPr>
          <w:bCs/>
          <w:color w:val="202124"/>
          <w:shd w:val="clear" w:color="auto" w:fill="FFFFFF"/>
        </w:rPr>
        <w:t>International</w:t>
      </w:r>
      <w:proofErr w:type="spellEnd"/>
      <w:r w:rsidRPr="00F65551">
        <w:rPr>
          <w:bCs/>
          <w:color w:val="202124"/>
          <w:shd w:val="clear" w:color="auto" w:fill="FFFFFF"/>
        </w:rPr>
        <w:t xml:space="preserve"> Standard </w:t>
      </w:r>
      <w:proofErr w:type="spellStart"/>
      <w:r w:rsidRPr="00F65551">
        <w:rPr>
          <w:bCs/>
          <w:color w:val="202124"/>
          <w:shd w:val="clear" w:color="auto" w:fill="FFFFFF"/>
        </w:rPr>
        <w:t>Book</w:t>
      </w:r>
      <w:proofErr w:type="spellEnd"/>
      <w:r w:rsidRPr="00F65551">
        <w:rPr>
          <w:bCs/>
          <w:color w:val="202124"/>
          <w:shd w:val="clear" w:color="auto" w:fill="FFFFFF"/>
        </w:rPr>
        <w:t xml:space="preserve"> </w:t>
      </w:r>
      <w:proofErr w:type="spellStart"/>
      <w:r w:rsidRPr="00F65551">
        <w:rPr>
          <w:bCs/>
          <w:color w:val="202124"/>
          <w:shd w:val="clear" w:color="auto" w:fill="FFFFFF"/>
        </w:rPr>
        <w:t>Number</w:t>
      </w:r>
      <w:proofErr w:type="spellEnd"/>
      <w:r w:rsidRPr="00F65551">
        <w:rPr>
          <w:bCs/>
          <w:color w:val="202124"/>
          <w:shd w:val="clear" w:color="auto" w:fill="FFFFFF"/>
        </w:rPr>
        <w:t>, як ідентифікатор видання</w:t>
      </w:r>
      <w:r w:rsidRPr="00F65551">
        <w:rPr>
          <w:bCs/>
          <w:color w:val="202124"/>
          <w:shd w:val="clear" w:color="auto" w:fill="FFFFFF"/>
          <w:lang w:val="en-US"/>
        </w:rPr>
        <w:t>.</w:t>
      </w:r>
    </w:p>
    <w:p w:rsidR="00F65551" w:rsidRPr="00F65551" w:rsidRDefault="00F65551" w:rsidP="00F65551">
      <w:pPr>
        <w:pStyle w:val="13"/>
        <w:numPr>
          <w:ilvl w:val="1"/>
          <w:numId w:val="4"/>
        </w:numPr>
        <w:tabs>
          <w:tab w:val="left" w:pos="993"/>
        </w:tabs>
        <w:spacing w:before="0" w:after="0"/>
        <w:ind w:left="1502" w:hanging="357"/>
        <w:jc w:val="both"/>
      </w:pPr>
      <w:proofErr w:type="spellStart"/>
      <w:r w:rsidRPr="00F65551">
        <w:rPr>
          <w:spacing w:val="2"/>
          <w:lang w:val="ru-RU"/>
        </w:rPr>
        <w:t>мова</w:t>
      </w:r>
      <w:proofErr w:type="spellEnd"/>
      <w:r w:rsidRPr="00F65551">
        <w:rPr>
          <w:spacing w:val="2"/>
          <w:lang w:val="ru-RU"/>
        </w:rPr>
        <w:t xml:space="preserve"> </w:t>
      </w:r>
      <w:proofErr w:type="spellStart"/>
      <w:r w:rsidRPr="00F65551">
        <w:rPr>
          <w:spacing w:val="2"/>
          <w:lang w:val="ru-RU"/>
        </w:rPr>
        <w:t>видання</w:t>
      </w:r>
      <w:proofErr w:type="spellEnd"/>
      <w:r w:rsidRPr="00F65551">
        <w:rPr>
          <w:spacing w:val="2"/>
          <w:lang w:val="ru-RU"/>
        </w:rPr>
        <w:t>.</w:t>
      </w:r>
    </w:p>
    <w:p w:rsidR="00F65551" w:rsidRPr="00F65551" w:rsidRDefault="00F65551" w:rsidP="00F65551">
      <w:pPr>
        <w:tabs>
          <w:tab w:val="left" w:pos="993"/>
        </w:tabs>
        <w:spacing w:after="0"/>
        <w:ind w:right="-1" w:firstLine="709"/>
        <w:jc w:val="both"/>
        <w:rPr>
          <w:sz w:val="24"/>
          <w:szCs w:val="24"/>
        </w:rPr>
      </w:pPr>
      <w:r w:rsidRPr="00F65551">
        <w:rPr>
          <w:sz w:val="24"/>
          <w:szCs w:val="24"/>
          <w:lang w:val="ru-RU"/>
        </w:rPr>
        <w:t>2</w:t>
      </w:r>
      <w:r w:rsidRPr="00F65551">
        <w:rPr>
          <w:sz w:val="24"/>
          <w:szCs w:val="24"/>
        </w:rPr>
        <w:t>) Гарантійний лист, складений в довільній формі за підписом Учасника</w:t>
      </w:r>
      <w:r w:rsidRPr="00F65551">
        <w:rPr>
          <w:sz w:val="24"/>
          <w:szCs w:val="24"/>
          <w:lang w:val="ru-RU"/>
        </w:rPr>
        <w:t xml:space="preserve">, </w:t>
      </w:r>
      <w:proofErr w:type="spellStart"/>
      <w:r w:rsidRPr="00F65551">
        <w:rPr>
          <w:sz w:val="24"/>
          <w:szCs w:val="24"/>
          <w:lang w:val="ru-RU"/>
        </w:rPr>
        <w:t>що</w:t>
      </w:r>
      <w:proofErr w:type="spellEnd"/>
      <w:r w:rsidRPr="00F65551">
        <w:rPr>
          <w:sz w:val="24"/>
          <w:szCs w:val="24"/>
          <w:lang w:val="ru-RU"/>
        </w:rPr>
        <w:t xml:space="preserve"> </w:t>
      </w:r>
      <w:r w:rsidRPr="00F65551">
        <w:rPr>
          <w:sz w:val="24"/>
          <w:szCs w:val="24"/>
        </w:rPr>
        <w:t>термін придатності товару на момент поставки буде становити не менше 85% загального терміну придатності</w:t>
      </w:r>
      <w:r w:rsidRPr="00F65551">
        <w:rPr>
          <w:sz w:val="24"/>
          <w:szCs w:val="24"/>
          <w:lang w:val="ru-RU"/>
        </w:rPr>
        <w:t>.</w:t>
      </w:r>
      <w:r w:rsidRPr="00F65551">
        <w:rPr>
          <w:sz w:val="24"/>
          <w:szCs w:val="24"/>
        </w:rPr>
        <w:t xml:space="preserve"> </w:t>
      </w:r>
    </w:p>
    <w:p w:rsidR="00F65551" w:rsidRPr="00F65551" w:rsidRDefault="00F65551" w:rsidP="00F65551">
      <w:pPr>
        <w:widowControl w:val="0"/>
        <w:snapToGrid w:val="0"/>
        <w:spacing w:after="0"/>
        <w:ind w:firstLine="567"/>
        <w:jc w:val="both"/>
        <w:rPr>
          <w:sz w:val="24"/>
          <w:szCs w:val="24"/>
        </w:rPr>
      </w:pP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5"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16"/>
  </w:num>
  <w:num w:numId="8">
    <w:abstractNumId w:val="30"/>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5"/>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38"/>
  </w:num>
  <w:num w:numId="31">
    <w:abstractNumId w:val="13"/>
  </w:num>
  <w:num w:numId="32">
    <w:abstractNumId w:val="39"/>
  </w:num>
  <w:num w:numId="33">
    <w:abstractNumId w:val="11"/>
  </w:num>
  <w:num w:numId="34">
    <w:abstractNumId w:val="19"/>
  </w:num>
  <w:num w:numId="35">
    <w:abstractNumId w:val="9"/>
  </w:num>
  <w:num w:numId="36">
    <w:abstractNumId w:val="31"/>
  </w:num>
  <w:num w:numId="37">
    <w:abstractNumId w:val="36"/>
  </w:num>
  <w:num w:numId="38">
    <w:abstractNumId w:val="33"/>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612A9"/>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65551"/>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C088"/>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09-01217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89</cp:revision>
  <dcterms:created xsi:type="dcterms:W3CDTF">2021-12-15T12:41:00Z</dcterms:created>
  <dcterms:modified xsi:type="dcterms:W3CDTF">2023-10-23T07:49:00Z</dcterms:modified>
</cp:coreProperties>
</file>