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8F3A9E" w:rsidRPr="008F3A9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Миючий засіб </w:t>
            </w:r>
            <w:proofErr w:type="spellStart"/>
            <w:r w:rsidR="008F3A9E" w:rsidRPr="008F3A9E">
              <w:rPr>
                <w:rFonts w:ascii="Times New Roman" w:hAnsi="Times New Roman"/>
                <w:b/>
                <w:color w:val="000000" w:themeColor="text1"/>
                <w:lang w:val="uk-UA"/>
              </w:rPr>
              <w:t>neodisher</w:t>
            </w:r>
            <w:proofErr w:type="spellEnd"/>
            <w:r w:rsidR="008F3A9E" w:rsidRPr="008F3A9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8F3A9E" w:rsidRPr="008F3A9E">
              <w:rPr>
                <w:rFonts w:ascii="Times New Roman" w:hAnsi="Times New Roman"/>
                <w:b/>
                <w:color w:val="000000" w:themeColor="text1"/>
                <w:lang w:val="uk-UA"/>
              </w:rPr>
              <w:t>LaboClean</w:t>
            </w:r>
            <w:proofErr w:type="spellEnd"/>
            <w:r w:rsidR="008F3A9E" w:rsidRPr="008F3A9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FLA (5 л) , </w:t>
            </w:r>
            <w:proofErr w:type="spellStart"/>
            <w:r w:rsidR="008F3A9E" w:rsidRPr="008F3A9E">
              <w:rPr>
                <w:rFonts w:ascii="Times New Roman" w:hAnsi="Times New Roman"/>
                <w:b/>
                <w:color w:val="000000" w:themeColor="text1"/>
                <w:lang w:val="uk-UA"/>
              </w:rPr>
              <w:t>ополіскувач</w:t>
            </w:r>
            <w:proofErr w:type="spellEnd"/>
            <w:r w:rsidR="008F3A9E" w:rsidRPr="008F3A9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8F3A9E" w:rsidRPr="008F3A9E">
              <w:rPr>
                <w:rFonts w:ascii="Times New Roman" w:hAnsi="Times New Roman"/>
                <w:b/>
                <w:color w:val="000000" w:themeColor="text1"/>
                <w:lang w:val="uk-UA"/>
              </w:rPr>
              <w:t>neodisher</w:t>
            </w:r>
            <w:proofErr w:type="spellEnd"/>
            <w:r w:rsidR="008F3A9E" w:rsidRPr="008F3A9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Z (5л)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8F3A9E" w:rsidRPr="008F3A9E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39830000-9: Продукція для чищення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8F3A9E" w:rsidRPr="008F3A9E">
              <w:rPr>
                <w:b/>
                <w:color w:val="auto"/>
                <w:sz w:val="24"/>
                <w:szCs w:val="24"/>
              </w:rPr>
              <w:t>36 390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8F3A9E" w:rsidRPr="008F3A9E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березня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846621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514A47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8F3A9E" w:rsidRPr="008F3A9E">
                <w:rPr>
                  <w:rStyle w:val="a3"/>
                  <w:sz w:val="24"/>
                  <w:szCs w:val="24"/>
                </w:rPr>
                <w:t>https://prozorro.gov.ua/tender/UA-2023-03-16-011524-a</w:t>
              </w:r>
            </w:hyperlink>
          </w:p>
          <w:p w:rsidR="008A4BFA" w:rsidRPr="00FA33B2" w:rsidRDefault="008A4BFA" w:rsidP="00FA33B2">
            <w:pPr>
              <w:spacing w:after="0" w:line="276" w:lineRule="auto"/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8F3A9E" w:rsidRPr="008F3A9E" w:rsidRDefault="008F3A9E" w:rsidP="008F3A9E">
      <w:pPr>
        <w:ind w:right="22"/>
        <w:jc w:val="center"/>
        <w:rPr>
          <w:rFonts w:eastAsia="Tahoma"/>
          <w:b/>
          <w:color w:val="00000A"/>
          <w:sz w:val="24"/>
          <w:szCs w:val="24"/>
          <w:lang w:eastAsia="zh-CN" w:bidi="hi-IN"/>
        </w:rPr>
      </w:pPr>
      <w:r w:rsidRPr="008F3A9E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8F3A9E" w:rsidRPr="008F3A9E" w:rsidRDefault="008F3A9E" w:rsidP="008F3A9E">
      <w:pPr>
        <w:tabs>
          <w:tab w:val="left" w:pos="-2160"/>
        </w:tabs>
        <w:ind w:left="-426"/>
        <w:jc w:val="both"/>
        <w:rPr>
          <w:i/>
          <w:sz w:val="24"/>
          <w:szCs w:val="24"/>
        </w:rPr>
      </w:pPr>
      <w:r w:rsidRPr="008F3A9E">
        <w:rPr>
          <w:sz w:val="24"/>
          <w:szCs w:val="24"/>
          <w:lang w:eastAsia="x-none"/>
        </w:rPr>
        <w:t xml:space="preserve">1.  </w:t>
      </w:r>
      <w:r w:rsidRPr="008F3A9E">
        <w:rPr>
          <w:sz w:val="24"/>
          <w:szCs w:val="24"/>
        </w:rPr>
        <w:t xml:space="preserve">Товар має бути належним чином зареєстрований в Україні у передбаченому законодавством порядку та відповідати національним та/або міжнародним стандартам. </w:t>
      </w:r>
    </w:p>
    <w:p w:rsidR="008F3A9E" w:rsidRPr="008F3A9E" w:rsidRDefault="008F3A9E" w:rsidP="008F3A9E">
      <w:pPr>
        <w:tabs>
          <w:tab w:val="left" w:pos="-2160"/>
        </w:tabs>
        <w:ind w:left="-426"/>
        <w:jc w:val="both"/>
        <w:rPr>
          <w:i/>
          <w:sz w:val="24"/>
          <w:szCs w:val="24"/>
        </w:rPr>
      </w:pPr>
      <w:r w:rsidRPr="008F3A9E">
        <w:rPr>
          <w:i/>
          <w:sz w:val="24"/>
          <w:szCs w:val="24"/>
        </w:rPr>
        <w:t xml:space="preserve">  На підтвердження, учасник надає  у складі пропозиції, документ, що підтверджує якість: декларацію (сертифікат) про відповідність </w:t>
      </w:r>
      <w:r w:rsidRPr="008F3A9E">
        <w:rPr>
          <w:i/>
          <w:sz w:val="24"/>
          <w:szCs w:val="24"/>
          <w:lang w:eastAsia="x-none"/>
        </w:rPr>
        <w:t xml:space="preserve">виданий відповідним органом з сертифікації, акредитованим національним органом України з акредитації, який </w:t>
      </w:r>
      <w:bookmarkStart w:id="0" w:name="_GoBack"/>
      <w:bookmarkEnd w:id="0"/>
      <w:r w:rsidRPr="008F3A9E">
        <w:rPr>
          <w:i/>
          <w:sz w:val="24"/>
          <w:szCs w:val="24"/>
          <w:lang w:eastAsia="x-none"/>
        </w:rPr>
        <w:t>підтверджує встановлені вимоги до товарів, робіт і послуг та (чи) об’єктів, через які реалізуються послуги, якщо це передбачено законодавством України</w:t>
      </w:r>
      <w:r w:rsidRPr="008F3A9E">
        <w:rPr>
          <w:i/>
          <w:sz w:val="24"/>
          <w:szCs w:val="24"/>
        </w:rPr>
        <w:t xml:space="preserve">, у  чинному виданні (редакції), з урахуванням усіх змін, доповнень, оновлень, </w:t>
      </w:r>
      <w:proofErr w:type="spellStart"/>
      <w:r w:rsidRPr="008F3A9E">
        <w:rPr>
          <w:i/>
          <w:sz w:val="24"/>
          <w:szCs w:val="24"/>
        </w:rPr>
        <w:t>перевипуску</w:t>
      </w:r>
      <w:proofErr w:type="spellEnd"/>
      <w:r w:rsidRPr="008F3A9E">
        <w:rPr>
          <w:i/>
          <w:sz w:val="24"/>
          <w:szCs w:val="24"/>
        </w:rPr>
        <w:t xml:space="preserve"> тощо, які були внесені до такого документа </w:t>
      </w:r>
      <w:r w:rsidRPr="008F3A9E">
        <w:rPr>
          <w:b/>
          <w:i/>
          <w:sz w:val="24"/>
          <w:szCs w:val="24"/>
        </w:rPr>
        <w:t>або</w:t>
      </w:r>
      <w:r w:rsidRPr="008F3A9E">
        <w:rPr>
          <w:i/>
          <w:sz w:val="24"/>
          <w:szCs w:val="24"/>
        </w:rPr>
        <w:t xml:space="preserve"> висновок санітарно-епідеміологічної експертизи </w:t>
      </w:r>
      <w:r w:rsidRPr="008F3A9E">
        <w:rPr>
          <w:b/>
          <w:sz w:val="24"/>
          <w:szCs w:val="24"/>
        </w:rPr>
        <w:t>або</w:t>
      </w:r>
      <w:r w:rsidRPr="008F3A9E">
        <w:rPr>
          <w:i/>
          <w:sz w:val="24"/>
          <w:szCs w:val="24"/>
        </w:rPr>
        <w:t xml:space="preserve"> інший документ передбачений законодавством на даний вид товару.</w:t>
      </w:r>
    </w:p>
    <w:p w:rsidR="008F3A9E" w:rsidRPr="008F3A9E" w:rsidRDefault="008F3A9E" w:rsidP="008F3A9E">
      <w:pPr>
        <w:ind w:left="-426"/>
        <w:jc w:val="both"/>
        <w:rPr>
          <w:sz w:val="24"/>
          <w:szCs w:val="24"/>
          <w:lang w:eastAsia="x-none"/>
        </w:rPr>
      </w:pPr>
      <w:r w:rsidRPr="008F3A9E">
        <w:rPr>
          <w:sz w:val="24"/>
          <w:szCs w:val="24"/>
          <w:lang w:eastAsia="x-none"/>
        </w:rPr>
        <w:t xml:space="preserve">2. </w:t>
      </w:r>
      <w:r w:rsidRPr="008F3A9E">
        <w:rPr>
          <w:sz w:val="24"/>
          <w:szCs w:val="24"/>
        </w:rPr>
        <w:t>Учасник повинен надати інформацію про предмет закупівлі заповнивши</w:t>
      </w:r>
      <w:r w:rsidRPr="008F3A9E">
        <w:rPr>
          <w:b/>
          <w:sz w:val="24"/>
          <w:szCs w:val="24"/>
        </w:rPr>
        <w:t xml:space="preserve">  </w:t>
      </w:r>
      <w:r w:rsidRPr="008F3A9E">
        <w:rPr>
          <w:sz w:val="24"/>
          <w:szCs w:val="24"/>
        </w:rPr>
        <w:t>вільні поля</w:t>
      </w:r>
      <w:r w:rsidRPr="008F3A9E">
        <w:rPr>
          <w:b/>
          <w:sz w:val="24"/>
          <w:szCs w:val="24"/>
        </w:rPr>
        <w:t xml:space="preserve"> </w:t>
      </w:r>
      <w:r w:rsidRPr="008F3A9E">
        <w:rPr>
          <w:b/>
          <w:sz w:val="24"/>
          <w:szCs w:val="24"/>
          <w:u w:val="single"/>
        </w:rPr>
        <w:t>Таблиці 1</w:t>
      </w:r>
      <w:r w:rsidRPr="008F3A9E">
        <w:rPr>
          <w:spacing w:val="3"/>
          <w:sz w:val="24"/>
          <w:szCs w:val="24"/>
        </w:rPr>
        <w:t>.</w:t>
      </w:r>
    </w:p>
    <w:p w:rsidR="008F3A9E" w:rsidRPr="008F3A9E" w:rsidRDefault="008F3A9E" w:rsidP="008F3A9E">
      <w:pPr>
        <w:tabs>
          <w:tab w:val="left" w:pos="284"/>
        </w:tabs>
        <w:ind w:left="-426"/>
        <w:jc w:val="both"/>
        <w:rPr>
          <w:i/>
          <w:sz w:val="24"/>
          <w:szCs w:val="24"/>
        </w:rPr>
      </w:pPr>
      <w:r w:rsidRPr="008F3A9E">
        <w:rPr>
          <w:sz w:val="24"/>
          <w:szCs w:val="24"/>
        </w:rPr>
        <w:t>Відповідність технічних характеристик запропонованого Учасником товару, повинна бути обов’язково підтверджена посиланням на відповідні розділ(и), та/або сторінку(и) технічного документу (експлуатаційної документації):</w:t>
      </w:r>
      <w:r w:rsidRPr="008F3A9E">
        <w:rPr>
          <w:i/>
          <w:sz w:val="24"/>
          <w:szCs w:val="24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 мовою в яких міститься ця інформація разом з додаванням таких документів</w:t>
      </w:r>
      <w:r w:rsidRPr="008F3A9E">
        <w:rPr>
          <w:sz w:val="24"/>
          <w:szCs w:val="24"/>
        </w:rPr>
        <w:t>.</w:t>
      </w:r>
      <w:r w:rsidRPr="008F3A9E">
        <w:rPr>
          <w:i/>
          <w:sz w:val="24"/>
          <w:szCs w:val="24"/>
        </w:rPr>
        <w:t xml:space="preserve"> </w:t>
      </w:r>
    </w:p>
    <w:p w:rsidR="008F3A9E" w:rsidRPr="008F3A9E" w:rsidRDefault="008F3A9E" w:rsidP="008F3A9E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ind w:left="-426"/>
        <w:jc w:val="both"/>
        <w:rPr>
          <w:sz w:val="24"/>
          <w:szCs w:val="24"/>
        </w:rPr>
      </w:pPr>
      <w:bookmarkStart w:id="1" w:name="_Hlk114495189"/>
      <w:r w:rsidRPr="008F3A9E">
        <w:rPr>
          <w:sz w:val="24"/>
          <w:szCs w:val="24"/>
        </w:rPr>
        <w:t xml:space="preserve">3. </w:t>
      </w:r>
      <w:proofErr w:type="spellStart"/>
      <w:r w:rsidRPr="008F3A9E">
        <w:rPr>
          <w:sz w:val="24"/>
          <w:szCs w:val="24"/>
          <w:lang w:val="ru-RU"/>
        </w:rPr>
        <w:t>Запропонований</w:t>
      </w:r>
      <w:proofErr w:type="spellEnd"/>
      <w:r w:rsidRPr="008F3A9E">
        <w:rPr>
          <w:sz w:val="24"/>
          <w:szCs w:val="24"/>
          <w:lang w:val="ru-RU"/>
        </w:rPr>
        <w:t xml:space="preserve"> товар повинен буди п</w:t>
      </w:r>
      <w:proofErr w:type="spellStart"/>
      <w:r w:rsidRPr="008F3A9E">
        <w:rPr>
          <w:sz w:val="24"/>
          <w:szCs w:val="24"/>
        </w:rPr>
        <w:t>ридатним</w:t>
      </w:r>
      <w:proofErr w:type="spellEnd"/>
      <w:r w:rsidRPr="008F3A9E">
        <w:rPr>
          <w:sz w:val="24"/>
          <w:szCs w:val="24"/>
        </w:rPr>
        <w:t xml:space="preserve"> для використання у мийно-дезінфекційних машинах. Інформація про це повинна бути зазначена в інструкції з використання/настанови з експлуатації (надати копію відповідного документу у складі документів пропозиції). </w:t>
      </w:r>
    </w:p>
    <w:p w:rsidR="008F3A9E" w:rsidRPr="008F3A9E" w:rsidRDefault="008F3A9E" w:rsidP="008F3A9E">
      <w:pPr>
        <w:ind w:left="-426"/>
        <w:jc w:val="both"/>
        <w:rPr>
          <w:sz w:val="24"/>
          <w:szCs w:val="24"/>
        </w:rPr>
      </w:pPr>
      <w:r w:rsidRPr="008F3A9E">
        <w:rPr>
          <w:sz w:val="24"/>
          <w:szCs w:val="24"/>
        </w:rPr>
        <w:t xml:space="preserve">4. Технічні, якісні характеристики предмета закупівлі, повинні передбачати необхідність застосування заходів із захисту довкілля, відповідати вимогам </w:t>
      </w:r>
      <w:r w:rsidRPr="008F3A9E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8F3A9E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8F3A9E">
        <w:rPr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8F3A9E">
        <w:rPr>
          <w:sz w:val="24"/>
          <w:szCs w:val="24"/>
        </w:rPr>
        <w:t>, пожежної та техногенної безпеки, охорони праці та виробничої санітарії (надати довідку у довільній формі).</w:t>
      </w:r>
    </w:p>
    <w:bookmarkEnd w:id="1"/>
    <w:p w:rsidR="008F3A9E" w:rsidRPr="008F3A9E" w:rsidRDefault="008F3A9E" w:rsidP="008F3A9E">
      <w:pPr>
        <w:tabs>
          <w:tab w:val="left" w:pos="284"/>
        </w:tabs>
        <w:jc w:val="right"/>
        <w:rPr>
          <w:i/>
          <w:sz w:val="24"/>
          <w:szCs w:val="24"/>
        </w:rPr>
      </w:pPr>
      <w:r w:rsidRPr="008F3A9E">
        <w:rPr>
          <w:sz w:val="24"/>
          <w:szCs w:val="24"/>
          <w:u w:val="single"/>
        </w:rPr>
        <w:t>Таблиця 1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4401"/>
        <w:gridCol w:w="477"/>
        <w:gridCol w:w="673"/>
        <w:gridCol w:w="1435"/>
        <w:gridCol w:w="691"/>
        <w:gridCol w:w="709"/>
        <w:gridCol w:w="1842"/>
      </w:tblGrid>
      <w:tr w:rsidR="008F3A9E" w:rsidRPr="009A1D3D" w:rsidTr="0000028A">
        <w:trPr>
          <w:trHeight w:val="585"/>
        </w:trPr>
        <w:tc>
          <w:tcPr>
            <w:tcW w:w="404" w:type="dxa"/>
            <w:vMerge w:val="restart"/>
            <w:vAlign w:val="center"/>
          </w:tcPr>
          <w:p w:rsidR="008F3A9E" w:rsidRPr="009A1D3D" w:rsidRDefault="008F3A9E" w:rsidP="0000028A">
            <w:pPr>
              <w:pStyle w:val="TableParagraph"/>
              <w:spacing w:line="251" w:lineRule="exact"/>
              <w:ind w:left="103"/>
              <w:rPr>
                <w:bCs/>
                <w:sz w:val="20"/>
                <w:szCs w:val="20"/>
              </w:rPr>
            </w:pPr>
            <w:r w:rsidRPr="009A1D3D">
              <w:rPr>
                <w:bCs/>
                <w:sz w:val="20"/>
                <w:szCs w:val="20"/>
              </w:rPr>
              <w:t>№ з/п</w:t>
            </w:r>
          </w:p>
        </w:tc>
        <w:tc>
          <w:tcPr>
            <w:tcW w:w="5551" w:type="dxa"/>
            <w:gridSpan w:val="3"/>
            <w:vAlign w:val="center"/>
          </w:tcPr>
          <w:p w:rsidR="008F3A9E" w:rsidRPr="009A1D3D" w:rsidRDefault="008F3A9E" w:rsidP="0000028A">
            <w:pPr>
              <w:pStyle w:val="TableParagraph"/>
              <w:spacing w:line="251" w:lineRule="exact"/>
              <w:ind w:left="77"/>
              <w:jc w:val="center"/>
              <w:rPr>
                <w:bCs/>
                <w:sz w:val="20"/>
                <w:szCs w:val="20"/>
              </w:rPr>
            </w:pPr>
            <w:r w:rsidRPr="009A1D3D">
              <w:rPr>
                <w:bCs/>
                <w:sz w:val="20"/>
                <w:szCs w:val="20"/>
              </w:rPr>
              <w:t>Найменування товару  відповідно до вимог замовника</w:t>
            </w:r>
          </w:p>
        </w:tc>
        <w:tc>
          <w:tcPr>
            <w:tcW w:w="2835" w:type="dxa"/>
            <w:gridSpan w:val="3"/>
            <w:vAlign w:val="center"/>
          </w:tcPr>
          <w:p w:rsidR="008F3A9E" w:rsidRPr="009A1D3D" w:rsidRDefault="008F3A9E" w:rsidP="0000028A">
            <w:pPr>
              <w:pStyle w:val="TableParagraph"/>
              <w:spacing w:line="251" w:lineRule="exact"/>
              <w:ind w:left="77"/>
              <w:jc w:val="center"/>
              <w:rPr>
                <w:bCs/>
                <w:sz w:val="20"/>
                <w:szCs w:val="20"/>
              </w:rPr>
            </w:pPr>
            <w:r w:rsidRPr="009A1D3D">
              <w:rPr>
                <w:color w:val="000000"/>
                <w:sz w:val="20"/>
                <w:szCs w:val="20"/>
                <w:lang w:eastAsia="ru-RU"/>
              </w:rPr>
              <w:t>Найменування запропонованого учасником товару</w:t>
            </w:r>
            <w:r w:rsidRPr="009A1D3D">
              <w:rPr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1842" w:type="dxa"/>
            <w:vMerge w:val="restart"/>
            <w:vAlign w:val="center"/>
          </w:tcPr>
          <w:p w:rsidR="008F3A9E" w:rsidRPr="009A1D3D" w:rsidRDefault="008F3A9E" w:rsidP="0000028A">
            <w:pPr>
              <w:pStyle w:val="TableParagraph"/>
              <w:ind w:left="77"/>
              <w:jc w:val="center"/>
              <w:rPr>
                <w:bCs/>
                <w:sz w:val="20"/>
                <w:szCs w:val="20"/>
              </w:rPr>
            </w:pPr>
            <w:r w:rsidRPr="009A1D3D">
              <w:rPr>
                <w:noProof/>
                <w:sz w:val="20"/>
                <w:szCs w:val="20"/>
                <w:lang w:eastAsia="uk-UA"/>
              </w:rPr>
              <w:t xml:space="preserve">Відповідність </w:t>
            </w:r>
            <w:r>
              <w:rPr>
                <w:noProof/>
                <w:sz w:val="20"/>
                <w:szCs w:val="20"/>
                <w:lang w:eastAsia="uk-UA"/>
              </w:rPr>
              <w:t>(«</w:t>
            </w:r>
            <w:r w:rsidRPr="009A1D3D">
              <w:rPr>
                <w:noProof/>
                <w:sz w:val="20"/>
                <w:szCs w:val="20"/>
                <w:lang w:eastAsia="uk-UA"/>
              </w:rPr>
              <w:t>так</w:t>
            </w:r>
            <w:r>
              <w:rPr>
                <w:noProof/>
                <w:sz w:val="20"/>
                <w:szCs w:val="20"/>
                <w:lang w:eastAsia="uk-UA"/>
              </w:rPr>
              <w:t>»</w:t>
            </w:r>
            <w:r w:rsidRPr="009A1D3D">
              <w:rPr>
                <w:noProof/>
                <w:sz w:val="20"/>
                <w:szCs w:val="20"/>
                <w:lang w:eastAsia="uk-UA"/>
              </w:rPr>
              <w:t xml:space="preserve"> або </w:t>
            </w:r>
            <w:r>
              <w:rPr>
                <w:noProof/>
                <w:sz w:val="20"/>
                <w:szCs w:val="20"/>
                <w:lang w:eastAsia="uk-UA"/>
              </w:rPr>
              <w:t>«</w:t>
            </w:r>
            <w:r w:rsidRPr="009A1D3D">
              <w:rPr>
                <w:noProof/>
                <w:sz w:val="20"/>
                <w:szCs w:val="20"/>
                <w:lang w:eastAsia="uk-UA"/>
              </w:rPr>
              <w:t>ні</w:t>
            </w:r>
            <w:r>
              <w:rPr>
                <w:noProof/>
                <w:sz w:val="20"/>
                <w:szCs w:val="20"/>
                <w:lang w:eastAsia="uk-UA"/>
              </w:rPr>
              <w:t>»),</w:t>
            </w:r>
            <w:r w:rsidRPr="009A1D3D">
              <w:rPr>
                <w:noProof/>
                <w:sz w:val="20"/>
                <w:szCs w:val="20"/>
                <w:lang w:eastAsia="uk-UA"/>
              </w:rPr>
              <w:t xml:space="preserve"> з посиланням на </w:t>
            </w:r>
            <w:r w:rsidRPr="009A1D3D">
              <w:rPr>
                <w:i/>
                <w:sz w:val="20"/>
                <w:szCs w:val="20"/>
              </w:rPr>
              <w:t xml:space="preserve">відповідні розділ(и), </w:t>
            </w:r>
            <w:r w:rsidRPr="009A1D3D">
              <w:rPr>
                <w:i/>
                <w:sz w:val="20"/>
                <w:szCs w:val="20"/>
              </w:rPr>
              <w:lastRenderedPageBreak/>
              <w:t>та/або сторінку(и) відповідного документу</w:t>
            </w:r>
            <w:r>
              <w:rPr>
                <w:i/>
                <w:sz w:val="20"/>
                <w:szCs w:val="20"/>
              </w:rPr>
              <w:t>(зазначити номер сторінки/сторінок та назву документу, що містять відповідну інформацію)</w:t>
            </w:r>
          </w:p>
        </w:tc>
      </w:tr>
      <w:tr w:rsidR="008F3A9E" w:rsidRPr="009A1D3D" w:rsidTr="0000028A">
        <w:trPr>
          <w:trHeight w:val="32"/>
        </w:trPr>
        <w:tc>
          <w:tcPr>
            <w:tcW w:w="404" w:type="dxa"/>
            <w:vMerge/>
            <w:vAlign w:val="center"/>
          </w:tcPr>
          <w:p w:rsidR="008F3A9E" w:rsidRPr="009A1D3D" w:rsidRDefault="008F3A9E" w:rsidP="0000028A">
            <w:pPr>
              <w:pStyle w:val="TableParagraph"/>
              <w:spacing w:line="251" w:lineRule="exact"/>
              <w:ind w:left="103"/>
              <w:rPr>
                <w:bCs/>
                <w:sz w:val="20"/>
                <w:szCs w:val="20"/>
              </w:rPr>
            </w:pPr>
          </w:p>
        </w:tc>
        <w:tc>
          <w:tcPr>
            <w:tcW w:w="4401" w:type="dxa"/>
            <w:vAlign w:val="center"/>
          </w:tcPr>
          <w:p w:rsidR="008F3A9E" w:rsidRPr="009A1D3D" w:rsidRDefault="008F3A9E" w:rsidP="0000028A">
            <w:pPr>
              <w:pStyle w:val="TableParagraph"/>
              <w:spacing w:line="254" w:lineRule="exact"/>
              <w:ind w:left="180" w:right="15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  <w:r w:rsidRPr="009A1D3D">
              <w:rPr>
                <w:sz w:val="20"/>
                <w:szCs w:val="20"/>
              </w:rPr>
              <w:t xml:space="preserve"> предмета закупівлі (опис </w:t>
            </w:r>
            <w:r w:rsidRPr="009A1D3D">
              <w:rPr>
                <w:sz w:val="20"/>
                <w:szCs w:val="20"/>
              </w:rPr>
              <w:lastRenderedPageBreak/>
              <w:t>предмета закупівлі)</w:t>
            </w:r>
          </w:p>
        </w:tc>
        <w:tc>
          <w:tcPr>
            <w:tcW w:w="477" w:type="dxa"/>
            <w:vAlign w:val="center"/>
          </w:tcPr>
          <w:p w:rsidR="008F3A9E" w:rsidRPr="009A1D3D" w:rsidRDefault="008F3A9E" w:rsidP="0000028A">
            <w:pPr>
              <w:pStyle w:val="TableParagraph"/>
              <w:spacing w:line="254" w:lineRule="exact"/>
              <w:ind w:left="15"/>
              <w:jc w:val="center"/>
              <w:rPr>
                <w:bCs/>
                <w:sz w:val="20"/>
                <w:szCs w:val="20"/>
              </w:rPr>
            </w:pPr>
            <w:r w:rsidRPr="009A1D3D">
              <w:rPr>
                <w:bCs/>
                <w:sz w:val="20"/>
                <w:szCs w:val="20"/>
              </w:rPr>
              <w:lastRenderedPageBreak/>
              <w:t>Од.</w:t>
            </w:r>
            <w:r w:rsidRPr="009A1D3D">
              <w:rPr>
                <w:bCs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A1D3D">
              <w:rPr>
                <w:bCs/>
                <w:sz w:val="20"/>
                <w:szCs w:val="20"/>
              </w:rPr>
              <w:lastRenderedPageBreak/>
              <w:t>вим</w:t>
            </w:r>
            <w:proofErr w:type="spellEnd"/>
            <w:r w:rsidRPr="009A1D3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73" w:type="dxa"/>
            <w:vAlign w:val="center"/>
          </w:tcPr>
          <w:p w:rsidR="008F3A9E" w:rsidRPr="009A1D3D" w:rsidRDefault="008F3A9E" w:rsidP="0000028A">
            <w:pPr>
              <w:pStyle w:val="TableParagraph"/>
              <w:spacing w:line="251" w:lineRule="exact"/>
              <w:ind w:left="77"/>
              <w:jc w:val="center"/>
              <w:rPr>
                <w:bCs/>
                <w:sz w:val="20"/>
                <w:szCs w:val="20"/>
              </w:rPr>
            </w:pPr>
            <w:r w:rsidRPr="009A1D3D">
              <w:rPr>
                <w:bCs/>
                <w:sz w:val="20"/>
                <w:szCs w:val="20"/>
              </w:rPr>
              <w:lastRenderedPageBreak/>
              <w:t>Кількі</w:t>
            </w:r>
            <w:r w:rsidRPr="009A1D3D">
              <w:rPr>
                <w:bCs/>
                <w:sz w:val="20"/>
                <w:szCs w:val="20"/>
              </w:rPr>
              <w:lastRenderedPageBreak/>
              <w:t>сть одиниць</w:t>
            </w:r>
          </w:p>
        </w:tc>
        <w:tc>
          <w:tcPr>
            <w:tcW w:w="1435" w:type="dxa"/>
            <w:vAlign w:val="center"/>
          </w:tcPr>
          <w:p w:rsidR="008F3A9E" w:rsidRPr="009A1D3D" w:rsidRDefault="008F3A9E" w:rsidP="0000028A">
            <w:pPr>
              <w:pStyle w:val="TableParagraph"/>
              <w:spacing w:line="251" w:lineRule="exact"/>
              <w:ind w:left="77"/>
              <w:jc w:val="center"/>
              <w:rPr>
                <w:bCs/>
                <w:sz w:val="20"/>
                <w:szCs w:val="20"/>
              </w:rPr>
            </w:pPr>
            <w:r w:rsidRPr="009A1D3D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Назва </w:t>
            </w:r>
            <w:r w:rsidRPr="009A1D3D">
              <w:rPr>
                <w:color w:val="000000"/>
                <w:sz w:val="20"/>
                <w:szCs w:val="20"/>
                <w:lang w:eastAsia="ru-RU"/>
              </w:rPr>
              <w:lastRenderedPageBreak/>
              <w:t>запропонованого товару/Виробник (Країна походження) товару</w:t>
            </w:r>
          </w:p>
        </w:tc>
        <w:tc>
          <w:tcPr>
            <w:tcW w:w="691" w:type="dxa"/>
            <w:vAlign w:val="center"/>
          </w:tcPr>
          <w:p w:rsidR="008F3A9E" w:rsidRPr="009A1D3D" w:rsidRDefault="008F3A9E" w:rsidP="0000028A">
            <w:pPr>
              <w:pStyle w:val="TableParagraph"/>
              <w:spacing w:line="251" w:lineRule="exact"/>
              <w:ind w:left="-14"/>
              <w:jc w:val="center"/>
              <w:rPr>
                <w:bCs/>
                <w:sz w:val="20"/>
                <w:szCs w:val="20"/>
              </w:rPr>
            </w:pPr>
            <w:r w:rsidRPr="009A1D3D">
              <w:rPr>
                <w:bCs/>
                <w:sz w:val="20"/>
                <w:szCs w:val="20"/>
              </w:rPr>
              <w:lastRenderedPageBreak/>
              <w:t>Одиниц</w:t>
            </w:r>
            <w:r w:rsidRPr="009A1D3D">
              <w:rPr>
                <w:bCs/>
                <w:sz w:val="20"/>
                <w:szCs w:val="20"/>
              </w:rPr>
              <w:lastRenderedPageBreak/>
              <w:t xml:space="preserve">я </w:t>
            </w:r>
            <w:r w:rsidRPr="009A1D3D">
              <w:rPr>
                <w:bCs/>
                <w:spacing w:val="-52"/>
                <w:sz w:val="20"/>
                <w:szCs w:val="20"/>
              </w:rPr>
              <w:t xml:space="preserve"> </w:t>
            </w:r>
            <w:r w:rsidRPr="009A1D3D">
              <w:rPr>
                <w:bCs/>
                <w:sz w:val="20"/>
                <w:szCs w:val="20"/>
              </w:rPr>
              <w:t>виміру</w:t>
            </w:r>
          </w:p>
        </w:tc>
        <w:tc>
          <w:tcPr>
            <w:tcW w:w="709" w:type="dxa"/>
            <w:vAlign w:val="center"/>
          </w:tcPr>
          <w:p w:rsidR="008F3A9E" w:rsidRPr="009A1D3D" w:rsidRDefault="008F3A9E" w:rsidP="0000028A">
            <w:pPr>
              <w:pStyle w:val="TableParagraph"/>
              <w:spacing w:line="251" w:lineRule="exact"/>
              <w:ind w:left="77"/>
              <w:rPr>
                <w:bCs/>
                <w:sz w:val="20"/>
                <w:szCs w:val="20"/>
              </w:rPr>
            </w:pPr>
            <w:r w:rsidRPr="009A1D3D">
              <w:rPr>
                <w:bCs/>
                <w:sz w:val="20"/>
                <w:szCs w:val="20"/>
              </w:rPr>
              <w:lastRenderedPageBreak/>
              <w:t>Кількіс</w:t>
            </w:r>
            <w:r w:rsidRPr="009A1D3D">
              <w:rPr>
                <w:bCs/>
                <w:sz w:val="20"/>
                <w:szCs w:val="20"/>
              </w:rPr>
              <w:lastRenderedPageBreak/>
              <w:t>ть</w:t>
            </w:r>
          </w:p>
        </w:tc>
        <w:tc>
          <w:tcPr>
            <w:tcW w:w="1842" w:type="dxa"/>
            <w:vMerge/>
            <w:vAlign w:val="center"/>
          </w:tcPr>
          <w:p w:rsidR="008F3A9E" w:rsidRPr="009A1D3D" w:rsidRDefault="008F3A9E" w:rsidP="0000028A">
            <w:pPr>
              <w:pStyle w:val="TableParagraph"/>
              <w:spacing w:line="251" w:lineRule="exact"/>
              <w:ind w:left="77"/>
              <w:rPr>
                <w:bCs/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640"/>
        </w:trPr>
        <w:tc>
          <w:tcPr>
            <w:tcW w:w="404" w:type="dxa"/>
            <w:vMerge w:val="restart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9A1D3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01" w:type="dxa"/>
          </w:tcPr>
          <w:p w:rsidR="008F3A9E" w:rsidRPr="00887A2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b/>
                <w:sz w:val="20"/>
                <w:szCs w:val="20"/>
              </w:rPr>
            </w:pPr>
            <w:r w:rsidRPr="00887A2D">
              <w:rPr>
                <w:b/>
                <w:i/>
                <w:sz w:val="20"/>
                <w:szCs w:val="20"/>
              </w:rPr>
              <w:t xml:space="preserve">Лужний миючий засіб </w:t>
            </w:r>
            <w:r w:rsidRPr="00887A2D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887A2D">
              <w:rPr>
                <w:b/>
                <w:sz w:val="20"/>
                <w:szCs w:val="20"/>
              </w:rPr>
              <w:t>Neodisher</w:t>
            </w:r>
            <w:proofErr w:type="spellEnd"/>
            <w:r w:rsidRPr="00887A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7A2D">
              <w:rPr>
                <w:b/>
                <w:sz w:val="20"/>
                <w:szCs w:val="20"/>
                <w:lang w:val="en-US"/>
              </w:rPr>
              <w:t>LaboClean</w:t>
            </w:r>
            <w:proofErr w:type="spellEnd"/>
            <w:r w:rsidRPr="00887A2D">
              <w:rPr>
                <w:b/>
                <w:sz w:val="20"/>
                <w:szCs w:val="20"/>
              </w:rPr>
              <w:t xml:space="preserve"> </w:t>
            </w:r>
            <w:r w:rsidRPr="00887A2D">
              <w:rPr>
                <w:b/>
                <w:sz w:val="20"/>
                <w:szCs w:val="20"/>
                <w:lang w:val="en-US"/>
              </w:rPr>
              <w:t>FLA</w:t>
            </w:r>
            <w:r w:rsidRPr="00887A2D">
              <w:rPr>
                <w:b/>
                <w:sz w:val="20"/>
                <w:szCs w:val="20"/>
              </w:rPr>
              <w:t xml:space="preserve"> або еквівалент для використання у спеціалізованих  мийних машинах, 5 л.</w:t>
            </w:r>
          </w:p>
        </w:tc>
        <w:tc>
          <w:tcPr>
            <w:tcW w:w="477" w:type="dxa"/>
            <w:vMerge w:val="restart"/>
          </w:tcPr>
          <w:p w:rsidR="008F3A9E" w:rsidRPr="00887A2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к</w:t>
            </w:r>
            <w:r w:rsidRPr="009A1D3D">
              <w:rPr>
                <w:b/>
                <w:sz w:val="20"/>
                <w:szCs w:val="20"/>
                <w:lang w:val="en-US"/>
              </w:rPr>
              <w:t>аністра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vMerge w:val="restart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b/>
                <w:sz w:val="20"/>
                <w:szCs w:val="20"/>
                <w:lang w:val="ru-RU"/>
              </w:rPr>
            </w:pPr>
            <w:r w:rsidRPr="009A1D3D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435" w:type="dxa"/>
            <w:vMerge w:val="restart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385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b/>
                <w:sz w:val="20"/>
                <w:szCs w:val="20"/>
              </w:rPr>
            </w:pPr>
            <w:r w:rsidRPr="009A1D3D">
              <w:rPr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9A1D3D">
              <w:rPr>
                <w:sz w:val="20"/>
                <w:szCs w:val="20"/>
                <w:lang w:val="ru-RU"/>
              </w:rPr>
              <w:t>випуску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>-р</w:t>
            </w:r>
            <w:proofErr w:type="spellStart"/>
            <w:r w:rsidRPr="009A1D3D">
              <w:rPr>
                <w:sz w:val="20"/>
                <w:szCs w:val="20"/>
              </w:rPr>
              <w:t>ідкий</w:t>
            </w:r>
            <w:proofErr w:type="spellEnd"/>
            <w:r w:rsidRPr="009A1D3D">
              <w:rPr>
                <w:sz w:val="20"/>
                <w:szCs w:val="20"/>
              </w:rPr>
              <w:t xml:space="preserve"> концентрат.</w:t>
            </w:r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478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b/>
                <w:sz w:val="20"/>
                <w:szCs w:val="20"/>
              </w:rPr>
            </w:pPr>
            <w:r w:rsidRPr="009A1D3D">
              <w:rPr>
                <w:sz w:val="20"/>
                <w:szCs w:val="20"/>
              </w:rPr>
              <w:t xml:space="preserve">Лужний миючий засіб з утримання ПАР не має вмісту фосфатів, </w:t>
            </w:r>
            <w:proofErr w:type="spellStart"/>
            <w:r w:rsidRPr="009A1D3D">
              <w:rPr>
                <w:sz w:val="20"/>
                <w:szCs w:val="20"/>
              </w:rPr>
              <w:t>окислювачів</w:t>
            </w:r>
            <w:proofErr w:type="spellEnd"/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478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 w:right="57"/>
              <w:rPr>
                <w:b/>
                <w:sz w:val="20"/>
                <w:szCs w:val="20"/>
              </w:rPr>
            </w:pPr>
            <w:r w:rsidRPr="009A1D3D">
              <w:rPr>
                <w:sz w:val="20"/>
                <w:szCs w:val="20"/>
              </w:rPr>
              <w:t xml:space="preserve"> Миючий засіб має містити гідроксид калію, 5-15% </w:t>
            </w:r>
            <w:proofErr w:type="spellStart"/>
            <w:r w:rsidRPr="009A1D3D">
              <w:rPr>
                <w:sz w:val="20"/>
                <w:szCs w:val="20"/>
              </w:rPr>
              <w:t>полікарбоксилати</w:t>
            </w:r>
            <w:proofErr w:type="spellEnd"/>
            <w:r w:rsidRPr="009A1D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478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A1D3D">
              <w:rPr>
                <w:sz w:val="20"/>
                <w:szCs w:val="20"/>
                <w:lang w:val="ru-RU"/>
              </w:rPr>
              <w:t>Рівень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 xml:space="preserve"> рН (2 - 6 мл/л в </w:t>
            </w:r>
            <w:proofErr w:type="spellStart"/>
            <w:r w:rsidRPr="009A1D3D">
              <w:rPr>
                <w:sz w:val="20"/>
                <w:szCs w:val="20"/>
                <w:lang w:val="ru-RU"/>
              </w:rPr>
              <w:t>деіонізованій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A1D3D">
              <w:rPr>
                <w:sz w:val="20"/>
                <w:szCs w:val="20"/>
                <w:lang w:val="ru-RU"/>
              </w:rPr>
              <w:t>воді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>): в межах 12,2-12,9</w:t>
            </w:r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478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9A1D3D">
              <w:rPr>
                <w:sz w:val="20"/>
                <w:szCs w:val="20"/>
                <w:lang w:val="ru-RU"/>
              </w:rPr>
              <w:t>Дозування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 xml:space="preserve">: 2-6 мл/л через </w:t>
            </w:r>
            <w:proofErr w:type="spellStart"/>
            <w:r w:rsidRPr="009A1D3D">
              <w:rPr>
                <w:sz w:val="20"/>
                <w:szCs w:val="20"/>
                <w:lang w:val="ru-RU"/>
              </w:rPr>
              <w:t>дозуючий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1D3D">
              <w:rPr>
                <w:sz w:val="20"/>
                <w:szCs w:val="20"/>
                <w:lang w:val="ru-RU"/>
              </w:rPr>
              <w:t>пристр</w:t>
            </w:r>
            <w:r w:rsidRPr="009A1D3D">
              <w:rPr>
                <w:sz w:val="20"/>
                <w:szCs w:val="20"/>
              </w:rPr>
              <w:t>ій</w:t>
            </w:r>
            <w:proofErr w:type="spellEnd"/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478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sz w:val="20"/>
                <w:szCs w:val="20"/>
              </w:rPr>
            </w:pPr>
            <w:r w:rsidRPr="009A1D3D">
              <w:rPr>
                <w:sz w:val="20"/>
                <w:szCs w:val="20"/>
              </w:rPr>
              <w:t xml:space="preserve">В’язкість (концентрат 20°С): менше 50 </w:t>
            </w:r>
            <w:proofErr w:type="spellStart"/>
            <w:r w:rsidRPr="009A1D3D">
              <w:rPr>
                <w:sz w:val="20"/>
                <w:szCs w:val="20"/>
              </w:rPr>
              <w:t>mPas</w:t>
            </w:r>
            <w:proofErr w:type="spellEnd"/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478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b/>
                <w:sz w:val="20"/>
                <w:szCs w:val="20"/>
              </w:rPr>
            </w:pPr>
            <w:r w:rsidRPr="009A1D3D">
              <w:rPr>
                <w:sz w:val="20"/>
                <w:szCs w:val="20"/>
              </w:rPr>
              <w:t>Призначення: Автоматична мийка лабораторного скла в лабораторії.</w:t>
            </w:r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640"/>
        </w:trPr>
        <w:tc>
          <w:tcPr>
            <w:tcW w:w="404" w:type="dxa"/>
            <w:vMerge w:val="restart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9A1D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01" w:type="dxa"/>
          </w:tcPr>
          <w:p w:rsidR="008F3A9E" w:rsidRPr="00887A2D" w:rsidRDefault="008F3A9E" w:rsidP="0000028A">
            <w:pPr>
              <w:pStyle w:val="TableParagraph"/>
              <w:spacing w:line="247" w:lineRule="exact"/>
              <w:ind w:left="57" w:right="57"/>
              <w:rPr>
                <w:b/>
                <w:sz w:val="20"/>
                <w:szCs w:val="20"/>
              </w:rPr>
            </w:pPr>
            <w:r w:rsidRPr="00887A2D">
              <w:rPr>
                <w:b/>
                <w:i/>
                <w:sz w:val="20"/>
                <w:szCs w:val="20"/>
              </w:rPr>
              <w:t>Кислотний миючий та нейтралізуючий засіб (</w:t>
            </w:r>
            <w:proofErr w:type="spellStart"/>
            <w:r w:rsidRPr="00887A2D">
              <w:rPr>
                <w:b/>
                <w:i/>
                <w:sz w:val="20"/>
                <w:szCs w:val="20"/>
              </w:rPr>
              <w:t>ополіскувач</w:t>
            </w:r>
            <w:proofErr w:type="spellEnd"/>
            <w:r w:rsidRPr="00887A2D">
              <w:rPr>
                <w:b/>
                <w:i/>
                <w:sz w:val="20"/>
                <w:szCs w:val="20"/>
              </w:rPr>
              <w:t xml:space="preserve">) </w:t>
            </w:r>
            <w:r w:rsidRPr="00887A2D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887A2D">
              <w:rPr>
                <w:b/>
                <w:sz w:val="20"/>
                <w:szCs w:val="20"/>
              </w:rPr>
              <w:t>Neodisher</w:t>
            </w:r>
            <w:proofErr w:type="spellEnd"/>
            <w:r w:rsidRPr="00887A2D">
              <w:rPr>
                <w:b/>
                <w:sz w:val="20"/>
                <w:szCs w:val="20"/>
              </w:rPr>
              <w:t xml:space="preserve"> </w:t>
            </w:r>
            <w:r w:rsidRPr="00887A2D">
              <w:rPr>
                <w:b/>
                <w:sz w:val="20"/>
                <w:szCs w:val="20"/>
                <w:lang w:val="en-US"/>
              </w:rPr>
              <w:t>Z</w:t>
            </w:r>
            <w:r w:rsidRPr="00887A2D">
              <w:rPr>
                <w:b/>
                <w:sz w:val="20"/>
                <w:szCs w:val="20"/>
              </w:rPr>
              <w:t xml:space="preserve"> або еквівалент для використання у спеціалізованих  мийних машинах, 5 л.</w:t>
            </w:r>
          </w:p>
        </w:tc>
        <w:tc>
          <w:tcPr>
            <w:tcW w:w="477" w:type="dxa"/>
            <w:vMerge w:val="restart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9A1D3D">
              <w:rPr>
                <w:b/>
                <w:sz w:val="20"/>
                <w:szCs w:val="20"/>
              </w:rPr>
              <w:t>каністра</w:t>
            </w:r>
          </w:p>
        </w:tc>
        <w:tc>
          <w:tcPr>
            <w:tcW w:w="673" w:type="dxa"/>
            <w:vMerge w:val="restart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b/>
                <w:sz w:val="20"/>
                <w:szCs w:val="20"/>
                <w:lang w:val="ru-RU"/>
              </w:rPr>
            </w:pPr>
            <w:r w:rsidRPr="009A1D3D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435" w:type="dxa"/>
            <w:vMerge w:val="restart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385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b/>
                <w:sz w:val="20"/>
                <w:szCs w:val="20"/>
              </w:rPr>
            </w:pPr>
            <w:r w:rsidRPr="009A1D3D">
              <w:rPr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9A1D3D">
              <w:rPr>
                <w:sz w:val="20"/>
                <w:szCs w:val="20"/>
                <w:lang w:val="ru-RU"/>
              </w:rPr>
              <w:t>випуску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>-р</w:t>
            </w:r>
            <w:proofErr w:type="spellStart"/>
            <w:r w:rsidRPr="009A1D3D">
              <w:rPr>
                <w:sz w:val="20"/>
                <w:szCs w:val="20"/>
              </w:rPr>
              <w:t>ідкий</w:t>
            </w:r>
            <w:proofErr w:type="spellEnd"/>
            <w:r w:rsidRPr="009A1D3D">
              <w:rPr>
                <w:sz w:val="20"/>
                <w:szCs w:val="20"/>
              </w:rPr>
              <w:t xml:space="preserve"> концентрат.</w:t>
            </w:r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478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b/>
                <w:sz w:val="20"/>
                <w:szCs w:val="20"/>
              </w:rPr>
            </w:pPr>
            <w:r w:rsidRPr="009A1D3D">
              <w:rPr>
                <w:sz w:val="20"/>
                <w:szCs w:val="20"/>
              </w:rPr>
              <w:t>Кислотний миючий засіб з утримання ПАР не має вмісту фосфатів</w:t>
            </w:r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478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A1D3D">
              <w:rPr>
                <w:sz w:val="20"/>
                <w:szCs w:val="20"/>
                <w:lang w:val="ru-RU"/>
              </w:rPr>
              <w:t>Рівень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 xml:space="preserve"> рН (1 - 5 мл/л в </w:t>
            </w:r>
            <w:proofErr w:type="spellStart"/>
            <w:r w:rsidRPr="009A1D3D">
              <w:rPr>
                <w:sz w:val="20"/>
                <w:szCs w:val="20"/>
                <w:lang w:val="ru-RU"/>
              </w:rPr>
              <w:t>деіонізованій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A1D3D">
              <w:rPr>
                <w:sz w:val="20"/>
                <w:szCs w:val="20"/>
                <w:lang w:val="ru-RU"/>
              </w:rPr>
              <w:t>воді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>): в межах 3-2,6</w:t>
            </w:r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478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rPr>
                <w:sz w:val="20"/>
                <w:szCs w:val="20"/>
              </w:rPr>
            </w:pPr>
            <w:proofErr w:type="spellStart"/>
            <w:r w:rsidRPr="009A1D3D">
              <w:rPr>
                <w:sz w:val="20"/>
                <w:szCs w:val="20"/>
                <w:lang w:val="ru-RU"/>
              </w:rPr>
              <w:t>Дозування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 xml:space="preserve">: 1-2 мл/л через </w:t>
            </w:r>
            <w:proofErr w:type="spellStart"/>
            <w:r w:rsidRPr="009A1D3D">
              <w:rPr>
                <w:sz w:val="20"/>
                <w:szCs w:val="20"/>
                <w:lang w:val="ru-RU"/>
              </w:rPr>
              <w:t>дозуючий</w:t>
            </w:r>
            <w:proofErr w:type="spellEnd"/>
            <w:r w:rsidRPr="009A1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1D3D">
              <w:rPr>
                <w:sz w:val="20"/>
                <w:szCs w:val="20"/>
                <w:lang w:val="ru-RU"/>
              </w:rPr>
              <w:t>пристр</w:t>
            </w:r>
            <w:r w:rsidRPr="009A1D3D">
              <w:rPr>
                <w:sz w:val="20"/>
                <w:szCs w:val="20"/>
              </w:rPr>
              <w:t>ій</w:t>
            </w:r>
            <w:proofErr w:type="spellEnd"/>
            <w:r w:rsidRPr="009A1D3D">
              <w:rPr>
                <w:sz w:val="20"/>
                <w:szCs w:val="20"/>
              </w:rPr>
              <w:t xml:space="preserve"> в якості нейтралізуючого засобу</w:t>
            </w:r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478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sz w:val="20"/>
                <w:szCs w:val="20"/>
              </w:rPr>
            </w:pPr>
            <w:r w:rsidRPr="009A1D3D">
              <w:rPr>
                <w:sz w:val="20"/>
                <w:szCs w:val="20"/>
              </w:rPr>
              <w:t xml:space="preserve">В’язкість (концентрат 20°С): менше 10 </w:t>
            </w:r>
            <w:proofErr w:type="spellStart"/>
            <w:r w:rsidRPr="009A1D3D">
              <w:rPr>
                <w:sz w:val="20"/>
                <w:szCs w:val="20"/>
              </w:rPr>
              <w:t>mPas</w:t>
            </w:r>
            <w:proofErr w:type="spellEnd"/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  <w:tr w:rsidR="008F3A9E" w:rsidRPr="009A1D3D" w:rsidTr="0000028A">
        <w:trPr>
          <w:trHeight w:val="478"/>
        </w:trPr>
        <w:tc>
          <w:tcPr>
            <w:tcW w:w="404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57" w:right="57"/>
              <w:jc w:val="both"/>
              <w:rPr>
                <w:b/>
                <w:sz w:val="20"/>
                <w:szCs w:val="20"/>
              </w:rPr>
            </w:pPr>
            <w:r w:rsidRPr="009A1D3D">
              <w:rPr>
                <w:sz w:val="20"/>
                <w:szCs w:val="20"/>
              </w:rPr>
              <w:t>Призначення: використання як нейтралізуючого засобу після застосування лужного миючого засобу в процесі автоматичної мийки лабораторного скла.</w:t>
            </w:r>
          </w:p>
        </w:tc>
        <w:tc>
          <w:tcPr>
            <w:tcW w:w="477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A9E" w:rsidRPr="009A1D3D" w:rsidRDefault="008F3A9E" w:rsidP="0000028A">
            <w:pPr>
              <w:pStyle w:val="TableParagraph"/>
              <w:spacing w:line="247" w:lineRule="exact"/>
              <w:ind w:left="94"/>
              <w:jc w:val="center"/>
              <w:rPr>
                <w:sz w:val="20"/>
                <w:szCs w:val="20"/>
              </w:rPr>
            </w:pPr>
          </w:p>
        </w:tc>
      </w:tr>
    </w:tbl>
    <w:p w:rsidR="008F3A9E" w:rsidRDefault="008F3A9E" w:rsidP="008F3A9E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ind w:left="-426"/>
        <w:jc w:val="both"/>
        <w:rPr>
          <w:rFonts w:eastAsia="Tahoma"/>
          <w:color w:val="00000A"/>
          <w:sz w:val="20"/>
          <w:szCs w:val="20"/>
          <w:lang w:bidi="hi-IN"/>
        </w:rPr>
      </w:pPr>
      <w:r>
        <w:rPr>
          <w:rFonts w:eastAsia="Tahoma"/>
          <w:color w:val="00000A"/>
          <w:sz w:val="20"/>
          <w:szCs w:val="20"/>
          <w:lang w:bidi="hi-IN"/>
        </w:rPr>
        <w:t>*</w:t>
      </w:r>
      <w:r w:rsidRPr="00716CB9">
        <w:rPr>
          <w:rFonts w:eastAsia="Tahoma"/>
          <w:color w:val="00000A"/>
          <w:sz w:val="20"/>
          <w:szCs w:val="20"/>
          <w:lang w:bidi="hi-IN"/>
        </w:rPr>
        <w:t>*</w:t>
      </w:r>
      <w:r w:rsidRPr="00716CB9">
        <w:rPr>
          <w:sz w:val="20"/>
          <w:szCs w:val="20"/>
          <w:lang w:eastAsia="ar-SA"/>
        </w:rPr>
        <w:t>У складі тендерної пропозиції Учасник вказує назву товару, що пропонується Учасником до постачання, у тому вигляді, як буде зазначатися у специфікації до майбутнього договору про закупівлю та у видаткових накладних Учасника.</w:t>
      </w:r>
      <w:r w:rsidRPr="00716CB9">
        <w:rPr>
          <w:rFonts w:eastAsia="Tahoma"/>
          <w:color w:val="00000A"/>
          <w:sz w:val="20"/>
          <w:szCs w:val="20"/>
          <w:lang w:bidi="hi-IN"/>
        </w:rPr>
        <w:t xml:space="preserve"> </w:t>
      </w:r>
    </w:p>
    <w:p w:rsidR="008F3A9E" w:rsidRPr="002976BB" w:rsidRDefault="008F3A9E" w:rsidP="008F3A9E">
      <w:pPr>
        <w:jc w:val="both"/>
      </w:pPr>
    </w:p>
    <w:p w:rsidR="00E6414D" w:rsidRPr="00660B38" w:rsidRDefault="00E6414D" w:rsidP="008F3A9E">
      <w:pPr>
        <w:spacing w:before="240" w:after="0" w:line="240" w:lineRule="auto"/>
        <w:ind w:right="-23"/>
        <w:jc w:val="center"/>
        <w:rPr>
          <w:b/>
          <w:sz w:val="24"/>
          <w:szCs w:val="24"/>
        </w:rPr>
      </w:pPr>
    </w:p>
    <w:sectPr w:rsidR="00E6414D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4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E3C14"/>
    <w:rsid w:val="002F48D8"/>
    <w:rsid w:val="00514A47"/>
    <w:rsid w:val="0059366D"/>
    <w:rsid w:val="006475BF"/>
    <w:rsid w:val="006E7BB0"/>
    <w:rsid w:val="00703BD9"/>
    <w:rsid w:val="00757713"/>
    <w:rsid w:val="00771B9F"/>
    <w:rsid w:val="00805CB7"/>
    <w:rsid w:val="00814D6C"/>
    <w:rsid w:val="00846621"/>
    <w:rsid w:val="008A4BFA"/>
    <w:rsid w:val="008F3A9E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E551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6-01152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41</cp:revision>
  <dcterms:created xsi:type="dcterms:W3CDTF">2021-12-15T12:41:00Z</dcterms:created>
  <dcterms:modified xsi:type="dcterms:W3CDTF">2023-04-05T11:22:00Z</dcterms:modified>
</cp:coreProperties>
</file>