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A16128">
        <w:tc>
          <w:tcPr>
            <w:tcW w:w="3271" w:type="dxa"/>
          </w:tcPr>
          <w:p w:rsidR="00A16128" w:rsidRDefault="00A16128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A16128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червня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A16128" w:rsidRDefault="00A16128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Default="00A16128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№ 953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3A35">
        <w:rPr>
          <w:rFonts w:ascii="Times New Roman" w:hAnsi="Times New Roman"/>
          <w:sz w:val="28"/>
          <w:szCs w:val="28"/>
          <w:lang w:val="uk-UA"/>
        </w:rPr>
        <w:t>2</w:t>
      </w:r>
      <w:r w:rsidR="00000A9D">
        <w:rPr>
          <w:rFonts w:ascii="Times New Roman" w:hAnsi="Times New Roman"/>
          <w:sz w:val="28"/>
          <w:szCs w:val="28"/>
          <w:lang w:val="uk-UA"/>
        </w:rPr>
        <w:t>5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травня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D63A35" w:rsidRPr="00D63A35" w:rsidRDefault="00D63A35" w:rsidP="00FC73F7">
      <w:pPr>
        <w:pStyle w:val="31"/>
        <w:ind w:left="0"/>
        <w:rPr>
          <w:b/>
          <w:bCs/>
          <w:lang w:val="uk-UA"/>
        </w:rPr>
      </w:pPr>
    </w:p>
    <w:p w:rsidR="00BE64DF" w:rsidRPr="00A35CDB" w:rsidRDefault="00BE64DF" w:rsidP="00A35CDB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(медичних</w:t>
      </w:r>
      <w:r w:rsidR="00A35CDB">
        <w:rPr>
          <w:sz w:val="28"/>
          <w:szCs w:val="28"/>
          <w:lang w:val="uk-UA"/>
        </w:rPr>
        <w:t xml:space="preserve"> </w:t>
      </w:r>
      <w:r w:rsidRPr="00A35CDB">
        <w:rPr>
          <w:sz w:val="28"/>
          <w:szCs w:val="28"/>
          <w:lang w:val="uk-UA"/>
        </w:rPr>
        <w:t>імунобіологічних препаратів) згідно з переліком (додаток).</w:t>
      </w:r>
    </w:p>
    <w:p w:rsidR="00927311" w:rsidRPr="00957C7E" w:rsidRDefault="00927311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D63A35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A35CDB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382276" w:rsidRDefault="00382276" w:rsidP="00BE64DF">
      <w:pPr>
        <w:rPr>
          <w:b/>
          <w:sz w:val="28"/>
          <w:szCs w:val="28"/>
          <w:lang w:val="uk-UA"/>
        </w:rPr>
        <w:sectPr w:rsidR="00382276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82276" w:rsidRPr="005A3F18" w:rsidTr="00F6454B">
        <w:tc>
          <w:tcPr>
            <w:tcW w:w="3825" w:type="dxa"/>
            <w:hideMark/>
          </w:tcPr>
          <w:p w:rsidR="00382276" w:rsidRPr="00382276" w:rsidRDefault="00382276" w:rsidP="0038227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82276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382276" w:rsidRPr="00382276" w:rsidRDefault="00382276" w:rsidP="0038227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82276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382276" w:rsidRPr="00382276" w:rsidRDefault="00382276" w:rsidP="0038227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82276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382276" w:rsidRPr="00F67CFD" w:rsidRDefault="00382276" w:rsidP="0038227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F67CFD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03 червня 2022 року № 953  </w:t>
            </w:r>
          </w:p>
        </w:tc>
      </w:tr>
    </w:tbl>
    <w:p w:rsidR="00382276" w:rsidRPr="005A3F18" w:rsidRDefault="00382276" w:rsidP="0038227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382276" w:rsidRPr="00604A81" w:rsidRDefault="00382276" w:rsidP="00382276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382276" w:rsidRPr="005A3F18" w:rsidRDefault="00382276" w:rsidP="0038227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418"/>
        <w:gridCol w:w="2126"/>
        <w:gridCol w:w="1559"/>
        <w:gridCol w:w="1134"/>
        <w:gridCol w:w="1134"/>
        <w:gridCol w:w="993"/>
        <w:gridCol w:w="1560"/>
      </w:tblGrid>
      <w:tr w:rsidR="00382276" w:rsidRPr="00F97553" w:rsidTr="00382276">
        <w:trPr>
          <w:tblHeader/>
        </w:trPr>
        <w:tc>
          <w:tcPr>
            <w:tcW w:w="567" w:type="dxa"/>
            <w:shd w:val="clear" w:color="auto" w:fill="D9D9D9"/>
            <w:hideMark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D9D9D9"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shd w:val="clear" w:color="auto" w:fill="D9D9D9"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shd w:val="clear" w:color="auto" w:fill="D9D9D9"/>
          </w:tcPr>
          <w:p w:rsidR="00382276" w:rsidRPr="00F97553" w:rsidRDefault="00382276" w:rsidP="003822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shd w:val="clear" w:color="auto" w:fill="D9D9D9"/>
          </w:tcPr>
          <w:p w:rsidR="00382276" w:rsidRPr="00F97553" w:rsidRDefault="00382276" w:rsidP="003822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shd w:val="clear" w:color="auto" w:fill="D9D9D9"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559" w:type="dxa"/>
            <w:shd w:val="clear" w:color="auto" w:fill="D9D9D9"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shd w:val="clear" w:color="auto" w:fill="D9D9D9"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D9D9D9"/>
          </w:tcPr>
          <w:p w:rsidR="00382276" w:rsidRPr="00F97553" w:rsidRDefault="00382276" w:rsidP="003822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shd w:val="clear" w:color="auto" w:fill="D9D9D9"/>
          </w:tcPr>
          <w:p w:rsidR="00382276" w:rsidRPr="00F97553" w:rsidRDefault="00382276" w:rsidP="003822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382276" w:rsidRPr="00F97553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82276" w:rsidRPr="00F97553" w:rsidTr="00382276">
        <w:tc>
          <w:tcPr>
            <w:tcW w:w="567" w:type="dxa"/>
            <w:shd w:val="clear" w:color="auto" w:fill="auto"/>
          </w:tcPr>
          <w:p w:rsidR="00382276" w:rsidRPr="00F97553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 xml:space="preserve">АМБРІЗЕНТАН АККОРД /AMBRISENTAN ACCORD 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мг, по 10 таблеток у блістері, по 3 блістери в пачці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Хелскеа Б.В. 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серії, відповідальний за випуск серії: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Делорбіс Фармасьютікалз Лімітед, Кіпр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352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виробництво, первинне пакування, вторинне пакування: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АЕТ Лабораторіз Прайвет Лтд., Індія;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АККОРД ХЕЛСКЕА ЛІМІТЕД, Велика Британія;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Синоптиз Індастріал Сп. з о.о., Польща;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ФАРМАВАЛІД Лтд. 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Мікробіологічна лабораторія, Угорщина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Кіпр/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47F5A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UA/19454/01/01</w:t>
            </w:r>
          </w:p>
        </w:tc>
      </w:tr>
      <w:tr w:rsidR="00382276" w:rsidRPr="00352636" w:rsidTr="00382276">
        <w:tc>
          <w:tcPr>
            <w:tcW w:w="567" w:type="dxa"/>
            <w:shd w:val="clear" w:color="auto" w:fill="auto"/>
          </w:tcPr>
          <w:p w:rsidR="00382276" w:rsidRPr="00F97553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 xml:space="preserve">АМБРІЗЕНТАН АККОРД /AMBRISENTAN ACCORD 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мг, по 10 таблеток у блістері, по 3 блістери в пачці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Хелскеа Б.В. 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серії, відповідальний за випуск серії: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Делорбіс Фармасьютікалз Лімітед, Кіпр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352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352636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виробництво, первинне пакування, вторинне пакування: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АЕТ Лабораторіз Прайвет Лтд., Індія;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АККОРД ХЕЛСКЕА ЛІМІТЕД, Велика Британія;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Синоптиз Індастріал Сп. з о.о., Польща;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br/>
              <w:t>ФАРМАВАЛІД Лтд. Мікробіологічна лабораторія, Угорщина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Кіпр/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Британія/</w:t>
            </w:r>
          </w:p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UA/19454/01/02</w:t>
            </w:r>
          </w:p>
        </w:tc>
      </w:tr>
      <w:tr w:rsidR="00382276" w:rsidRPr="00F97553" w:rsidTr="00382276">
        <w:tc>
          <w:tcPr>
            <w:tcW w:w="567" w:type="dxa"/>
            <w:shd w:val="clear" w:color="auto" w:fill="auto"/>
          </w:tcPr>
          <w:p w:rsidR="00382276" w:rsidRPr="00352636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2 мг/мл; по 300 мл розчину в одноразовому поліетиленовому пакеті; по 1 або 10 одноразових поліетиленових пакетів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Польща;</w:t>
            </w: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 та випуск серії:</w:t>
            </w: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br/>
              <w:t>Варшавський фармацевтичний завод Польфа АТ, Польща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47F5A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UA/19455/01/01</w:t>
            </w:r>
          </w:p>
        </w:tc>
      </w:tr>
      <w:tr w:rsidR="00382276" w:rsidRPr="00352636" w:rsidTr="00382276">
        <w:tc>
          <w:tcPr>
            <w:tcW w:w="567" w:type="dxa"/>
            <w:shd w:val="clear" w:color="auto" w:fill="auto"/>
          </w:tcPr>
          <w:p w:rsidR="00382276" w:rsidRPr="00F97553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5 мг+5 мг, по 10 або по 6 капсул у блістері; по 3 або по 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UA/19456/01/01</w:t>
            </w:r>
          </w:p>
        </w:tc>
      </w:tr>
      <w:tr w:rsidR="00382276" w:rsidRPr="00352636" w:rsidTr="00382276">
        <w:tc>
          <w:tcPr>
            <w:tcW w:w="567" w:type="dxa"/>
            <w:shd w:val="clear" w:color="auto" w:fill="auto"/>
          </w:tcPr>
          <w:p w:rsidR="00382276" w:rsidRPr="00352636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5 мг+10 мг, по 10 або по 6 капсул у блістері; по 3 або по 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UA/19456/01/02</w:t>
            </w:r>
          </w:p>
        </w:tc>
      </w:tr>
      <w:tr w:rsidR="00382276" w:rsidRPr="00352636" w:rsidTr="00382276">
        <w:tc>
          <w:tcPr>
            <w:tcW w:w="567" w:type="dxa"/>
            <w:shd w:val="clear" w:color="auto" w:fill="auto"/>
          </w:tcPr>
          <w:p w:rsidR="00382276" w:rsidRPr="00352636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мг+5 мг по 10 або по 6 капсул у блістері; по 3 або по 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UA/19456/01/03</w:t>
            </w:r>
          </w:p>
        </w:tc>
      </w:tr>
      <w:tr w:rsidR="00382276" w:rsidRPr="00352636" w:rsidTr="00382276">
        <w:tc>
          <w:tcPr>
            <w:tcW w:w="567" w:type="dxa"/>
            <w:shd w:val="clear" w:color="auto" w:fill="auto"/>
          </w:tcPr>
          <w:p w:rsidR="00382276" w:rsidRPr="00352636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мг+10 мг, по 10 або по 6 капсул у блістері; по 3 або по 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UA/19456/01/04</w:t>
            </w:r>
          </w:p>
        </w:tc>
      </w:tr>
      <w:tr w:rsidR="00382276" w:rsidRPr="00352636" w:rsidTr="00382276">
        <w:tc>
          <w:tcPr>
            <w:tcW w:w="567" w:type="dxa"/>
            <w:shd w:val="clear" w:color="auto" w:fill="auto"/>
          </w:tcPr>
          <w:p w:rsidR="00382276" w:rsidRPr="00352636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150 мг по 10 таблеток у блістері, по 2 або по 6 блістерів у картонній коробці 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UA/19457/01/01</w:t>
            </w:r>
          </w:p>
        </w:tc>
      </w:tr>
      <w:tr w:rsidR="00382276" w:rsidRPr="00F97553" w:rsidTr="00382276">
        <w:tc>
          <w:tcPr>
            <w:tcW w:w="567" w:type="dxa"/>
            <w:shd w:val="clear" w:color="auto" w:fill="auto"/>
          </w:tcPr>
          <w:p w:rsidR="00382276" w:rsidRPr="00352636" w:rsidRDefault="00382276" w:rsidP="0038227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701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300 мг по 10 таблеток у блістері, по 2 блістери у картонній коробці </w:t>
            </w:r>
          </w:p>
        </w:tc>
        <w:tc>
          <w:tcPr>
            <w:tcW w:w="1275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418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126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2636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559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F6454B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382276" w:rsidRPr="00352636" w:rsidRDefault="00382276" w:rsidP="003822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5263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382276" w:rsidRPr="00347F5A" w:rsidRDefault="00382276" w:rsidP="00F6454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636">
              <w:rPr>
                <w:rFonts w:ascii="Arial" w:hAnsi="Arial" w:cs="Arial"/>
                <w:b/>
                <w:sz w:val="16"/>
                <w:szCs w:val="16"/>
              </w:rPr>
              <w:t>UA/19457/01/02</w:t>
            </w:r>
          </w:p>
        </w:tc>
      </w:tr>
    </w:tbl>
    <w:p w:rsidR="00382276" w:rsidRDefault="00382276" w:rsidP="00382276"/>
    <w:p w:rsidR="00382276" w:rsidRDefault="00382276" w:rsidP="00382276"/>
    <w:p w:rsidR="00382276" w:rsidRDefault="00382276" w:rsidP="00382276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382276" w:rsidRPr="00EF2F51" w:rsidTr="00F6454B">
        <w:tc>
          <w:tcPr>
            <w:tcW w:w="7421" w:type="dxa"/>
          </w:tcPr>
          <w:p w:rsidR="00382276" w:rsidRPr="00EF2F51" w:rsidRDefault="00382276" w:rsidP="00F6454B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382276" w:rsidRPr="00EF2F51" w:rsidRDefault="00382276" w:rsidP="00F6454B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382276" w:rsidRPr="00EF2F51" w:rsidRDefault="00382276" w:rsidP="00F6454B">
            <w:pPr>
              <w:rPr>
                <w:b/>
                <w:bCs/>
                <w:sz w:val="28"/>
                <w:szCs w:val="28"/>
              </w:rPr>
            </w:pPr>
          </w:p>
          <w:p w:rsidR="00382276" w:rsidRPr="00EF2F51" w:rsidRDefault="00382276" w:rsidP="00F6454B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382276" w:rsidRPr="00164E43" w:rsidRDefault="00382276" w:rsidP="00382276">
      <w:pPr>
        <w:rPr>
          <w:b/>
          <w:bCs/>
        </w:rPr>
      </w:pPr>
    </w:p>
    <w:p w:rsidR="00382276" w:rsidRDefault="00382276" w:rsidP="00BE64DF">
      <w:pPr>
        <w:rPr>
          <w:b/>
          <w:sz w:val="28"/>
          <w:szCs w:val="28"/>
          <w:lang w:val="uk-UA"/>
        </w:rPr>
      </w:pPr>
    </w:p>
    <w:sectPr w:rsidR="00382276" w:rsidSect="00F6454B">
      <w:headerReference w:type="default" r:id="rId13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4B" w:rsidRDefault="00F6454B" w:rsidP="00B217C6">
      <w:r>
        <w:separator/>
      </w:r>
    </w:p>
  </w:endnote>
  <w:endnote w:type="continuationSeparator" w:id="0">
    <w:p w:rsidR="00F6454B" w:rsidRDefault="00F6454B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4B" w:rsidRDefault="00F6454B" w:rsidP="00B217C6">
      <w:r>
        <w:separator/>
      </w:r>
    </w:p>
  </w:footnote>
  <w:footnote w:type="continuationSeparator" w:id="0">
    <w:p w:rsidR="00F6454B" w:rsidRDefault="00F6454B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4B" w:rsidRDefault="00F6454B" w:rsidP="00F6454B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10BBE">
      <w:rPr>
        <w:noProof/>
      </w:rPr>
      <w:t>3</w:t>
    </w:r>
    <w:r>
      <w:fldChar w:fldCharType="end"/>
    </w:r>
  </w:p>
  <w:p w:rsidR="00F6454B" w:rsidRDefault="00F645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0A9D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94B64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0B1E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2276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0B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5BFA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128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35CDB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75096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2E4"/>
    <w:rsid w:val="00D57B28"/>
    <w:rsid w:val="00D60115"/>
    <w:rsid w:val="00D61591"/>
    <w:rsid w:val="00D61981"/>
    <w:rsid w:val="00D61B9F"/>
    <w:rsid w:val="00D63A35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1D2B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54B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CE4676-91D0-4B66-AC52-243AF20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a8">
    <w:name w:val="Звичайний"/>
    <w:aliases w:val="Normal"/>
    <w:qFormat/>
    <w:rsid w:val="003822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D09D-5051-48BF-A3E5-E0C20BA3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2022-06-08T06:42:00Z</dcterms:created>
  <dcterms:modified xsi:type="dcterms:W3CDTF">2022-06-08T06:42:00Z</dcterms:modified>
</cp:coreProperties>
</file>