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885166" w:rsidRDefault="004C0FBF" w:rsidP="00784147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 w:rsidRPr="00885166">
        <w:rPr>
          <w:rFonts w:ascii="Arial" w:eastAsia="Times New Roman" w:hAnsi="Arial" w:cs="Arial"/>
          <w:b/>
          <w:lang w:val="uk-UA" w:eastAsia="uk-UA"/>
        </w:rPr>
        <w:t>ПЕРЕЛІК</w:t>
      </w:r>
    </w:p>
    <w:p w:rsidR="00937275" w:rsidRPr="00885166" w:rsidRDefault="00937275" w:rsidP="00784147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885166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885166">
        <w:rPr>
          <w:rFonts w:ascii="Arial" w:eastAsia="Times New Roman" w:hAnsi="Arial" w:cs="Arial"/>
          <w:b/>
          <w:u w:val="single"/>
          <w:lang w:val="uk-UA" w:eastAsia="uk-UA"/>
        </w:rPr>
        <w:t xml:space="preserve">ЯКІ ЗАРЕЄСТРОВАНІ КОМПЕТЕНТНИМИ ОРГАНАМИ </w:t>
      </w:r>
      <w:r w:rsidRPr="00885166">
        <w:rPr>
          <w:rFonts w:ascii="Arial" w:eastAsia="Times New Roman" w:hAnsi="Arial" w:cs="Arial"/>
          <w:b/>
          <w:lang w:val="uk-UA" w:eastAsia="uk-UA"/>
        </w:rPr>
        <w:t xml:space="preserve">СПОЛУЧЕНИХ ШТАТІВ АМЕРИКИ, </w:t>
      </w:r>
      <w:r w:rsidRPr="00885166">
        <w:rPr>
          <w:rFonts w:ascii="Arial" w:eastAsia="Times New Roman" w:hAnsi="Arial" w:cs="Arial"/>
          <w:b/>
          <w:lang w:val="uk-UA"/>
        </w:rPr>
        <w:t>ШВЕЙЦАРСЬКОЇ КОНФЕДЕРАЦІЇ</w:t>
      </w:r>
      <w:r w:rsidRPr="00885166">
        <w:rPr>
          <w:rFonts w:ascii="Arial" w:eastAsia="Times New Roman" w:hAnsi="Arial" w:cs="Arial"/>
          <w:b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885166">
        <w:rPr>
          <w:rFonts w:ascii="Arial" w:eastAsia="Times New Roman" w:hAnsi="Arial" w:cs="Arial"/>
          <w:b/>
          <w:u w:val="single"/>
          <w:lang w:val="uk-UA" w:eastAsia="uk-UA"/>
        </w:rPr>
        <w:t>ЄВРОПЕЙСЬКОГО СОЮЗУ</w:t>
      </w:r>
    </w:p>
    <w:p w:rsidR="00937275" w:rsidRPr="00885166" w:rsidRDefault="00937275" w:rsidP="00784147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275"/>
        <w:gridCol w:w="1134"/>
        <w:gridCol w:w="1985"/>
        <w:gridCol w:w="1417"/>
        <w:gridCol w:w="3119"/>
        <w:gridCol w:w="1134"/>
        <w:gridCol w:w="1701"/>
      </w:tblGrid>
      <w:tr w:rsidR="00AC7093" w:rsidRPr="00885166" w:rsidTr="00257BE7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885166" w:rsidRDefault="00AC7093" w:rsidP="0078414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8516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885166" w:rsidRDefault="00AC7093" w:rsidP="0078414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8516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885166" w:rsidRDefault="00AC7093" w:rsidP="0078414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8516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885166" w:rsidRDefault="00AC7093" w:rsidP="0078414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8516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885166" w:rsidRDefault="00AC7093" w:rsidP="0078414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8516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885166" w:rsidRDefault="00AC7093" w:rsidP="0078414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8516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885166" w:rsidRDefault="00AC7093" w:rsidP="0078414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8516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885166" w:rsidRDefault="00AC7093" w:rsidP="0078414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8516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885166" w:rsidRDefault="00AC7093" w:rsidP="0078414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8516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885166" w:rsidRDefault="00AC7093" w:rsidP="0078414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8516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654187" w:rsidRPr="0068543E" w:rsidTr="00257BE7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654187" w:rsidRPr="00885166" w:rsidRDefault="00654187" w:rsidP="0065418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654187" w:rsidRPr="00885166" w:rsidRDefault="00654187" w:rsidP="0065418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85166">
              <w:rPr>
                <w:rFonts w:ascii="Arial" w:hAnsi="Arial" w:cs="Arial"/>
                <w:b/>
                <w:sz w:val="18"/>
                <w:szCs w:val="18"/>
              </w:rPr>
              <w:t>МИТИКАЙД</w:t>
            </w:r>
          </w:p>
        </w:tc>
        <w:tc>
          <w:tcPr>
            <w:tcW w:w="1843" w:type="dxa"/>
            <w:shd w:val="clear" w:color="auto" w:fill="FFFFFF"/>
          </w:tcPr>
          <w:p w:rsidR="00654187" w:rsidRPr="00885166" w:rsidRDefault="00654187" w:rsidP="0065418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м'які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25 мг, по 4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7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блістерів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пачці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2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4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пачки у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654187" w:rsidRPr="00885166" w:rsidRDefault="00654187" w:rsidP="00F1731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Новартіс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Оверсіз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Інвестментс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АГ</w:t>
            </w:r>
          </w:p>
        </w:tc>
        <w:tc>
          <w:tcPr>
            <w:tcW w:w="1134" w:type="dxa"/>
            <w:shd w:val="clear" w:color="auto" w:fill="FFFFFF"/>
          </w:tcPr>
          <w:p w:rsidR="00654187" w:rsidRPr="00885166" w:rsidRDefault="00654187" w:rsidP="00F1731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Швейцарія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:rsidR="00066261" w:rsidRPr="00885166" w:rsidRDefault="00066261" w:rsidP="0006626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виробництво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контроль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якості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окрім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тесту "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Визначення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числа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мікроорганізмів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":</w:t>
            </w:r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Каталент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Німеччина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Ебербах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ГмбХ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Німеччина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;</w:t>
            </w:r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первинне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вторинне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пакування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:</w:t>
            </w:r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Каталент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Німеччина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Шорндорф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ГмбХ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Німеччина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;</w:t>
            </w:r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контроль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якості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тесту "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Визначення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числа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мікроорганізмів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":</w:t>
            </w:r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Лабор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ЛС СЕ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енд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Ко. КГ,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Німеччина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;</w:t>
            </w:r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випуск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серій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:</w:t>
            </w:r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Новартіс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Фарма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ГмбХ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Німеччина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;</w:t>
            </w:r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контроль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якості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окрім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тесту "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Визначення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числа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мікроорганізмів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":</w:t>
            </w:r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Фарманалітика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СА,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Швейцарія</w:t>
            </w:r>
            <w:proofErr w:type="spellEnd"/>
          </w:p>
          <w:p w:rsidR="00654187" w:rsidRPr="00885166" w:rsidRDefault="00654187" w:rsidP="0006626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FFFFFF"/>
          </w:tcPr>
          <w:p w:rsidR="00654187" w:rsidRPr="00885166" w:rsidRDefault="00E7312F" w:rsidP="0065418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Німеччина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</w:t>
            </w:r>
          </w:p>
          <w:p w:rsidR="00E7312F" w:rsidRPr="00885166" w:rsidRDefault="00E7312F" w:rsidP="0065418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Швейцарія</w:t>
            </w:r>
            <w:proofErr w:type="spellEnd"/>
          </w:p>
        </w:tc>
        <w:tc>
          <w:tcPr>
            <w:tcW w:w="3119" w:type="dxa"/>
            <w:shd w:val="clear" w:color="auto" w:fill="FFFFFF"/>
          </w:tcPr>
          <w:p w:rsidR="00654187" w:rsidRPr="00885166" w:rsidRDefault="00654187" w:rsidP="0065418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A.6 - Administrative change - Change in ATC Code/ATC Vet Code.</w:t>
            </w:r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C.I.4,Update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SmPC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in section 4.5 in order to add drug-drug interaction information with P-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gp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, BCRP, CYP2D6, substrates (digoxin,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rosuvastatin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, and dextromethorphan), based on final results from study CPKC412A2121, a Phase 1, open-label,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drugdrug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interaction study, listed as category 3 study in the RMP; section 5.2 of the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SmPC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the Package Leaflet is updated accordingly. (MEA 005.3) </w:t>
            </w:r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C.I.4,Update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SmPC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in section 4.5 in order to add drug-drug interaction information with CYP2B6, CYP2C8, CYP3A4 substrates, based on final results from study CPKC412A2122, a Phase 1, open-label, drug-drug interaction study, listed as category 3 study in the RMP; section 5.2 of the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SmPC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the Package Leaflet is updated accordingly. (MEA 007.2) </w:t>
            </w:r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C.I.4 Update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SmPC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in section 4.5 in order to add drug-drug interaction information with oral contraceptives , and section 4.6 to update information on pregnancy and contraception based on final results from study CPKC412A2123, a Phase 1, open-label, drug-drug interaction study, listed as category 3 study in the RMP; the Package Leaflet is updated accordingly. (MEA 008.2)</w:t>
            </w:r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C.I.4 Update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SmPC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in section 5.2 in order to update pharmacokinetic information on OATP1B1 transporters based on final results from PBPK modelling study DMPK R2000528 listed as category 3 studies in the RMP (MEA 009);</w:t>
            </w:r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C.I.4 Update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SmPC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in section 4.2 in order to amend posology instructions, section 4.4 to amend an existing warning and section 5.2 to update pharmacokinetic information for patients with severe hepatic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impairement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, based on final results from study CPKC412A2116 listed as category 3 study in the RMP. This is an open label, multiple dose study to evaluate the PK of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midostaurin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in subjects with mild, moderate and severe hepatic impairment compared to matched healthy subjects; (MEA010)</w:t>
            </w:r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br/>
              <w:t>The RMP version 6.0 has also been submitted.</w:t>
            </w:r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інструкції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медичного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застосування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оновлюються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наступні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розділи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: «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Фармакотерапевтична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група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», «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Фармакологічні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властивості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», «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Взаємодія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іншими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лікарськими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засобами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інші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види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взаємодій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», «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Особливості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застосування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», «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Спосіб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застосування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дози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».</w:t>
            </w:r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Термін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6-ти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 w:rsidRPr="0088516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654187" w:rsidRPr="00885166" w:rsidRDefault="00654187" w:rsidP="0065418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 w:rsidRPr="00885166"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 w:rsidRPr="0088516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85166"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654187" w:rsidRDefault="00654187" w:rsidP="0065418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166">
              <w:rPr>
                <w:rFonts w:ascii="Arial" w:hAnsi="Arial" w:cs="Arial"/>
                <w:sz w:val="18"/>
                <w:szCs w:val="18"/>
              </w:rPr>
              <w:t>UA/18988/01/01</w:t>
            </w:r>
          </w:p>
        </w:tc>
      </w:tr>
    </w:tbl>
    <w:p w:rsidR="00D642BA" w:rsidRDefault="00D642BA" w:rsidP="001948FE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12F9B"/>
    <w:rsid w:val="000150E8"/>
    <w:rsid w:val="00015E57"/>
    <w:rsid w:val="000233D6"/>
    <w:rsid w:val="00023869"/>
    <w:rsid w:val="00023F9D"/>
    <w:rsid w:val="00031B2F"/>
    <w:rsid w:val="0003385A"/>
    <w:rsid w:val="000526B1"/>
    <w:rsid w:val="00056B16"/>
    <w:rsid w:val="00066261"/>
    <w:rsid w:val="00067200"/>
    <w:rsid w:val="00067616"/>
    <w:rsid w:val="00072F42"/>
    <w:rsid w:val="00074057"/>
    <w:rsid w:val="00080476"/>
    <w:rsid w:val="00084B8B"/>
    <w:rsid w:val="000930FA"/>
    <w:rsid w:val="00097BCB"/>
    <w:rsid w:val="000A51E8"/>
    <w:rsid w:val="000A5C84"/>
    <w:rsid w:val="000C4A9C"/>
    <w:rsid w:val="000C6FFF"/>
    <w:rsid w:val="000D1E35"/>
    <w:rsid w:val="000D5EC9"/>
    <w:rsid w:val="000E69A9"/>
    <w:rsid w:val="000F2C55"/>
    <w:rsid w:val="000F4290"/>
    <w:rsid w:val="00104F10"/>
    <w:rsid w:val="00105B45"/>
    <w:rsid w:val="00110F30"/>
    <w:rsid w:val="0012042A"/>
    <w:rsid w:val="0012777F"/>
    <w:rsid w:val="001316FC"/>
    <w:rsid w:val="00136304"/>
    <w:rsid w:val="001373A2"/>
    <w:rsid w:val="0014735D"/>
    <w:rsid w:val="00165AF3"/>
    <w:rsid w:val="00184D9B"/>
    <w:rsid w:val="001948FE"/>
    <w:rsid w:val="001973C6"/>
    <w:rsid w:val="001A6C6E"/>
    <w:rsid w:val="001C03B7"/>
    <w:rsid w:val="001C0827"/>
    <w:rsid w:val="001C5DBD"/>
    <w:rsid w:val="001C737C"/>
    <w:rsid w:val="001D1680"/>
    <w:rsid w:val="001D5651"/>
    <w:rsid w:val="001E53D0"/>
    <w:rsid w:val="0020741D"/>
    <w:rsid w:val="002118D8"/>
    <w:rsid w:val="00213E2F"/>
    <w:rsid w:val="00215B9F"/>
    <w:rsid w:val="002210A8"/>
    <w:rsid w:val="0022181C"/>
    <w:rsid w:val="00221891"/>
    <w:rsid w:val="0022345A"/>
    <w:rsid w:val="0025040F"/>
    <w:rsid w:val="00253D78"/>
    <w:rsid w:val="00257BE7"/>
    <w:rsid w:val="00260842"/>
    <w:rsid w:val="0026356E"/>
    <w:rsid w:val="002668E0"/>
    <w:rsid w:val="00272825"/>
    <w:rsid w:val="00275B13"/>
    <w:rsid w:val="00281E94"/>
    <w:rsid w:val="00292262"/>
    <w:rsid w:val="002949C4"/>
    <w:rsid w:val="002B0498"/>
    <w:rsid w:val="002B2767"/>
    <w:rsid w:val="002B3B24"/>
    <w:rsid w:val="002B7510"/>
    <w:rsid w:val="002D77BE"/>
    <w:rsid w:val="002E1CAA"/>
    <w:rsid w:val="002F1A14"/>
    <w:rsid w:val="00317729"/>
    <w:rsid w:val="00331DA8"/>
    <w:rsid w:val="00334B77"/>
    <w:rsid w:val="00340F81"/>
    <w:rsid w:val="00361AD6"/>
    <w:rsid w:val="00365DAA"/>
    <w:rsid w:val="0037607D"/>
    <w:rsid w:val="00381239"/>
    <w:rsid w:val="00382423"/>
    <w:rsid w:val="003847D5"/>
    <w:rsid w:val="00391365"/>
    <w:rsid w:val="00396B93"/>
    <w:rsid w:val="003A12A8"/>
    <w:rsid w:val="003A155A"/>
    <w:rsid w:val="003A341D"/>
    <w:rsid w:val="003B2ED7"/>
    <w:rsid w:val="003B4DDC"/>
    <w:rsid w:val="003C66C0"/>
    <w:rsid w:val="003E061E"/>
    <w:rsid w:val="003E6B4C"/>
    <w:rsid w:val="003F3EF5"/>
    <w:rsid w:val="00402CBB"/>
    <w:rsid w:val="00407B22"/>
    <w:rsid w:val="00410C05"/>
    <w:rsid w:val="004175B0"/>
    <w:rsid w:val="00444987"/>
    <w:rsid w:val="00457D69"/>
    <w:rsid w:val="0046559B"/>
    <w:rsid w:val="00496BA5"/>
    <w:rsid w:val="004A4F5C"/>
    <w:rsid w:val="004B5A94"/>
    <w:rsid w:val="004B636E"/>
    <w:rsid w:val="004C0FBF"/>
    <w:rsid w:val="004C5513"/>
    <w:rsid w:val="004C5A18"/>
    <w:rsid w:val="004C7349"/>
    <w:rsid w:val="004D6ABD"/>
    <w:rsid w:val="00504DC8"/>
    <w:rsid w:val="005069A0"/>
    <w:rsid w:val="00517299"/>
    <w:rsid w:val="005277CA"/>
    <w:rsid w:val="005406F8"/>
    <w:rsid w:val="00540DAC"/>
    <w:rsid w:val="005415F7"/>
    <w:rsid w:val="0055198F"/>
    <w:rsid w:val="005535B6"/>
    <w:rsid w:val="005556EF"/>
    <w:rsid w:val="00557F28"/>
    <w:rsid w:val="00560F01"/>
    <w:rsid w:val="0057287B"/>
    <w:rsid w:val="00574209"/>
    <w:rsid w:val="005766D4"/>
    <w:rsid w:val="005964D6"/>
    <w:rsid w:val="005978A6"/>
    <w:rsid w:val="005A6FF7"/>
    <w:rsid w:val="005B1CBF"/>
    <w:rsid w:val="005B26D8"/>
    <w:rsid w:val="005B3202"/>
    <w:rsid w:val="005B5E76"/>
    <w:rsid w:val="005D0FCD"/>
    <w:rsid w:val="005D1A7B"/>
    <w:rsid w:val="005D2647"/>
    <w:rsid w:val="005D4A8A"/>
    <w:rsid w:val="005E0C2B"/>
    <w:rsid w:val="005F2E27"/>
    <w:rsid w:val="005F5349"/>
    <w:rsid w:val="00622D15"/>
    <w:rsid w:val="006429E4"/>
    <w:rsid w:val="00650131"/>
    <w:rsid w:val="00654187"/>
    <w:rsid w:val="0066225C"/>
    <w:rsid w:val="00665A44"/>
    <w:rsid w:val="006661E0"/>
    <w:rsid w:val="00667500"/>
    <w:rsid w:val="0067070F"/>
    <w:rsid w:val="0068543E"/>
    <w:rsid w:val="0069491D"/>
    <w:rsid w:val="00697CE4"/>
    <w:rsid w:val="006A5E0D"/>
    <w:rsid w:val="006B6ED0"/>
    <w:rsid w:val="006C05C1"/>
    <w:rsid w:val="006C1891"/>
    <w:rsid w:val="006C1E86"/>
    <w:rsid w:val="006C289F"/>
    <w:rsid w:val="006C2B90"/>
    <w:rsid w:val="006C3153"/>
    <w:rsid w:val="006C3CE3"/>
    <w:rsid w:val="006D0560"/>
    <w:rsid w:val="006D2B6D"/>
    <w:rsid w:val="006D4CBA"/>
    <w:rsid w:val="006E28B7"/>
    <w:rsid w:val="006E2ED1"/>
    <w:rsid w:val="006E31E3"/>
    <w:rsid w:val="007014E8"/>
    <w:rsid w:val="0072300A"/>
    <w:rsid w:val="0073292C"/>
    <w:rsid w:val="007345E1"/>
    <w:rsid w:val="00743899"/>
    <w:rsid w:val="00744032"/>
    <w:rsid w:val="007454E5"/>
    <w:rsid w:val="00752229"/>
    <w:rsid w:val="0075593F"/>
    <w:rsid w:val="00762DCF"/>
    <w:rsid w:val="007736F7"/>
    <w:rsid w:val="00780971"/>
    <w:rsid w:val="00784147"/>
    <w:rsid w:val="00787529"/>
    <w:rsid w:val="00792B19"/>
    <w:rsid w:val="00792DFB"/>
    <w:rsid w:val="00796146"/>
    <w:rsid w:val="00796BAB"/>
    <w:rsid w:val="007A2D8A"/>
    <w:rsid w:val="007C23C2"/>
    <w:rsid w:val="007E76E8"/>
    <w:rsid w:val="007F0C76"/>
    <w:rsid w:val="00802F93"/>
    <w:rsid w:val="00811A7B"/>
    <w:rsid w:val="008142C1"/>
    <w:rsid w:val="008368AF"/>
    <w:rsid w:val="008634C1"/>
    <w:rsid w:val="008730A6"/>
    <w:rsid w:val="00873EB1"/>
    <w:rsid w:val="00885166"/>
    <w:rsid w:val="00892405"/>
    <w:rsid w:val="008956FD"/>
    <w:rsid w:val="008B27F6"/>
    <w:rsid w:val="008B38F4"/>
    <w:rsid w:val="008B6565"/>
    <w:rsid w:val="008D7DD8"/>
    <w:rsid w:val="008E0472"/>
    <w:rsid w:val="008E1114"/>
    <w:rsid w:val="008E3E5E"/>
    <w:rsid w:val="008E4C7E"/>
    <w:rsid w:val="008F0650"/>
    <w:rsid w:val="00904C6E"/>
    <w:rsid w:val="009155F6"/>
    <w:rsid w:val="00915E93"/>
    <w:rsid w:val="009173A9"/>
    <w:rsid w:val="0091783D"/>
    <w:rsid w:val="0092051C"/>
    <w:rsid w:val="0092074A"/>
    <w:rsid w:val="00925494"/>
    <w:rsid w:val="009301CD"/>
    <w:rsid w:val="00933607"/>
    <w:rsid w:val="00937275"/>
    <w:rsid w:val="0094385D"/>
    <w:rsid w:val="00960AD4"/>
    <w:rsid w:val="00975C1F"/>
    <w:rsid w:val="00982CA2"/>
    <w:rsid w:val="00983E38"/>
    <w:rsid w:val="009850F6"/>
    <w:rsid w:val="009968A0"/>
    <w:rsid w:val="009B041E"/>
    <w:rsid w:val="009C6BAE"/>
    <w:rsid w:val="009C6D6A"/>
    <w:rsid w:val="009F2A12"/>
    <w:rsid w:val="00A053EB"/>
    <w:rsid w:val="00A07E95"/>
    <w:rsid w:val="00A21F3D"/>
    <w:rsid w:val="00A331E3"/>
    <w:rsid w:val="00A373DE"/>
    <w:rsid w:val="00A44450"/>
    <w:rsid w:val="00A715EE"/>
    <w:rsid w:val="00A7279E"/>
    <w:rsid w:val="00A753F4"/>
    <w:rsid w:val="00A7687D"/>
    <w:rsid w:val="00A77A2D"/>
    <w:rsid w:val="00A80A20"/>
    <w:rsid w:val="00A83732"/>
    <w:rsid w:val="00A87FAD"/>
    <w:rsid w:val="00A95670"/>
    <w:rsid w:val="00AB4E5D"/>
    <w:rsid w:val="00AB746D"/>
    <w:rsid w:val="00AC7093"/>
    <w:rsid w:val="00AD4093"/>
    <w:rsid w:val="00AD7E86"/>
    <w:rsid w:val="00AE46D9"/>
    <w:rsid w:val="00B15D9D"/>
    <w:rsid w:val="00B16CC3"/>
    <w:rsid w:val="00B22355"/>
    <w:rsid w:val="00B24BEC"/>
    <w:rsid w:val="00B2596A"/>
    <w:rsid w:val="00B32B75"/>
    <w:rsid w:val="00B370F6"/>
    <w:rsid w:val="00B537D9"/>
    <w:rsid w:val="00B64E0B"/>
    <w:rsid w:val="00B654B6"/>
    <w:rsid w:val="00BB0916"/>
    <w:rsid w:val="00BB178B"/>
    <w:rsid w:val="00BB61FD"/>
    <w:rsid w:val="00BC0850"/>
    <w:rsid w:val="00BC2D71"/>
    <w:rsid w:val="00BC345F"/>
    <w:rsid w:val="00BD4391"/>
    <w:rsid w:val="00BD6E53"/>
    <w:rsid w:val="00BE2252"/>
    <w:rsid w:val="00BE4CF6"/>
    <w:rsid w:val="00BE67C7"/>
    <w:rsid w:val="00BF03C1"/>
    <w:rsid w:val="00C00FB8"/>
    <w:rsid w:val="00C1659B"/>
    <w:rsid w:val="00C1675F"/>
    <w:rsid w:val="00C20038"/>
    <w:rsid w:val="00C20197"/>
    <w:rsid w:val="00C20FF5"/>
    <w:rsid w:val="00C2282D"/>
    <w:rsid w:val="00C233F1"/>
    <w:rsid w:val="00C25244"/>
    <w:rsid w:val="00C3079D"/>
    <w:rsid w:val="00C3799A"/>
    <w:rsid w:val="00C42121"/>
    <w:rsid w:val="00C44D88"/>
    <w:rsid w:val="00C57B98"/>
    <w:rsid w:val="00C661AD"/>
    <w:rsid w:val="00C83008"/>
    <w:rsid w:val="00CA61F1"/>
    <w:rsid w:val="00CB27DB"/>
    <w:rsid w:val="00CB367F"/>
    <w:rsid w:val="00CB6029"/>
    <w:rsid w:val="00CC1C1B"/>
    <w:rsid w:val="00CC4D91"/>
    <w:rsid w:val="00CD37C7"/>
    <w:rsid w:val="00CF33F5"/>
    <w:rsid w:val="00D028F9"/>
    <w:rsid w:val="00D12937"/>
    <w:rsid w:val="00D14F3F"/>
    <w:rsid w:val="00D27DBC"/>
    <w:rsid w:val="00D3614F"/>
    <w:rsid w:val="00D40823"/>
    <w:rsid w:val="00D42FA1"/>
    <w:rsid w:val="00D45568"/>
    <w:rsid w:val="00D6033F"/>
    <w:rsid w:val="00D642BA"/>
    <w:rsid w:val="00D67DD7"/>
    <w:rsid w:val="00D81607"/>
    <w:rsid w:val="00D84E0D"/>
    <w:rsid w:val="00D86F98"/>
    <w:rsid w:val="00D9386F"/>
    <w:rsid w:val="00DB6A68"/>
    <w:rsid w:val="00DB7977"/>
    <w:rsid w:val="00DC7DE3"/>
    <w:rsid w:val="00DE0E50"/>
    <w:rsid w:val="00DE5922"/>
    <w:rsid w:val="00E02FF6"/>
    <w:rsid w:val="00E03471"/>
    <w:rsid w:val="00E0584F"/>
    <w:rsid w:val="00E139D8"/>
    <w:rsid w:val="00E3228F"/>
    <w:rsid w:val="00E32A93"/>
    <w:rsid w:val="00E41598"/>
    <w:rsid w:val="00E438B9"/>
    <w:rsid w:val="00E44EF5"/>
    <w:rsid w:val="00E55D98"/>
    <w:rsid w:val="00E605E2"/>
    <w:rsid w:val="00E7312F"/>
    <w:rsid w:val="00E73742"/>
    <w:rsid w:val="00E75033"/>
    <w:rsid w:val="00E7782D"/>
    <w:rsid w:val="00E85EED"/>
    <w:rsid w:val="00E90625"/>
    <w:rsid w:val="00EB05A8"/>
    <w:rsid w:val="00EB5CE5"/>
    <w:rsid w:val="00EC177B"/>
    <w:rsid w:val="00ED6A67"/>
    <w:rsid w:val="00EE5D02"/>
    <w:rsid w:val="00EF0C6D"/>
    <w:rsid w:val="00EF1A6F"/>
    <w:rsid w:val="00EF3AC3"/>
    <w:rsid w:val="00F034E6"/>
    <w:rsid w:val="00F05704"/>
    <w:rsid w:val="00F1299D"/>
    <w:rsid w:val="00F17319"/>
    <w:rsid w:val="00F20362"/>
    <w:rsid w:val="00F36BD3"/>
    <w:rsid w:val="00F6465B"/>
    <w:rsid w:val="00F661EC"/>
    <w:rsid w:val="00F724CA"/>
    <w:rsid w:val="00F8267D"/>
    <w:rsid w:val="00F846E8"/>
    <w:rsid w:val="00F90062"/>
    <w:rsid w:val="00F9263E"/>
    <w:rsid w:val="00FE01C6"/>
    <w:rsid w:val="00FE1C00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5CB9B5-0E54-49BD-A3BA-AD8C4CEA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2022-11-11T13:21:00Z</dcterms:created>
  <dcterms:modified xsi:type="dcterms:W3CDTF">2022-11-11T13:21:00Z</dcterms:modified>
</cp:coreProperties>
</file>