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91A96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 w:rsidRPr="00391A96">
        <w:rPr>
          <w:rFonts w:ascii="Arial" w:eastAsia="Times New Roman" w:hAnsi="Arial" w:cs="Arial"/>
          <w:b/>
          <w:lang w:val="uk-UA" w:eastAsia="uk-UA"/>
        </w:rPr>
        <w:t xml:space="preserve">ПЕРЕЛІК </w:t>
      </w:r>
    </w:p>
    <w:p w:rsidR="00937275" w:rsidRPr="00391A96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391A96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91A96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391A96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391A96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391A96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391A96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391A96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701"/>
        <w:gridCol w:w="1418"/>
        <w:gridCol w:w="1134"/>
        <w:gridCol w:w="2126"/>
        <w:gridCol w:w="1418"/>
        <w:gridCol w:w="2835"/>
        <w:gridCol w:w="1134"/>
        <w:gridCol w:w="1559"/>
      </w:tblGrid>
      <w:tr w:rsidR="00982CA2" w:rsidRPr="00391A96" w:rsidTr="00F724CA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2CA2" w:rsidRPr="00391A96" w:rsidRDefault="00982CA2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1A9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2CA2" w:rsidRPr="00391A96" w:rsidRDefault="00982CA2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1A9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2CA2" w:rsidRPr="00391A96" w:rsidRDefault="00982CA2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1A9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2CA2" w:rsidRPr="00391A96" w:rsidRDefault="00982CA2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1A9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2CA2" w:rsidRPr="00391A96" w:rsidRDefault="00982CA2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1A9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2CA2" w:rsidRPr="00391A96" w:rsidRDefault="00982CA2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1A9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2CA2" w:rsidRPr="00391A96" w:rsidRDefault="00982CA2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1A9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2CA2" w:rsidRPr="00391A96" w:rsidRDefault="00982CA2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1A9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2CA2" w:rsidRPr="00391A96" w:rsidRDefault="00982CA2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1A9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82CA2" w:rsidRPr="00391A96" w:rsidRDefault="00982CA2" w:rsidP="00762DC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1A96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F724CA" w:rsidRPr="0020741D" w:rsidTr="00F724CA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F724CA" w:rsidRPr="00391A96" w:rsidRDefault="00F724CA" w:rsidP="00F724C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F724CA" w:rsidRPr="00391A96" w:rsidRDefault="00F724CA" w:rsidP="00F724C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91A96">
              <w:rPr>
                <w:rFonts w:ascii="Arial" w:hAnsi="Arial" w:cs="Arial"/>
                <w:b/>
                <w:sz w:val="16"/>
                <w:szCs w:val="16"/>
              </w:rPr>
              <w:t>ОНІВАЙД® ПЕГИЛЬОВАНИЙ ЛІПОСОМАЛЬНИЙ</w:t>
            </w:r>
          </w:p>
        </w:tc>
        <w:tc>
          <w:tcPr>
            <w:tcW w:w="1701" w:type="dxa"/>
            <w:shd w:val="clear" w:color="auto" w:fill="FFFFFF"/>
          </w:tcPr>
          <w:p w:rsidR="00F724CA" w:rsidRPr="00391A96" w:rsidRDefault="00F724CA" w:rsidP="00F724C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концентрат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дисперсії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інфузій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4,3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картону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стандартно-експортній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упаковці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яка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міститься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флакону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F724CA" w:rsidRPr="00391A96" w:rsidRDefault="00F724CA" w:rsidP="00F724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ЛЄ ЛАБОРАТУАР СЕРВ'Є</w:t>
            </w:r>
          </w:p>
        </w:tc>
        <w:tc>
          <w:tcPr>
            <w:tcW w:w="1134" w:type="dxa"/>
            <w:shd w:val="clear" w:color="auto" w:fill="FFFFFF"/>
          </w:tcPr>
          <w:p w:rsidR="00F724CA" w:rsidRPr="00391A96" w:rsidRDefault="00F724CA" w:rsidP="00F724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5535B6" w:rsidRPr="00391A96" w:rsidRDefault="005535B6" w:rsidP="005535B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Авіста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Солюшнс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укупорку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візуальний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Аджиномото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Алтеа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., США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Ассошиейтс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оф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Кейп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Код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Бакстер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Онколоджі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вихідних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Бостон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Аналітикал,США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ендотоксин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тверді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частки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ЕсДжіЕс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5535B6" w:rsidRPr="00391A96" w:rsidRDefault="005535B6" w:rsidP="005535B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відповідальний за контроль якості готового лікарського засобу: кількісне визначення, 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ідентифікація, домішки, фізико-хімічні показники: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ЕсДжіЕс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Інститут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Фрезеніус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Німеччина;</w:t>
            </w:r>
          </w:p>
          <w:p w:rsidR="005535B6" w:rsidRPr="00391A96" w:rsidRDefault="005535B6" w:rsidP="005535B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відповідальний за виробництво та контроль нерозфасованого продукту, контроль вихідних матеріалів: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Іпсен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Біосайнс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Інк., США;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відповідальний за виробництво та контроль нерозфасованого продукту, контроль вихідних матеріалів; за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укупорку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та візуальний контроль; за контроль якості готового лікарського засобу: кількісне визначення, ідентифікація, домішки, фізико-хімічні показники; за контроль якості готового лікарського засобу: ендотоксин, стерильність, тверді частки; за маркування та вторинне пакування: 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Іпсен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Біотек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Франція;</w:t>
            </w:r>
          </w:p>
          <w:p w:rsidR="005535B6" w:rsidRPr="00391A96" w:rsidRDefault="005535B6" w:rsidP="005535B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відповідальний за контроль вихідних матеріалів та нерозфасованого продукту: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Кволіті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Кемікал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Лабораторіз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США;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відповідальний за маркування, вторинне пакування та випуск серії готового лікарського засобу: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Лабораторії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Серв`є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Індастрі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Франц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я;</w:t>
            </w:r>
          </w:p>
          <w:p w:rsidR="00F724CA" w:rsidRPr="00391A96" w:rsidRDefault="005535B6" w:rsidP="005535B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відповідальний за маркування та вторинне пакування: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 xml:space="preserve">Дере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Ложістік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Франція;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відповідальний за контроль вихідних матеріалів: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ПРОКСІ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Лабораторіз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БВ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Сіненсіс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Лайф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Сайнсіс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БВ, Нідерланди;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відповідальний за контроль вихідних матеріалів: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КАЛІ КОНТРОЛЬ, Франція</w:t>
            </w:r>
          </w:p>
        </w:tc>
        <w:tc>
          <w:tcPr>
            <w:tcW w:w="1418" w:type="dxa"/>
            <w:shd w:val="clear" w:color="auto" w:fill="FFFFFF"/>
          </w:tcPr>
          <w:p w:rsidR="00F724CA" w:rsidRPr="00391A96" w:rsidRDefault="009968A0" w:rsidP="00F724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США/</w:t>
            </w:r>
          </w:p>
          <w:p w:rsidR="009968A0" w:rsidRPr="00391A96" w:rsidRDefault="009968A0" w:rsidP="00F724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9968A0" w:rsidRPr="00391A96" w:rsidRDefault="009968A0" w:rsidP="00F724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Франція/</w:t>
            </w:r>
          </w:p>
          <w:p w:rsidR="009968A0" w:rsidRPr="00391A96" w:rsidRDefault="009968A0" w:rsidP="00F724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91A96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Нідерланди</w:t>
            </w:r>
          </w:p>
        </w:tc>
        <w:tc>
          <w:tcPr>
            <w:tcW w:w="2835" w:type="dxa"/>
            <w:shd w:val="clear" w:color="auto" w:fill="FFFFFF"/>
          </w:tcPr>
          <w:p w:rsidR="00F724CA" w:rsidRPr="00391A96" w:rsidRDefault="00F724CA" w:rsidP="00F724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B.II.b.2. a (Type IA) - Change to importer, batch release arrangements and quality control testing of the finished product - Replacement or addition of a site where batch control/testing takes place – To add IPSEN Pharma Biotech (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Parc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d'Activites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du Plateau de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Signes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Chemin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Departemental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402, 83870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Signes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France) as an alternative site responsible for raw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materialtesting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(active substance and excipients) and bulk drug product testing for ONIVYDE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pegylated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liposomal 4.3 mg/ml concentrate for dispersion for infusion.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  <w:t>B.II.c.1.c (Type IA) - Change in the specification parameters and/or limits of an excipient - Deletion of a non-significant specification parameter (e.g. deletion of an obsolete parameter) – To delete the non-specific parameter 'heavy metals test' from the specifications of the excipient cholesterol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  <w:t>B.II.c.1.c (Type IA) - Change in the specification parameters and/or limits of an excipient - Deletion of a non-significant specification parameter (e.g. deletion of an obsolete parameter) - To delete the non-specific parameter 'heavy metals test' from the specifications of the excipient DSPC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B.II.b.1.c (Type II) - Replacement or addition of a manufacturing site for part or all of the manufacturing process of the finished product - Site where any manufacturing 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operation(s) take place, except batch release, batch control, and secondary packaging, for biological/ immunological medicinal products or for pharmaceutical forms manufactured by complex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  <w:t>manufacturing processes - To add IPSEN Pharma Biotech (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Parc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d'Activites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du Plateau de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Signes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Chemin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Departemental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402, 83870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Signes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, France) as an alternative site responsible for bulk drug product manufacture of the finished product ONIVYDE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pegylated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liposomal 4.3 mg/ml concentrate for dispersion for infusion.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  <w:t>B.II.c.1.c (Type IA) - Change in the specification parameters and/or limits of an excipient - Deletion of a non-significant specification parameter (e.g. deletion of an obsolete parameter) - To delete the non-specific parameter 'heavy metals test' from the specifications of the excipient MPEG-2000-DSPE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B.II.c.z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(Type IB) - Change in control of excipients in the Finished Product - Other variation – To add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Quali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Controle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(29 Rue Paul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Vaillant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Couturier, 60110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Mery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, France) as an alternative site responsible for raw material (excipient) testing.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B.II.c.2.d (Type IB) - Change in test procedure for an excipient - Other changes to a test procedure (including replacement or addition) – To add the DSPC: </w:t>
            </w:r>
            <w:proofErr w:type="spellStart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>Phoshphatidylcholine</w:t>
            </w:r>
            <w:proofErr w:type="spellEnd"/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t xml:space="preserve"> (based on dry weight) test procedure for the excipient DSPC.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  <w:t>B.II.c.2.d (Type IB) - Change in test procedure for an excipient - Other changes to a test procedure (including replacement or addition) – To add the MPEG-2000-DSPE: Free Fatty Acid test procedure for the excipient MPEG-2000-DSPE.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B.II.c.2.d (Type IB) - Change in test procedure for an excipient - Other 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changes to a test procedure (including replacement or addition) - To add the MPEG-2000-DSPE (Based on Dry Weight) test procedure for the excipient MPEG-2000-DSPE.</w:t>
            </w:r>
            <w:r w:rsidRPr="00391A96">
              <w:rPr>
                <w:rFonts w:ascii="Arial" w:hAnsi="Arial" w:cs="Arial"/>
                <w:color w:val="000000"/>
                <w:sz w:val="16"/>
                <w:szCs w:val="16"/>
              </w:rPr>
              <w:br/>
              <w:t>B.II.c.1.c (Type IA) - Change in the specification parameters and/or limits of an excipient - Deletion of a non-significant specification parameter (e.g. deletion of an obsolete parameter) - To delete the non-specific parameter 'heavy metals test' from the specifications of the excipient HEPES</w:t>
            </w:r>
          </w:p>
        </w:tc>
        <w:tc>
          <w:tcPr>
            <w:tcW w:w="1134" w:type="dxa"/>
            <w:shd w:val="clear" w:color="auto" w:fill="FFFFFF"/>
          </w:tcPr>
          <w:p w:rsidR="00F724CA" w:rsidRPr="00391A96" w:rsidRDefault="00F724CA" w:rsidP="00F724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91A96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391A9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91A96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F724CA" w:rsidRPr="00F724CA" w:rsidRDefault="00F724CA" w:rsidP="00F724C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1A96">
              <w:rPr>
                <w:rFonts w:ascii="Arial" w:hAnsi="Arial" w:cs="Arial"/>
                <w:sz w:val="16"/>
                <w:szCs w:val="16"/>
              </w:rPr>
              <w:t>UA/18775/01/01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93727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233D6"/>
    <w:rsid w:val="0003385A"/>
    <w:rsid w:val="00067200"/>
    <w:rsid w:val="00084B8B"/>
    <w:rsid w:val="000C4A9C"/>
    <w:rsid w:val="000D1E35"/>
    <w:rsid w:val="000D5EC9"/>
    <w:rsid w:val="000E69A9"/>
    <w:rsid w:val="00105B45"/>
    <w:rsid w:val="0012777F"/>
    <w:rsid w:val="00136304"/>
    <w:rsid w:val="001A6C6E"/>
    <w:rsid w:val="001C0827"/>
    <w:rsid w:val="0020741D"/>
    <w:rsid w:val="002118D8"/>
    <w:rsid w:val="002210A8"/>
    <w:rsid w:val="0022181C"/>
    <w:rsid w:val="0026356E"/>
    <w:rsid w:val="00272825"/>
    <w:rsid w:val="00281E94"/>
    <w:rsid w:val="002A2AF3"/>
    <w:rsid w:val="00317729"/>
    <w:rsid w:val="00361AD6"/>
    <w:rsid w:val="0037607D"/>
    <w:rsid w:val="00391365"/>
    <w:rsid w:val="00391A96"/>
    <w:rsid w:val="003E061E"/>
    <w:rsid w:val="00410C05"/>
    <w:rsid w:val="00444987"/>
    <w:rsid w:val="00457D69"/>
    <w:rsid w:val="00496BA5"/>
    <w:rsid w:val="004B636E"/>
    <w:rsid w:val="004C5513"/>
    <w:rsid w:val="00504DC8"/>
    <w:rsid w:val="005069A0"/>
    <w:rsid w:val="005535B6"/>
    <w:rsid w:val="005556EF"/>
    <w:rsid w:val="0057287B"/>
    <w:rsid w:val="005964D6"/>
    <w:rsid w:val="005B26D8"/>
    <w:rsid w:val="005B5E76"/>
    <w:rsid w:val="005D0FCD"/>
    <w:rsid w:val="005D2647"/>
    <w:rsid w:val="005D4A8A"/>
    <w:rsid w:val="005F5349"/>
    <w:rsid w:val="0066225C"/>
    <w:rsid w:val="006A5E0D"/>
    <w:rsid w:val="006C1891"/>
    <w:rsid w:val="006C289F"/>
    <w:rsid w:val="006D4CBA"/>
    <w:rsid w:val="006E31E3"/>
    <w:rsid w:val="007014E8"/>
    <w:rsid w:val="007345E1"/>
    <w:rsid w:val="00762DCF"/>
    <w:rsid w:val="007736F7"/>
    <w:rsid w:val="00792B19"/>
    <w:rsid w:val="00796BAB"/>
    <w:rsid w:val="00873EB1"/>
    <w:rsid w:val="00892405"/>
    <w:rsid w:val="008956FD"/>
    <w:rsid w:val="008B27F6"/>
    <w:rsid w:val="008D7DD8"/>
    <w:rsid w:val="008E1114"/>
    <w:rsid w:val="00915E93"/>
    <w:rsid w:val="00937275"/>
    <w:rsid w:val="00982CA2"/>
    <w:rsid w:val="00983E38"/>
    <w:rsid w:val="009968A0"/>
    <w:rsid w:val="009C6D6A"/>
    <w:rsid w:val="00A053EB"/>
    <w:rsid w:val="00A07E95"/>
    <w:rsid w:val="00A21F3D"/>
    <w:rsid w:val="00A44450"/>
    <w:rsid w:val="00A7279E"/>
    <w:rsid w:val="00A753F4"/>
    <w:rsid w:val="00A7687D"/>
    <w:rsid w:val="00A80A20"/>
    <w:rsid w:val="00AD4093"/>
    <w:rsid w:val="00AE46D9"/>
    <w:rsid w:val="00B2596A"/>
    <w:rsid w:val="00B32B75"/>
    <w:rsid w:val="00B330B7"/>
    <w:rsid w:val="00B64E0B"/>
    <w:rsid w:val="00B654B6"/>
    <w:rsid w:val="00BB0916"/>
    <w:rsid w:val="00BB61FD"/>
    <w:rsid w:val="00BC2D71"/>
    <w:rsid w:val="00BD4391"/>
    <w:rsid w:val="00BD6E53"/>
    <w:rsid w:val="00BE2252"/>
    <w:rsid w:val="00C1675F"/>
    <w:rsid w:val="00C20038"/>
    <w:rsid w:val="00C20FF5"/>
    <w:rsid w:val="00C2282D"/>
    <w:rsid w:val="00C42121"/>
    <w:rsid w:val="00C57B98"/>
    <w:rsid w:val="00CB6029"/>
    <w:rsid w:val="00D3614F"/>
    <w:rsid w:val="00D642BA"/>
    <w:rsid w:val="00D81607"/>
    <w:rsid w:val="00D84E0D"/>
    <w:rsid w:val="00D86F98"/>
    <w:rsid w:val="00DB7977"/>
    <w:rsid w:val="00E55D98"/>
    <w:rsid w:val="00E85EED"/>
    <w:rsid w:val="00EB5CE5"/>
    <w:rsid w:val="00EE5D02"/>
    <w:rsid w:val="00F05704"/>
    <w:rsid w:val="00F13875"/>
    <w:rsid w:val="00F661EC"/>
    <w:rsid w:val="00F724CA"/>
    <w:rsid w:val="00F8267D"/>
    <w:rsid w:val="00F9263E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D517329-4D22-4CE5-B249-37F3A321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2022-06-23T11:34:00Z</dcterms:created>
  <dcterms:modified xsi:type="dcterms:W3CDTF">2022-06-23T11:34:00Z</dcterms:modified>
</cp:coreProperties>
</file>