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2E" w:rsidRPr="00964461" w:rsidRDefault="00422A2E" w:rsidP="00422A2E">
      <w:pPr>
        <w:spacing w:after="0" w:line="240" w:lineRule="auto"/>
        <w:ind w:right="-23"/>
        <w:jc w:val="center"/>
        <w:rPr>
          <w:b/>
          <w:color w:val="auto"/>
          <w:sz w:val="20"/>
          <w:szCs w:val="20"/>
        </w:rPr>
      </w:pPr>
    </w:p>
    <w:p w:rsidR="00422A2E" w:rsidRPr="00422A2E" w:rsidRDefault="00422A2E" w:rsidP="00422A2E">
      <w:pPr>
        <w:widowControl w:val="0"/>
        <w:tabs>
          <w:tab w:val="left" w:pos="4860"/>
        </w:tabs>
        <w:autoSpaceDE w:val="0"/>
        <w:autoSpaceDN w:val="0"/>
        <w:adjustRightInd w:val="0"/>
        <w:spacing w:after="0" w:line="240" w:lineRule="auto"/>
        <w:jc w:val="center"/>
        <w:rPr>
          <w:rFonts w:eastAsia="Times New Roman"/>
          <w:b/>
          <w:bCs/>
          <w:iCs/>
          <w:color w:val="auto"/>
          <w:lang w:eastAsia="ru-RU"/>
        </w:rPr>
      </w:pPr>
      <w:r w:rsidRPr="00422A2E">
        <w:rPr>
          <w:rFonts w:eastAsia="Times New Roman"/>
          <w:b/>
          <w:color w:val="auto"/>
          <w:lang w:eastAsia="ru-RU"/>
        </w:rPr>
        <w:t>Технічні (якісні) вимоги до предмета закупівлі</w:t>
      </w:r>
      <w:r>
        <w:rPr>
          <w:rFonts w:eastAsia="Times New Roman"/>
          <w:b/>
          <w:color w:val="auto"/>
          <w:lang w:eastAsia="ru-RU"/>
        </w:rPr>
        <w:t>:</w:t>
      </w:r>
    </w:p>
    <w:p w:rsidR="00422A2E" w:rsidRPr="00400E1C"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Pr>
          <w:rFonts w:eastAsia="Times New Roman"/>
          <w:b/>
          <w:color w:val="auto"/>
          <w:sz w:val="20"/>
          <w:szCs w:val="20"/>
          <w:lang w:eastAsia="ar-SA"/>
        </w:rPr>
        <w:t xml:space="preserve">ОХОРОННІ ПОСЛУГИ </w:t>
      </w:r>
      <w:r w:rsidRPr="00400E1C">
        <w:rPr>
          <w:rFonts w:eastAsia="Times New Roman"/>
          <w:b/>
          <w:color w:val="auto"/>
          <w:sz w:val="20"/>
          <w:szCs w:val="20"/>
          <w:lang w:eastAsia="ar-SA"/>
        </w:rPr>
        <w:t xml:space="preserve">(Послуги з охорони майна Державного підприємства </w:t>
      </w:r>
    </w:p>
    <w:p w:rsidR="00422A2E"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sidRPr="00400E1C">
        <w:rPr>
          <w:rFonts w:eastAsia="Times New Roman"/>
          <w:b/>
          <w:color w:val="auto"/>
          <w:sz w:val="20"/>
          <w:szCs w:val="20"/>
          <w:lang w:eastAsia="ar-SA"/>
        </w:rPr>
        <w:t>«Державний експертний центр Міністерс</w:t>
      </w:r>
      <w:r>
        <w:rPr>
          <w:rFonts w:eastAsia="Times New Roman"/>
          <w:b/>
          <w:color w:val="auto"/>
          <w:sz w:val="20"/>
          <w:szCs w:val="20"/>
          <w:lang w:eastAsia="ar-SA"/>
        </w:rPr>
        <w:t xml:space="preserve">тва охорони здоров’я України»)  </w:t>
      </w:r>
    </w:p>
    <w:p w:rsidR="00422A2E" w:rsidRDefault="00422A2E" w:rsidP="00422A2E">
      <w:pPr>
        <w:tabs>
          <w:tab w:val="left" w:pos="6820"/>
        </w:tabs>
        <w:suppressAutoHyphens/>
        <w:spacing w:after="0" w:line="240" w:lineRule="auto"/>
        <w:ind w:firstLine="284"/>
        <w:jc w:val="center"/>
        <w:rPr>
          <w:rFonts w:eastAsia="Times New Roman"/>
          <w:b/>
          <w:bCs/>
          <w:color w:val="auto"/>
          <w:sz w:val="20"/>
          <w:szCs w:val="20"/>
          <w:lang w:eastAsia="ar-SA"/>
        </w:rPr>
      </w:pPr>
      <w:r w:rsidRPr="00400E1C">
        <w:rPr>
          <w:rFonts w:eastAsia="Times New Roman"/>
          <w:b/>
          <w:color w:val="auto"/>
          <w:sz w:val="20"/>
          <w:szCs w:val="20"/>
          <w:lang w:eastAsia="ar-SA"/>
        </w:rPr>
        <w:t>ДК 021:2015 – 79710000-4 Охоронні послуги</w:t>
      </w:r>
      <w:r w:rsidRPr="00400E1C">
        <w:rPr>
          <w:rFonts w:eastAsia="Times New Roman"/>
          <w:b/>
          <w:bCs/>
          <w:color w:val="auto"/>
          <w:sz w:val="20"/>
          <w:szCs w:val="20"/>
          <w:lang w:eastAsia="ar-SA"/>
        </w:rPr>
        <w:t xml:space="preserve"> </w:t>
      </w:r>
    </w:p>
    <w:p w:rsidR="00422A2E" w:rsidRDefault="00422A2E" w:rsidP="00422A2E">
      <w:pPr>
        <w:widowControl w:val="0"/>
        <w:suppressAutoHyphens/>
        <w:autoSpaceDE w:val="0"/>
        <w:spacing w:after="0" w:line="240" w:lineRule="auto"/>
        <w:jc w:val="center"/>
        <w:rPr>
          <w:b/>
          <w:color w:val="auto"/>
        </w:rPr>
      </w:pPr>
    </w:p>
    <w:p w:rsidR="00422A2E" w:rsidRPr="00422A2E" w:rsidRDefault="00422A2E" w:rsidP="00422A2E">
      <w:pPr>
        <w:widowControl w:val="0"/>
        <w:suppressAutoHyphens/>
        <w:autoSpaceDE w:val="0"/>
        <w:spacing w:after="0" w:line="240" w:lineRule="auto"/>
        <w:jc w:val="center"/>
        <w:rPr>
          <w:rFonts w:eastAsia="Times New Roman"/>
          <w:b/>
          <w:color w:val="auto"/>
          <w:lang w:eastAsia="ar-SA"/>
        </w:rPr>
      </w:pPr>
      <w:r w:rsidRPr="00422A2E">
        <w:rPr>
          <w:b/>
          <w:color w:val="auto"/>
        </w:rPr>
        <w:t>Очікувана вартість предмета закупівлі</w:t>
      </w:r>
      <w:r w:rsidRPr="00422A2E">
        <w:rPr>
          <w:rFonts w:eastAsia="Times New Roman"/>
          <w:b/>
          <w:color w:val="auto"/>
          <w:lang w:eastAsia="ar-SA"/>
        </w:rPr>
        <w:t xml:space="preserve">: </w:t>
      </w:r>
      <w:r w:rsidR="007145E3">
        <w:rPr>
          <w:rFonts w:eastAsia="Times New Roman"/>
          <w:b/>
          <w:color w:val="auto"/>
          <w:lang w:eastAsia="ar-SA"/>
        </w:rPr>
        <w:t>400 000</w:t>
      </w:r>
      <w:r>
        <w:rPr>
          <w:rFonts w:eastAsia="Times New Roman"/>
          <w:b/>
          <w:color w:val="auto"/>
          <w:lang w:eastAsia="ar-SA"/>
        </w:rPr>
        <w:t>,00</w:t>
      </w:r>
      <w:r w:rsidRPr="00422A2E">
        <w:rPr>
          <w:rFonts w:eastAsia="Times New Roman"/>
          <w:b/>
          <w:color w:val="auto"/>
          <w:lang w:eastAsia="ar-SA"/>
        </w:rPr>
        <w:t xml:space="preserve"> грн.</w:t>
      </w:r>
    </w:p>
    <w:p w:rsidR="00422A2E" w:rsidRDefault="00422A2E" w:rsidP="00422A2E">
      <w:pPr>
        <w:widowControl w:val="0"/>
        <w:suppressAutoHyphens/>
        <w:autoSpaceDE w:val="0"/>
        <w:spacing w:after="0" w:line="240" w:lineRule="auto"/>
        <w:jc w:val="center"/>
        <w:rPr>
          <w:rFonts w:eastAsia="Times New Roman"/>
          <w:b/>
          <w:color w:val="auto"/>
          <w:lang w:eastAsia="ar-SA"/>
        </w:rPr>
      </w:pPr>
      <w:r w:rsidRPr="00422A2E">
        <w:rPr>
          <w:rFonts w:eastAsia="Times New Roman"/>
          <w:b/>
          <w:color w:val="auto"/>
          <w:lang w:eastAsia="ar-SA"/>
        </w:rPr>
        <w:t>Ідентифікатор з</w:t>
      </w:r>
      <w:r w:rsidR="007145E3">
        <w:rPr>
          <w:rFonts w:eastAsia="Times New Roman"/>
          <w:b/>
          <w:color w:val="auto"/>
          <w:lang w:eastAsia="ar-SA"/>
        </w:rPr>
        <w:t xml:space="preserve">акупівлі: </w:t>
      </w:r>
      <w:r w:rsidR="007145E3" w:rsidRPr="007145E3">
        <w:rPr>
          <w:rFonts w:eastAsia="Times New Roman"/>
          <w:b/>
          <w:color w:val="auto"/>
          <w:lang w:eastAsia="ar-SA"/>
        </w:rPr>
        <w:t>UA-2021-03-12-003896-c</w:t>
      </w:r>
      <w:r>
        <w:rPr>
          <w:rFonts w:eastAsia="Times New Roman"/>
          <w:b/>
          <w:color w:val="auto"/>
          <w:lang w:eastAsia="ar-SA"/>
        </w:rPr>
        <w:t>.</w:t>
      </w:r>
    </w:p>
    <w:p w:rsidR="007145E3" w:rsidRDefault="007145E3" w:rsidP="00422A2E">
      <w:pPr>
        <w:widowControl w:val="0"/>
        <w:suppressAutoHyphens/>
        <w:autoSpaceDE w:val="0"/>
        <w:spacing w:after="0" w:line="240" w:lineRule="auto"/>
        <w:jc w:val="center"/>
        <w:rPr>
          <w:rFonts w:eastAsia="Times New Roman"/>
          <w:b/>
          <w:color w:val="auto"/>
          <w:lang w:eastAsia="ar-SA"/>
        </w:rPr>
      </w:pPr>
    </w:p>
    <w:p w:rsidR="007145E3" w:rsidRPr="007145E3" w:rsidRDefault="007145E3" w:rsidP="007145E3">
      <w:pPr>
        <w:spacing w:after="0" w:line="240" w:lineRule="auto"/>
        <w:ind w:firstLine="567"/>
        <w:jc w:val="both"/>
        <w:rPr>
          <w:rFonts w:eastAsia="Times New Roman CYR"/>
          <w:color w:val="auto"/>
          <w:sz w:val="20"/>
          <w:szCs w:val="20"/>
          <w:lang w:eastAsia="ru-RU"/>
        </w:rPr>
      </w:pPr>
      <w:r w:rsidRPr="007145E3">
        <w:rPr>
          <w:rFonts w:eastAsia="Times New Roman CYR"/>
          <w:color w:val="auto"/>
          <w:sz w:val="20"/>
          <w:szCs w:val="20"/>
          <w:lang w:eastAsia="ru-RU"/>
        </w:rPr>
        <w:t xml:space="preserve">Вид предмету </w:t>
      </w:r>
      <w:proofErr w:type="spellStart"/>
      <w:r w:rsidRPr="007145E3">
        <w:rPr>
          <w:rFonts w:eastAsia="Times New Roman CYR"/>
          <w:color w:val="auto"/>
          <w:sz w:val="20"/>
          <w:szCs w:val="20"/>
          <w:lang w:eastAsia="ru-RU"/>
        </w:rPr>
        <w:t>закупівлі</w:t>
      </w:r>
      <w:proofErr w:type="spellEnd"/>
      <w:r w:rsidRPr="007145E3">
        <w:rPr>
          <w:rFonts w:eastAsia="Times New Roman CYR"/>
          <w:color w:val="auto"/>
          <w:sz w:val="20"/>
          <w:szCs w:val="20"/>
          <w:lang w:eastAsia="ru-RU"/>
        </w:rPr>
        <w:t>: </w:t>
      </w:r>
      <w:proofErr w:type="spellStart"/>
      <w:r w:rsidRPr="007145E3">
        <w:rPr>
          <w:rFonts w:eastAsia="Times New Roman CYR"/>
          <w:color w:val="auto"/>
          <w:sz w:val="20"/>
          <w:szCs w:val="20"/>
          <w:lang w:eastAsia="ru-RU"/>
        </w:rPr>
        <w:t>Послуги</w:t>
      </w:r>
      <w:bookmarkStart w:id="0" w:name="_GoBack"/>
      <w:bookmarkEnd w:id="0"/>
      <w:proofErr w:type="spellEnd"/>
    </w:p>
    <w:p w:rsidR="007145E3" w:rsidRPr="007145E3" w:rsidRDefault="007145E3" w:rsidP="007145E3">
      <w:pPr>
        <w:spacing w:after="0" w:line="240" w:lineRule="auto"/>
        <w:ind w:firstLine="567"/>
        <w:jc w:val="both"/>
        <w:rPr>
          <w:rFonts w:eastAsia="Times New Roman CYR"/>
          <w:color w:val="auto"/>
          <w:sz w:val="20"/>
          <w:szCs w:val="20"/>
          <w:lang w:eastAsia="ru-RU"/>
        </w:rPr>
      </w:pPr>
      <w:r w:rsidRPr="007145E3">
        <w:rPr>
          <w:rFonts w:eastAsia="Times New Roman CYR"/>
          <w:color w:val="auto"/>
          <w:sz w:val="20"/>
          <w:szCs w:val="20"/>
          <w:lang w:eastAsia="ru-RU"/>
        </w:rPr>
        <w:t xml:space="preserve">Класифікатор та його відповідний код: ДК 021:2015:79710000-4: </w:t>
      </w:r>
      <w:proofErr w:type="spellStart"/>
      <w:r w:rsidRPr="007145E3">
        <w:rPr>
          <w:rFonts w:eastAsia="Times New Roman CYR"/>
          <w:color w:val="auto"/>
          <w:sz w:val="20"/>
          <w:szCs w:val="20"/>
          <w:lang w:eastAsia="ru-RU"/>
        </w:rPr>
        <w:t>Охоронні</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послуги</w:t>
      </w:r>
      <w:proofErr w:type="spellEnd"/>
    </w:p>
    <w:p w:rsidR="007145E3" w:rsidRPr="007145E3" w:rsidRDefault="007145E3" w:rsidP="007145E3">
      <w:pPr>
        <w:spacing w:after="0" w:line="240" w:lineRule="auto"/>
        <w:ind w:firstLine="567"/>
        <w:jc w:val="both"/>
        <w:rPr>
          <w:rFonts w:eastAsia="Times New Roman CYR"/>
          <w:color w:val="auto"/>
          <w:sz w:val="20"/>
          <w:szCs w:val="20"/>
          <w:lang w:eastAsia="ru-RU"/>
        </w:rPr>
      </w:pPr>
      <w:proofErr w:type="spellStart"/>
      <w:r w:rsidRPr="007145E3">
        <w:rPr>
          <w:rFonts w:eastAsia="Times New Roman CYR"/>
          <w:color w:val="auto"/>
          <w:sz w:val="20"/>
          <w:szCs w:val="20"/>
          <w:lang w:eastAsia="ru-RU"/>
        </w:rPr>
        <w:t>Підстава</w:t>
      </w:r>
      <w:proofErr w:type="spellEnd"/>
      <w:r w:rsidRPr="007145E3">
        <w:rPr>
          <w:rFonts w:eastAsia="Times New Roman CYR"/>
          <w:color w:val="auto"/>
          <w:sz w:val="20"/>
          <w:szCs w:val="20"/>
          <w:lang w:eastAsia="ru-RU"/>
        </w:rPr>
        <w:t xml:space="preserve"> для </w:t>
      </w:r>
      <w:proofErr w:type="spellStart"/>
      <w:r w:rsidRPr="007145E3">
        <w:rPr>
          <w:rFonts w:eastAsia="Times New Roman CYR"/>
          <w:color w:val="auto"/>
          <w:sz w:val="20"/>
          <w:szCs w:val="20"/>
          <w:lang w:eastAsia="ru-RU"/>
        </w:rPr>
        <w:t>застосування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переговорної</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процедури</w:t>
      </w:r>
      <w:proofErr w:type="spellEnd"/>
      <w:r w:rsidRPr="007145E3">
        <w:rPr>
          <w:rFonts w:eastAsia="Times New Roman CYR"/>
          <w:color w:val="auto"/>
          <w:sz w:val="20"/>
          <w:szCs w:val="20"/>
          <w:lang w:eastAsia="ru-RU"/>
        </w:rPr>
        <w:t xml:space="preserve">: абзац 5 пункту 3 </w:t>
      </w:r>
      <w:proofErr w:type="spellStart"/>
      <w:r w:rsidRPr="007145E3">
        <w:rPr>
          <w:rFonts w:eastAsia="Times New Roman CYR"/>
          <w:color w:val="auto"/>
          <w:sz w:val="20"/>
          <w:szCs w:val="20"/>
          <w:lang w:eastAsia="ru-RU"/>
        </w:rPr>
        <w:t>частини</w:t>
      </w:r>
      <w:proofErr w:type="spellEnd"/>
      <w:r w:rsidRPr="007145E3">
        <w:rPr>
          <w:rFonts w:eastAsia="Times New Roman CYR"/>
          <w:color w:val="auto"/>
          <w:sz w:val="20"/>
          <w:szCs w:val="20"/>
          <w:lang w:eastAsia="ru-RU"/>
        </w:rPr>
        <w:t xml:space="preserve"> 2 </w:t>
      </w:r>
      <w:proofErr w:type="spellStart"/>
      <w:r w:rsidRPr="007145E3">
        <w:rPr>
          <w:rFonts w:eastAsia="Times New Roman CYR"/>
          <w:color w:val="auto"/>
          <w:sz w:val="20"/>
          <w:szCs w:val="20"/>
          <w:lang w:eastAsia="ru-RU"/>
        </w:rPr>
        <w:t>статті</w:t>
      </w:r>
      <w:proofErr w:type="spellEnd"/>
      <w:r w:rsidRPr="007145E3">
        <w:rPr>
          <w:rFonts w:eastAsia="Times New Roman CYR"/>
          <w:color w:val="auto"/>
          <w:sz w:val="20"/>
          <w:szCs w:val="20"/>
          <w:lang w:eastAsia="ru-RU"/>
        </w:rPr>
        <w:t xml:space="preserve"> 40 Закону </w:t>
      </w:r>
      <w:proofErr w:type="spellStart"/>
      <w:r w:rsidRPr="007145E3">
        <w:rPr>
          <w:rFonts w:eastAsia="Times New Roman CYR"/>
          <w:color w:val="auto"/>
          <w:sz w:val="20"/>
          <w:szCs w:val="20"/>
          <w:lang w:eastAsia="ru-RU"/>
        </w:rPr>
        <w:t>України</w:t>
      </w:r>
      <w:proofErr w:type="spellEnd"/>
      <w:r w:rsidRPr="007145E3">
        <w:rPr>
          <w:rFonts w:eastAsia="Times New Roman CYR"/>
          <w:color w:val="auto"/>
          <w:sz w:val="20"/>
          <w:szCs w:val="20"/>
          <w:lang w:eastAsia="ru-RU"/>
        </w:rPr>
        <w:t xml:space="preserve"> «Про </w:t>
      </w:r>
      <w:proofErr w:type="spellStart"/>
      <w:r w:rsidRPr="007145E3">
        <w:rPr>
          <w:rFonts w:eastAsia="Times New Roman CYR"/>
          <w:color w:val="auto"/>
          <w:sz w:val="20"/>
          <w:szCs w:val="20"/>
          <w:lang w:eastAsia="ru-RU"/>
        </w:rPr>
        <w:t>публічні</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закупівлі</w:t>
      </w:r>
      <w:proofErr w:type="spellEnd"/>
      <w:r w:rsidRPr="007145E3">
        <w:rPr>
          <w:rFonts w:eastAsia="Times New Roman CYR"/>
          <w:color w:val="auto"/>
          <w:sz w:val="20"/>
          <w:szCs w:val="20"/>
          <w:lang w:eastAsia="ru-RU"/>
        </w:rPr>
        <w:t xml:space="preserve">», а </w:t>
      </w:r>
      <w:proofErr w:type="spellStart"/>
      <w:r w:rsidRPr="007145E3">
        <w:rPr>
          <w:rFonts w:eastAsia="Times New Roman CYR"/>
          <w:color w:val="auto"/>
          <w:sz w:val="20"/>
          <w:szCs w:val="20"/>
          <w:lang w:eastAsia="ru-RU"/>
        </w:rPr>
        <w:t>саме</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існує</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нагальна</w:t>
      </w:r>
      <w:proofErr w:type="spellEnd"/>
      <w:r w:rsidRPr="007145E3">
        <w:rPr>
          <w:rFonts w:eastAsia="Times New Roman CYR"/>
          <w:color w:val="auto"/>
          <w:sz w:val="20"/>
          <w:szCs w:val="20"/>
          <w:lang w:eastAsia="ru-RU"/>
        </w:rPr>
        <w:t xml:space="preserve"> потреба </w:t>
      </w:r>
      <w:proofErr w:type="spellStart"/>
      <w:r w:rsidRPr="007145E3">
        <w:rPr>
          <w:rFonts w:eastAsia="Times New Roman CYR"/>
          <w:color w:val="auto"/>
          <w:sz w:val="20"/>
          <w:szCs w:val="20"/>
          <w:lang w:eastAsia="ru-RU"/>
        </w:rPr>
        <w:t>здійснити</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закупівлю</w:t>
      </w:r>
      <w:proofErr w:type="spellEnd"/>
      <w:r w:rsidRPr="007145E3">
        <w:rPr>
          <w:rFonts w:eastAsia="Times New Roman CYR"/>
          <w:color w:val="auto"/>
          <w:sz w:val="20"/>
          <w:szCs w:val="20"/>
          <w:lang w:eastAsia="ru-RU"/>
        </w:rPr>
        <w:t xml:space="preserve"> у </w:t>
      </w:r>
      <w:proofErr w:type="spellStart"/>
      <w:r w:rsidRPr="007145E3">
        <w:rPr>
          <w:rFonts w:eastAsia="Times New Roman CYR"/>
          <w:color w:val="auto"/>
          <w:sz w:val="20"/>
          <w:szCs w:val="20"/>
          <w:lang w:eastAsia="ru-RU"/>
        </w:rPr>
        <w:t>разі</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оскарження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прийнятих</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рішень</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замовника</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щодо</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триваючого</w:t>
      </w:r>
      <w:proofErr w:type="spellEnd"/>
      <w:r w:rsidRPr="007145E3">
        <w:rPr>
          <w:rFonts w:eastAsia="Times New Roman CYR"/>
          <w:color w:val="auto"/>
          <w:sz w:val="20"/>
          <w:szCs w:val="20"/>
          <w:lang w:eastAsia="ru-RU"/>
        </w:rPr>
        <w:t xml:space="preserve"> тендера </w:t>
      </w:r>
      <w:proofErr w:type="spellStart"/>
      <w:r w:rsidRPr="007145E3">
        <w:rPr>
          <w:rFonts w:eastAsia="Times New Roman CYR"/>
          <w:color w:val="auto"/>
          <w:sz w:val="20"/>
          <w:szCs w:val="20"/>
          <w:lang w:eastAsia="ru-RU"/>
        </w:rPr>
        <w:t>після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оцінки</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тендерних</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пропозицій</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учасників</w:t>
      </w:r>
      <w:proofErr w:type="spellEnd"/>
      <w:r w:rsidRPr="007145E3">
        <w:rPr>
          <w:rFonts w:eastAsia="Times New Roman CYR"/>
          <w:color w:val="auto"/>
          <w:sz w:val="20"/>
          <w:szCs w:val="20"/>
          <w:lang w:eastAsia="ru-RU"/>
        </w:rPr>
        <w:t xml:space="preserve">, в </w:t>
      </w:r>
      <w:proofErr w:type="spellStart"/>
      <w:r w:rsidRPr="007145E3">
        <w:rPr>
          <w:rFonts w:eastAsia="Times New Roman CYR"/>
          <w:color w:val="auto"/>
          <w:sz w:val="20"/>
          <w:szCs w:val="20"/>
          <w:lang w:eastAsia="ru-RU"/>
        </w:rPr>
        <w:t>обсязі</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що</w:t>
      </w:r>
      <w:proofErr w:type="spellEnd"/>
      <w:r w:rsidRPr="007145E3">
        <w:rPr>
          <w:rFonts w:eastAsia="Times New Roman CYR"/>
          <w:color w:val="auto"/>
          <w:sz w:val="20"/>
          <w:szCs w:val="20"/>
          <w:lang w:eastAsia="ru-RU"/>
        </w:rPr>
        <w:t xml:space="preserve"> не </w:t>
      </w:r>
      <w:proofErr w:type="spellStart"/>
      <w:r w:rsidRPr="007145E3">
        <w:rPr>
          <w:rFonts w:eastAsia="Times New Roman CYR"/>
          <w:color w:val="auto"/>
          <w:sz w:val="20"/>
          <w:szCs w:val="20"/>
          <w:lang w:eastAsia="ru-RU"/>
        </w:rPr>
        <w:t>перевищує</w:t>
      </w:r>
      <w:proofErr w:type="spellEnd"/>
      <w:r w:rsidRPr="007145E3">
        <w:rPr>
          <w:rFonts w:eastAsia="Times New Roman CYR"/>
          <w:color w:val="auto"/>
          <w:sz w:val="20"/>
          <w:szCs w:val="20"/>
          <w:lang w:eastAsia="ru-RU"/>
        </w:rPr>
        <w:t xml:space="preserve"> 20 </w:t>
      </w:r>
      <w:proofErr w:type="spellStart"/>
      <w:r w:rsidRPr="007145E3">
        <w:rPr>
          <w:rFonts w:eastAsia="Times New Roman CYR"/>
          <w:color w:val="auto"/>
          <w:sz w:val="20"/>
          <w:szCs w:val="20"/>
          <w:lang w:eastAsia="ru-RU"/>
        </w:rPr>
        <w:t>відсотків</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від</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очікуваної</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вартості</w:t>
      </w:r>
      <w:proofErr w:type="spellEnd"/>
      <w:r w:rsidRPr="007145E3">
        <w:rPr>
          <w:rFonts w:eastAsia="Times New Roman CYR"/>
          <w:color w:val="auto"/>
          <w:sz w:val="20"/>
          <w:szCs w:val="20"/>
          <w:lang w:eastAsia="ru-RU"/>
        </w:rPr>
        <w:t xml:space="preserve"> тендера, </w:t>
      </w:r>
      <w:proofErr w:type="spellStart"/>
      <w:r w:rsidRPr="007145E3">
        <w:rPr>
          <w:rFonts w:eastAsia="Times New Roman CYR"/>
          <w:color w:val="auto"/>
          <w:sz w:val="20"/>
          <w:szCs w:val="20"/>
          <w:lang w:eastAsia="ru-RU"/>
        </w:rPr>
        <w:t>що</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оскаржується</w:t>
      </w:r>
      <w:proofErr w:type="spellEnd"/>
    </w:p>
    <w:p w:rsidR="007145E3" w:rsidRPr="007145E3" w:rsidRDefault="007145E3" w:rsidP="007145E3">
      <w:pPr>
        <w:spacing w:after="0" w:line="240" w:lineRule="auto"/>
        <w:ind w:firstLine="567"/>
        <w:jc w:val="both"/>
        <w:rPr>
          <w:rFonts w:eastAsia="Times New Roman CYR"/>
          <w:color w:val="auto"/>
          <w:sz w:val="20"/>
          <w:szCs w:val="20"/>
          <w:lang w:eastAsia="ru-RU"/>
        </w:rPr>
      </w:pPr>
      <w:proofErr w:type="spellStart"/>
      <w:r w:rsidRPr="007145E3">
        <w:rPr>
          <w:rFonts w:eastAsia="Times New Roman CYR"/>
          <w:color w:val="auto"/>
          <w:sz w:val="20"/>
          <w:szCs w:val="20"/>
          <w:lang w:eastAsia="ru-RU"/>
        </w:rPr>
        <w:t>Опис</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окремої</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частини</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або</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частин</w:t>
      </w:r>
      <w:proofErr w:type="spellEnd"/>
      <w:r w:rsidRPr="007145E3">
        <w:rPr>
          <w:rFonts w:eastAsia="Times New Roman CYR"/>
          <w:color w:val="auto"/>
          <w:sz w:val="20"/>
          <w:szCs w:val="20"/>
          <w:lang w:eastAsia="ru-RU"/>
        </w:rPr>
        <w:t xml:space="preserve"> предмета </w:t>
      </w:r>
      <w:proofErr w:type="spellStart"/>
      <w:r w:rsidRPr="007145E3">
        <w:rPr>
          <w:rFonts w:eastAsia="Times New Roman CYR"/>
          <w:color w:val="auto"/>
          <w:sz w:val="20"/>
          <w:szCs w:val="20"/>
          <w:lang w:eastAsia="ru-RU"/>
        </w:rPr>
        <w:t>закупівлі</w:t>
      </w:r>
      <w:proofErr w:type="spellEnd"/>
    </w:p>
    <w:p w:rsidR="007145E3" w:rsidRPr="007145E3" w:rsidRDefault="007145E3" w:rsidP="007145E3">
      <w:pPr>
        <w:spacing w:after="0" w:line="240" w:lineRule="auto"/>
        <w:ind w:firstLine="567"/>
        <w:jc w:val="both"/>
        <w:rPr>
          <w:rFonts w:eastAsia="Times New Roman CYR"/>
          <w:color w:val="auto"/>
          <w:sz w:val="20"/>
          <w:szCs w:val="20"/>
          <w:lang w:eastAsia="ru-RU"/>
        </w:rPr>
      </w:pPr>
      <w:proofErr w:type="spellStart"/>
      <w:r w:rsidRPr="007145E3">
        <w:rPr>
          <w:rFonts w:eastAsia="Times New Roman CYR"/>
          <w:color w:val="auto"/>
          <w:sz w:val="20"/>
          <w:szCs w:val="20"/>
          <w:lang w:eastAsia="ru-RU"/>
        </w:rPr>
        <w:t>Місце</w:t>
      </w:r>
      <w:proofErr w:type="spellEnd"/>
      <w:r w:rsidRPr="007145E3">
        <w:rPr>
          <w:rFonts w:eastAsia="Times New Roman CYR"/>
          <w:color w:val="auto"/>
          <w:sz w:val="20"/>
          <w:szCs w:val="20"/>
          <w:lang w:eastAsia="ru-RU"/>
        </w:rPr>
        <w:t xml:space="preserve"> поставки </w:t>
      </w:r>
      <w:proofErr w:type="spellStart"/>
      <w:r w:rsidRPr="007145E3">
        <w:rPr>
          <w:rFonts w:eastAsia="Times New Roman CYR"/>
          <w:color w:val="auto"/>
          <w:sz w:val="20"/>
          <w:szCs w:val="20"/>
          <w:lang w:eastAsia="ru-RU"/>
        </w:rPr>
        <w:t>товарів</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або</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місце</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виконання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робіт</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чи</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надання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послуг</w:t>
      </w:r>
      <w:proofErr w:type="spellEnd"/>
      <w:r w:rsidRPr="007145E3">
        <w:rPr>
          <w:rFonts w:eastAsia="Times New Roman CYR"/>
          <w:color w:val="auto"/>
          <w:sz w:val="20"/>
          <w:szCs w:val="20"/>
          <w:lang w:eastAsia="ru-RU"/>
        </w:rPr>
        <w:t xml:space="preserve">: 03057, </w:t>
      </w:r>
      <w:proofErr w:type="spellStart"/>
      <w:r w:rsidRPr="007145E3">
        <w:rPr>
          <w:rFonts w:eastAsia="Times New Roman CYR"/>
          <w:color w:val="auto"/>
          <w:sz w:val="20"/>
          <w:szCs w:val="20"/>
          <w:lang w:eastAsia="ru-RU"/>
        </w:rPr>
        <w:t>Україна</w:t>
      </w:r>
      <w:proofErr w:type="spellEnd"/>
      <w:r w:rsidRPr="007145E3">
        <w:rPr>
          <w:rFonts w:eastAsia="Times New Roman CYR"/>
          <w:color w:val="auto"/>
          <w:sz w:val="20"/>
          <w:szCs w:val="20"/>
          <w:lang w:eastAsia="ru-RU"/>
        </w:rPr>
        <w:t xml:space="preserve">, м. </w:t>
      </w:r>
      <w:proofErr w:type="spellStart"/>
      <w:r w:rsidRPr="007145E3">
        <w:rPr>
          <w:rFonts w:eastAsia="Times New Roman CYR"/>
          <w:color w:val="auto"/>
          <w:sz w:val="20"/>
          <w:szCs w:val="20"/>
          <w:lang w:eastAsia="ru-RU"/>
        </w:rPr>
        <w:t>Київ</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Київ</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вул</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Смоленська</w:t>
      </w:r>
      <w:proofErr w:type="spellEnd"/>
      <w:r w:rsidRPr="007145E3">
        <w:rPr>
          <w:rFonts w:eastAsia="Times New Roman CYR"/>
          <w:color w:val="auto"/>
          <w:sz w:val="20"/>
          <w:szCs w:val="20"/>
          <w:lang w:eastAsia="ru-RU"/>
        </w:rPr>
        <w:t>, 10</w:t>
      </w:r>
    </w:p>
    <w:p w:rsidR="007145E3" w:rsidRPr="007145E3" w:rsidRDefault="007145E3" w:rsidP="007145E3">
      <w:pPr>
        <w:spacing w:after="0" w:line="240" w:lineRule="auto"/>
        <w:ind w:firstLine="567"/>
        <w:jc w:val="both"/>
        <w:rPr>
          <w:rFonts w:eastAsia="Times New Roman CYR"/>
          <w:color w:val="auto"/>
          <w:sz w:val="20"/>
          <w:szCs w:val="20"/>
          <w:lang w:eastAsia="ru-RU"/>
        </w:rPr>
      </w:pPr>
      <w:r w:rsidRPr="007145E3">
        <w:rPr>
          <w:rFonts w:eastAsia="Times New Roman CYR"/>
          <w:color w:val="auto"/>
          <w:sz w:val="20"/>
          <w:szCs w:val="20"/>
          <w:lang w:eastAsia="ru-RU"/>
        </w:rPr>
        <w:t xml:space="preserve">Строк поставки </w:t>
      </w:r>
      <w:proofErr w:type="spellStart"/>
      <w:r w:rsidRPr="007145E3">
        <w:rPr>
          <w:rFonts w:eastAsia="Times New Roman CYR"/>
          <w:color w:val="auto"/>
          <w:sz w:val="20"/>
          <w:szCs w:val="20"/>
          <w:lang w:eastAsia="ru-RU"/>
        </w:rPr>
        <w:t>товарів</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виконання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робіт</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чи</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надання</w:t>
      </w:r>
      <w:proofErr w:type="spellEnd"/>
      <w:r w:rsidRPr="007145E3">
        <w:rPr>
          <w:rFonts w:eastAsia="Times New Roman CYR"/>
          <w:color w:val="auto"/>
          <w:sz w:val="20"/>
          <w:szCs w:val="20"/>
          <w:lang w:eastAsia="ru-RU"/>
        </w:rPr>
        <w:t xml:space="preserve"> </w:t>
      </w:r>
      <w:proofErr w:type="spellStart"/>
      <w:r w:rsidRPr="007145E3">
        <w:rPr>
          <w:rFonts w:eastAsia="Times New Roman CYR"/>
          <w:color w:val="auto"/>
          <w:sz w:val="20"/>
          <w:szCs w:val="20"/>
          <w:lang w:eastAsia="ru-RU"/>
        </w:rPr>
        <w:t>послуг</w:t>
      </w:r>
      <w:proofErr w:type="spellEnd"/>
      <w:r w:rsidRPr="007145E3">
        <w:rPr>
          <w:rFonts w:eastAsia="Times New Roman CYR"/>
          <w:color w:val="auto"/>
          <w:sz w:val="20"/>
          <w:szCs w:val="20"/>
          <w:lang w:eastAsia="ru-RU"/>
        </w:rPr>
        <w:t xml:space="preserve">: 15 </w:t>
      </w:r>
      <w:proofErr w:type="spellStart"/>
      <w:r w:rsidRPr="007145E3">
        <w:rPr>
          <w:rFonts w:eastAsia="Times New Roman CYR"/>
          <w:color w:val="auto"/>
          <w:sz w:val="20"/>
          <w:szCs w:val="20"/>
          <w:lang w:eastAsia="ru-RU"/>
        </w:rPr>
        <w:t>березня</w:t>
      </w:r>
      <w:proofErr w:type="spellEnd"/>
      <w:r w:rsidRPr="007145E3">
        <w:rPr>
          <w:rFonts w:eastAsia="Times New Roman CYR"/>
          <w:color w:val="auto"/>
          <w:sz w:val="20"/>
          <w:szCs w:val="20"/>
          <w:lang w:eastAsia="ru-RU"/>
        </w:rPr>
        <w:t xml:space="preserve"> </w:t>
      </w:r>
      <w:proofErr w:type="gramStart"/>
      <w:r w:rsidRPr="007145E3">
        <w:rPr>
          <w:rFonts w:eastAsia="Times New Roman CYR"/>
          <w:color w:val="auto"/>
          <w:sz w:val="20"/>
          <w:szCs w:val="20"/>
          <w:lang w:eastAsia="ru-RU"/>
        </w:rPr>
        <w:t>2021  —</w:t>
      </w:r>
      <w:proofErr w:type="gramEnd"/>
      <w:r w:rsidRPr="007145E3">
        <w:rPr>
          <w:rFonts w:eastAsia="Times New Roman CYR"/>
          <w:color w:val="auto"/>
          <w:sz w:val="20"/>
          <w:szCs w:val="20"/>
          <w:lang w:eastAsia="ru-RU"/>
        </w:rPr>
        <w:t xml:space="preserve">  01 </w:t>
      </w:r>
      <w:proofErr w:type="spellStart"/>
      <w:r w:rsidRPr="007145E3">
        <w:rPr>
          <w:rFonts w:eastAsia="Times New Roman CYR"/>
          <w:color w:val="auto"/>
          <w:sz w:val="20"/>
          <w:szCs w:val="20"/>
          <w:lang w:eastAsia="ru-RU"/>
        </w:rPr>
        <w:t>червня</w:t>
      </w:r>
      <w:proofErr w:type="spellEnd"/>
      <w:r w:rsidRPr="007145E3">
        <w:rPr>
          <w:rFonts w:eastAsia="Times New Roman CYR"/>
          <w:color w:val="auto"/>
          <w:sz w:val="20"/>
          <w:szCs w:val="20"/>
          <w:lang w:eastAsia="ru-RU"/>
        </w:rPr>
        <w:t xml:space="preserve"> 2021.</w:t>
      </w:r>
    </w:p>
    <w:p w:rsidR="00422A2E" w:rsidRPr="00964461" w:rsidRDefault="00422A2E" w:rsidP="00422A2E">
      <w:pPr>
        <w:spacing w:after="0" w:line="240" w:lineRule="auto"/>
        <w:ind w:firstLine="567"/>
        <w:jc w:val="both"/>
        <w:rPr>
          <w:rFonts w:eastAsia="Times New Roman"/>
          <w:color w:val="auto"/>
          <w:sz w:val="20"/>
          <w:szCs w:val="20"/>
          <w:lang w:eastAsia="ru-RU"/>
        </w:rPr>
      </w:pPr>
      <w:r w:rsidRPr="00964461">
        <w:rPr>
          <w:rFonts w:eastAsia="Times New Roman CYR"/>
          <w:color w:val="auto"/>
          <w:sz w:val="20"/>
          <w:szCs w:val="20"/>
          <w:lang w:eastAsia="ru-RU"/>
        </w:rPr>
        <w:t>Учасник самостійно визначає ціни на послуги, які він пропонує надати за Договором про закупівлю.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w:t>
      </w:r>
      <w:r w:rsidRPr="00964461">
        <w:rPr>
          <w:rFonts w:eastAsia="Times New Roman"/>
          <w:color w:val="auto"/>
          <w:sz w:val="20"/>
          <w:szCs w:val="20"/>
          <w:lang w:eastAsia="ru-RU"/>
        </w:rPr>
        <w:t xml:space="preserve"> Загальна вартість пропозиції (ціна тендерної пропозиції) і всі інші ціни повинні бути чітко та остаточно визначені. </w:t>
      </w:r>
    </w:p>
    <w:p w:rsidR="00422A2E" w:rsidRPr="00964461" w:rsidRDefault="00422A2E" w:rsidP="00422A2E">
      <w:pPr>
        <w:suppressAutoHyphens/>
        <w:spacing w:after="0" w:line="240" w:lineRule="auto"/>
        <w:ind w:firstLine="567"/>
        <w:jc w:val="both"/>
        <w:rPr>
          <w:color w:val="auto"/>
          <w:sz w:val="20"/>
          <w:szCs w:val="20"/>
          <w:lang w:eastAsia="ar-SA"/>
        </w:rPr>
      </w:pPr>
      <w:r w:rsidRPr="00964461">
        <w:rPr>
          <w:color w:val="auto"/>
          <w:sz w:val="20"/>
          <w:szCs w:val="20"/>
          <w:lang w:eastAsia="ar-SA"/>
        </w:rPr>
        <w:t xml:space="preserve">При проведенні даної процедури закупівлі Замовник встановлює наступні вимоги: </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bCs/>
          <w:iCs/>
          <w:color w:val="auto"/>
          <w:sz w:val="20"/>
          <w:szCs w:val="20"/>
          <w:lang w:eastAsia="ar-SA"/>
        </w:rPr>
      </w:pPr>
      <w:r w:rsidRPr="00964461">
        <w:rPr>
          <w:rFonts w:eastAsia="Times New Roman CYR"/>
          <w:bCs/>
          <w:iCs/>
          <w:color w:val="auto"/>
          <w:sz w:val="20"/>
          <w:szCs w:val="20"/>
          <w:lang w:eastAsia="ar-SA"/>
        </w:rPr>
        <w:t>Відомості про об'єкти охорони предмета закупівлі:</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w:color w:val="auto"/>
          <w:sz w:val="20"/>
          <w:szCs w:val="20"/>
          <w:lang w:eastAsia="ar-SA"/>
        </w:rPr>
      </w:pPr>
      <w:r w:rsidRPr="00964461">
        <w:rPr>
          <w:rFonts w:eastAsia="Times New Roman"/>
          <w:color w:val="auto"/>
          <w:sz w:val="20"/>
          <w:szCs w:val="20"/>
          <w:lang w:eastAsia="ar-SA"/>
        </w:rPr>
        <w:t xml:space="preserve">Будівля, споруди, територія, інше рухоме і нерухоме майно, що знаходиться за </w:t>
      </w:r>
      <w:proofErr w:type="spellStart"/>
      <w:r w:rsidRPr="00964461">
        <w:rPr>
          <w:rFonts w:eastAsia="Times New Roman"/>
          <w:color w:val="auto"/>
          <w:sz w:val="20"/>
          <w:szCs w:val="20"/>
          <w:lang w:eastAsia="ar-SA"/>
        </w:rPr>
        <w:t>адресою</w:t>
      </w:r>
      <w:proofErr w:type="spellEnd"/>
      <w:r w:rsidRPr="00964461">
        <w:rPr>
          <w:rFonts w:eastAsia="Times New Roman"/>
          <w:color w:val="auto"/>
          <w:sz w:val="20"/>
          <w:szCs w:val="20"/>
          <w:lang w:eastAsia="ar-SA"/>
        </w:rPr>
        <w:t xml:space="preserve">: вул. Смоленська, 10, м. Київ та належить </w:t>
      </w:r>
      <w:r w:rsidRPr="00964461">
        <w:rPr>
          <w:color w:val="auto"/>
          <w:sz w:val="20"/>
          <w:szCs w:val="20"/>
        </w:rPr>
        <w:t>Державному експертному центру МОЗ</w:t>
      </w:r>
      <w:r w:rsidRPr="00964461">
        <w:rPr>
          <w:rFonts w:ascii="Calibri" w:hAnsi="Calibri"/>
          <w:color w:val="auto"/>
          <w:sz w:val="20"/>
          <w:szCs w:val="20"/>
        </w:rPr>
        <w:t xml:space="preserve"> </w:t>
      </w:r>
      <w:r w:rsidRPr="00964461">
        <w:rPr>
          <w:color w:val="auto"/>
          <w:sz w:val="20"/>
          <w:szCs w:val="20"/>
        </w:rPr>
        <w:t>України</w:t>
      </w:r>
      <w:r w:rsidRPr="00964461">
        <w:rPr>
          <w:rFonts w:eastAsia="Times New Roman"/>
          <w:color w:val="auto"/>
          <w:sz w:val="20"/>
          <w:szCs w:val="20"/>
          <w:lang w:eastAsia="ar-SA"/>
        </w:rPr>
        <w:t>.</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Державний експертний центр МОЗ</w:t>
      </w:r>
      <w:r w:rsidRPr="00964461">
        <w:rPr>
          <w:rFonts w:ascii="Calibri" w:hAnsi="Calibri"/>
          <w:color w:val="auto"/>
          <w:sz w:val="20"/>
          <w:szCs w:val="20"/>
        </w:rPr>
        <w:t xml:space="preserve"> </w:t>
      </w:r>
      <w:r w:rsidRPr="00964461">
        <w:rPr>
          <w:color w:val="auto"/>
          <w:sz w:val="20"/>
          <w:szCs w:val="20"/>
        </w:rPr>
        <w:t xml:space="preserve">України, відповідно до критеріїв оцінки від провадження господарської діяльності є об’єктом з високим ступенем ризику, яке відповідно до статуту має право на придбання, використання, зберігання та знищення наркотичних засобів, психотропних речовин та прекурсорів, необхідних для здійснення передбачених статутом та законодавством завдань та повноважень.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Територія, що охороняється, складає 8230 </w:t>
      </w:r>
      <w:proofErr w:type="spellStart"/>
      <w:r w:rsidRPr="00964461">
        <w:rPr>
          <w:color w:val="auto"/>
          <w:sz w:val="20"/>
          <w:szCs w:val="20"/>
        </w:rPr>
        <w:t>кв.м</w:t>
      </w:r>
      <w:proofErr w:type="spellEnd"/>
      <w:r w:rsidRPr="00964461">
        <w:rPr>
          <w:color w:val="auto"/>
          <w:sz w:val="20"/>
          <w:szCs w:val="20"/>
        </w:rPr>
        <w:t xml:space="preserve">.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Загальна площа будівлі Центру, запущеної в експлуатацію, складає 6418,6 </w:t>
      </w:r>
      <w:proofErr w:type="spellStart"/>
      <w:r w:rsidRPr="00964461">
        <w:rPr>
          <w:color w:val="auto"/>
          <w:sz w:val="20"/>
          <w:szCs w:val="20"/>
        </w:rPr>
        <w:t>кв.м</w:t>
      </w:r>
      <w:proofErr w:type="spellEnd"/>
      <w:r w:rsidRPr="00964461">
        <w:rPr>
          <w:color w:val="auto"/>
          <w:sz w:val="20"/>
          <w:szCs w:val="20"/>
        </w:rPr>
        <w:t xml:space="preserve">.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Загальна площа будівлі Центру незавершеного будівництва, складає 5405,0 </w:t>
      </w:r>
      <w:proofErr w:type="spellStart"/>
      <w:r w:rsidRPr="00964461">
        <w:rPr>
          <w:color w:val="auto"/>
          <w:sz w:val="20"/>
          <w:szCs w:val="20"/>
        </w:rPr>
        <w:t>кв.м</w:t>
      </w:r>
      <w:proofErr w:type="spellEnd"/>
      <w:r w:rsidRPr="00964461">
        <w:rPr>
          <w:color w:val="auto"/>
          <w:sz w:val="20"/>
          <w:szCs w:val="20"/>
        </w:rPr>
        <w:t>.</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Чисельна кількість робочих місць, розміщених в будівлі, близько 400 чоловік. </w:t>
      </w:r>
    </w:p>
    <w:p w:rsidR="00422A2E" w:rsidRPr="00964461" w:rsidRDefault="00422A2E" w:rsidP="00422A2E">
      <w:pPr>
        <w:spacing w:after="0" w:line="252" w:lineRule="auto"/>
        <w:ind w:firstLine="567"/>
        <w:jc w:val="both"/>
        <w:rPr>
          <w:color w:val="auto"/>
          <w:sz w:val="20"/>
          <w:szCs w:val="20"/>
          <w:highlight w:val="yellow"/>
        </w:rPr>
      </w:pPr>
      <w:r w:rsidRPr="00964461">
        <w:rPr>
          <w:color w:val="auto"/>
          <w:sz w:val="20"/>
          <w:szCs w:val="20"/>
        </w:rPr>
        <w:t xml:space="preserve">Щоденно відвідує (окрім вихідних та святкових днів) понад 100 чоловік.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Будівля та прилегла територія. В будівлі розміщені офісні приміщення. Будівля обладнана охоронно-тривожною сигналізацією, пожежною сигналізацією, системою контролю та управління доступом, системою відеоспостереження, наявні тривожні кнопки Управління поліції охорони Національної поліції України (далі разом – системи безпеки). Територія будівлі огороджена парканом, обладнана освітленням та системою відеоспостереження. На території наявна стоянка для автомобілів. Усі системи безпеки заведені на пост центрального спостереження охорони будівлі.</w:t>
      </w:r>
    </w:p>
    <w:p w:rsidR="00422A2E" w:rsidRPr="00964461" w:rsidRDefault="00422A2E" w:rsidP="00422A2E">
      <w:pPr>
        <w:widowControl w:val="0"/>
        <w:tabs>
          <w:tab w:val="left" w:pos="4111"/>
          <w:tab w:val="left" w:pos="4395"/>
        </w:tabs>
        <w:suppressAutoHyphens/>
        <w:autoSpaceDE w:val="0"/>
        <w:spacing w:after="0" w:line="240" w:lineRule="auto"/>
        <w:ind w:firstLine="567"/>
        <w:jc w:val="both"/>
        <w:rPr>
          <w:rFonts w:eastAsia="Times New Roman"/>
          <w:color w:val="auto"/>
          <w:sz w:val="20"/>
          <w:szCs w:val="20"/>
          <w:lang w:eastAsia="ar-SA"/>
        </w:rPr>
      </w:pPr>
      <w:r w:rsidRPr="00964461">
        <w:rPr>
          <w:rFonts w:eastAsia="Times New Roman"/>
          <w:color w:val="auto"/>
          <w:sz w:val="20"/>
          <w:szCs w:val="20"/>
          <w:lang w:eastAsia="ar-SA"/>
        </w:rPr>
        <w:t xml:space="preserve">Кількість об’єктів охорони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1; всього постів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4; цілодобових постів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3; денний пост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1.</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Охорона об’єкту охорони забезпечується відповідно до дислокації.</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3 поста: добова зміна. Чергування доба через три.</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1 пост: денна зміна (9 годин). Чергування в робочі дні.</w:t>
      </w:r>
    </w:p>
    <w:p w:rsidR="00422A2E" w:rsidRPr="00964461" w:rsidRDefault="00422A2E" w:rsidP="00422A2E">
      <w:pPr>
        <w:widowControl w:val="0"/>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 xml:space="preserve">Охорона об’єкту, в тому числі цілодобова, повинна здійснюватися охоронниками 3 розряду. </w:t>
      </w:r>
    </w:p>
    <w:p w:rsidR="00422A2E" w:rsidRPr="00964461" w:rsidRDefault="00422A2E" w:rsidP="00422A2E">
      <w:pPr>
        <w:widowControl w:val="0"/>
        <w:suppressAutoHyphens/>
        <w:autoSpaceDE w:val="0"/>
        <w:spacing w:after="0" w:line="240" w:lineRule="auto"/>
        <w:rPr>
          <w:rFonts w:eastAsia="Times New Roman CYR"/>
          <w:color w:val="auto"/>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374"/>
        <w:gridCol w:w="1264"/>
        <w:gridCol w:w="707"/>
        <w:gridCol w:w="737"/>
        <w:gridCol w:w="816"/>
        <w:gridCol w:w="849"/>
        <w:gridCol w:w="981"/>
        <w:gridCol w:w="926"/>
      </w:tblGrid>
      <w:tr w:rsidR="00422A2E" w:rsidRPr="00964461" w:rsidTr="00640675">
        <w:trPr>
          <w:trHeight w:val="285"/>
        </w:trPr>
        <w:tc>
          <w:tcPr>
            <w:tcW w:w="500"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w:t>
            </w:r>
          </w:p>
          <w:p w:rsidR="00422A2E" w:rsidRPr="00964461" w:rsidRDefault="00422A2E" w:rsidP="00640675">
            <w:pPr>
              <w:spacing w:after="0" w:line="240" w:lineRule="auto"/>
              <w:jc w:val="center"/>
              <w:rPr>
                <w:b/>
                <w:color w:val="auto"/>
                <w:sz w:val="16"/>
                <w:szCs w:val="16"/>
              </w:rPr>
            </w:pPr>
            <w:r w:rsidRPr="00964461">
              <w:rPr>
                <w:b/>
                <w:color w:val="auto"/>
                <w:sz w:val="16"/>
                <w:szCs w:val="16"/>
              </w:rPr>
              <w:t>п/п</w:t>
            </w:r>
          </w:p>
        </w:tc>
        <w:tc>
          <w:tcPr>
            <w:tcW w:w="1735"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Найменування об’єкту</w:t>
            </w:r>
          </w:p>
        </w:tc>
        <w:tc>
          <w:tcPr>
            <w:tcW w:w="1374"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Адреса розташування</w:t>
            </w:r>
          </w:p>
        </w:tc>
        <w:tc>
          <w:tcPr>
            <w:tcW w:w="1264"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Кількість охоронників на добу</w:t>
            </w:r>
          </w:p>
        </w:tc>
        <w:tc>
          <w:tcPr>
            <w:tcW w:w="4090" w:type="dxa"/>
            <w:gridSpan w:val="5"/>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Години охорони «від-до» в дні:</w:t>
            </w:r>
          </w:p>
        </w:tc>
        <w:tc>
          <w:tcPr>
            <w:tcW w:w="926"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Примітка</w:t>
            </w:r>
          </w:p>
        </w:tc>
      </w:tr>
      <w:tr w:rsidR="00422A2E" w:rsidRPr="00964461" w:rsidTr="00640675">
        <w:trPr>
          <w:trHeight w:val="255"/>
        </w:trPr>
        <w:tc>
          <w:tcPr>
            <w:tcW w:w="500" w:type="dxa"/>
            <w:vMerge/>
            <w:shd w:val="clear" w:color="auto" w:fill="auto"/>
          </w:tcPr>
          <w:p w:rsidR="00422A2E" w:rsidRPr="00964461" w:rsidRDefault="00422A2E" w:rsidP="00640675">
            <w:pPr>
              <w:spacing w:after="0" w:line="240" w:lineRule="auto"/>
              <w:rPr>
                <w:color w:val="auto"/>
                <w:sz w:val="16"/>
                <w:szCs w:val="16"/>
              </w:rPr>
            </w:pPr>
          </w:p>
        </w:tc>
        <w:tc>
          <w:tcPr>
            <w:tcW w:w="1735" w:type="dxa"/>
            <w:vMerge/>
            <w:shd w:val="clear" w:color="auto" w:fill="auto"/>
          </w:tcPr>
          <w:p w:rsidR="00422A2E" w:rsidRPr="00964461" w:rsidRDefault="00422A2E" w:rsidP="00640675">
            <w:pPr>
              <w:spacing w:after="0" w:line="240" w:lineRule="auto"/>
              <w:rPr>
                <w:color w:val="auto"/>
                <w:sz w:val="16"/>
                <w:szCs w:val="16"/>
              </w:rPr>
            </w:pPr>
          </w:p>
        </w:tc>
        <w:tc>
          <w:tcPr>
            <w:tcW w:w="1374" w:type="dxa"/>
            <w:vMerge/>
            <w:shd w:val="clear" w:color="auto" w:fill="auto"/>
          </w:tcPr>
          <w:p w:rsidR="00422A2E" w:rsidRPr="00964461" w:rsidRDefault="00422A2E" w:rsidP="00640675">
            <w:pPr>
              <w:spacing w:after="0" w:line="240" w:lineRule="auto"/>
              <w:rPr>
                <w:color w:val="auto"/>
                <w:sz w:val="16"/>
                <w:szCs w:val="16"/>
              </w:rPr>
            </w:pPr>
          </w:p>
        </w:tc>
        <w:tc>
          <w:tcPr>
            <w:tcW w:w="1264" w:type="dxa"/>
            <w:vMerge/>
            <w:shd w:val="clear" w:color="auto" w:fill="auto"/>
          </w:tcPr>
          <w:p w:rsidR="00422A2E" w:rsidRPr="00964461" w:rsidRDefault="00422A2E" w:rsidP="00640675">
            <w:pPr>
              <w:spacing w:after="0" w:line="240" w:lineRule="auto"/>
              <w:rPr>
                <w:color w:val="auto"/>
                <w:sz w:val="16"/>
                <w:szCs w:val="16"/>
              </w:rPr>
            </w:pPr>
          </w:p>
        </w:tc>
        <w:tc>
          <w:tcPr>
            <w:tcW w:w="707"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робочі</w:t>
            </w:r>
          </w:p>
        </w:tc>
        <w:tc>
          <w:tcPr>
            <w:tcW w:w="737"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перед-вихідні</w:t>
            </w:r>
          </w:p>
        </w:tc>
        <w:tc>
          <w:tcPr>
            <w:tcW w:w="816"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вихідні</w:t>
            </w:r>
          </w:p>
        </w:tc>
        <w:tc>
          <w:tcPr>
            <w:tcW w:w="849"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перед-святкові</w:t>
            </w:r>
          </w:p>
        </w:tc>
        <w:tc>
          <w:tcPr>
            <w:tcW w:w="981"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святкові</w:t>
            </w:r>
          </w:p>
        </w:tc>
        <w:tc>
          <w:tcPr>
            <w:tcW w:w="926" w:type="dxa"/>
            <w:vMerge/>
            <w:shd w:val="clear" w:color="auto" w:fill="auto"/>
          </w:tcPr>
          <w:p w:rsidR="00422A2E" w:rsidRPr="00964461" w:rsidRDefault="00422A2E" w:rsidP="00640675">
            <w:pPr>
              <w:spacing w:after="0" w:line="240" w:lineRule="auto"/>
              <w:rPr>
                <w:color w:val="auto"/>
                <w:sz w:val="16"/>
                <w:szCs w:val="16"/>
              </w:rPr>
            </w:pP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адміністративної будівлі Державного експертного центру МОЗ (1 пост, Пост-1) </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lastRenderedPageBreak/>
              <w:t>2</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Охорона адміністративної будівлі Державного експертного центру МОЗ (1 пост, Пост-2)</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t>3</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території адміністративної будівлі Державного експертного центру МОЗ (1 пост, шлагбаум, зовнішня охорона Пост-3) </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FFFFFF"/>
          </w:tcPr>
          <w:p w:rsidR="00422A2E" w:rsidRPr="00964461" w:rsidRDefault="00422A2E" w:rsidP="00640675">
            <w:pPr>
              <w:spacing w:after="0" w:line="240" w:lineRule="auto"/>
              <w:jc w:val="center"/>
              <w:rPr>
                <w:color w:val="auto"/>
                <w:sz w:val="16"/>
                <w:szCs w:val="16"/>
              </w:rPr>
            </w:pPr>
            <w:r w:rsidRPr="00964461">
              <w:rPr>
                <w:color w:val="auto"/>
                <w:sz w:val="16"/>
                <w:szCs w:val="16"/>
              </w:rPr>
              <w:t>4</w:t>
            </w:r>
          </w:p>
        </w:tc>
        <w:tc>
          <w:tcPr>
            <w:tcW w:w="1735" w:type="dxa"/>
            <w:shd w:val="clear" w:color="auto" w:fill="FFFFFF"/>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адміністративної будівлі Державного експертного центру МОЗ (1 пост, Пост-4) </w:t>
            </w:r>
          </w:p>
        </w:tc>
        <w:tc>
          <w:tcPr>
            <w:tcW w:w="1374" w:type="dxa"/>
            <w:shd w:val="clear" w:color="auto" w:fill="FFFFFF"/>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FFFFFF"/>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737"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816"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w:t>
            </w:r>
          </w:p>
        </w:tc>
        <w:tc>
          <w:tcPr>
            <w:tcW w:w="849"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981"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w:t>
            </w:r>
          </w:p>
        </w:tc>
        <w:tc>
          <w:tcPr>
            <w:tcW w:w="926" w:type="dxa"/>
            <w:shd w:val="clear" w:color="auto" w:fill="FFFFFF"/>
          </w:tcPr>
          <w:p w:rsidR="00422A2E" w:rsidRPr="00964461" w:rsidRDefault="00422A2E" w:rsidP="00640675">
            <w:pPr>
              <w:spacing w:after="0" w:line="240" w:lineRule="auto"/>
              <w:jc w:val="center"/>
              <w:rPr>
                <w:color w:val="auto"/>
                <w:sz w:val="16"/>
                <w:szCs w:val="16"/>
              </w:rPr>
            </w:pPr>
            <w:r w:rsidRPr="00964461">
              <w:rPr>
                <w:color w:val="auto"/>
                <w:sz w:val="16"/>
                <w:szCs w:val="16"/>
              </w:rPr>
              <w:t>Крім суботи, неділі та святкових днів</w:t>
            </w:r>
          </w:p>
        </w:tc>
      </w:tr>
    </w:tbl>
    <w:p w:rsidR="00422A2E" w:rsidRDefault="00422A2E" w:rsidP="00422A2E">
      <w:pPr>
        <w:tabs>
          <w:tab w:val="left" w:pos="709"/>
        </w:tabs>
        <w:suppressAutoHyphens/>
        <w:spacing w:after="0" w:line="240" w:lineRule="auto"/>
        <w:jc w:val="center"/>
        <w:rPr>
          <w:rFonts w:eastAsia="Times New Roman CYR"/>
          <w:b/>
          <w:bCs/>
          <w:color w:val="auto"/>
          <w:sz w:val="20"/>
          <w:szCs w:val="20"/>
          <w:lang w:eastAsia="ar-SA"/>
        </w:rPr>
      </w:pPr>
    </w:p>
    <w:sectPr w:rsidR="00422A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E"/>
    <w:rsid w:val="00422A2E"/>
    <w:rsid w:val="007145E3"/>
    <w:rsid w:val="00DD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55D0"/>
  <w15:chartTrackingRefBased/>
  <w15:docId w15:val="{077D9CFF-AD09-4DA8-BC71-6C318D64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2E"/>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89091">
      <w:bodyDiv w:val="1"/>
      <w:marLeft w:val="0"/>
      <w:marRight w:val="0"/>
      <w:marTop w:val="0"/>
      <w:marBottom w:val="0"/>
      <w:divBdr>
        <w:top w:val="none" w:sz="0" w:space="0" w:color="auto"/>
        <w:left w:val="none" w:sz="0" w:space="0" w:color="auto"/>
        <w:bottom w:val="none" w:sz="0" w:space="0" w:color="auto"/>
        <w:right w:val="none" w:sz="0" w:space="0" w:color="auto"/>
      </w:divBdr>
      <w:divsChild>
        <w:div w:id="2026248251">
          <w:marLeft w:val="0"/>
          <w:marRight w:val="0"/>
          <w:marTop w:val="0"/>
          <w:marBottom w:val="225"/>
          <w:divBdr>
            <w:top w:val="none" w:sz="0" w:space="0" w:color="auto"/>
            <w:left w:val="none" w:sz="0" w:space="0" w:color="auto"/>
            <w:bottom w:val="none" w:sz="0" w:space="0" w:color="auto"/>
            <w:right w:val="none" w:sz="0" w:space="0" w:color="auto"/>
          </w:divBdr>
          <w:divsChild>
            <w:div w:id="337848192">
              <w:marLeft w:val="0"/>
              <w:marRight w:val="0"/>
              <w:marTop w:val="0"/>
              <w:marBottom w:val="150"/>
              <w:divBdr>
                <w:top w:val="none" w:sz="0" w:space="0" w:color="auto"/>
                <w:left w:val="none" w:sz="0" w:space="0" w:color="auto"/>
                <w:bottom w:val="none" w:sz="0" w:space="0" w:color="auto"/>
                <w:right w:val="none" w:sz="0" w:space="0" w:color="auto"/>
              </w:divBdr>
            </w:div>
          </w:divsChild>
        </w:div>
        <w:div w:id="784277446">
          <w:marLeft w:val="0"/>
          <w:marRight w:val="0"/>
          <w:marTop w:val="0"/>
          <w:marBottom w:val="225"/>
          <w:divBdr>
            <w:top w:val="none" w:sz="0" w:space="0" w:color="auto"/>
            <w:left w:val="none" w:sz="0" w:space="0" w:color="auto"/>
            <w:bottom w:val="none" w:sz="0" w:space="0" w:color="auto"/>
            <w:right w:val="none" w:sz="0" w:space="0" w:color="auto"/>
          </w:divBdr>
        </w:div>
        <w:div w:id="1008364914">
          <w:marLeft w:val="0"/>
          <w:marRight w:val="0"/>
          <w:marTop w:val="0"/>
          <w:marBottom w:val="225"/>
          <w:divBdr>
            <w:top w:val="none" w:sz="0" w:space="0" w:color="auto"/>
            <w:left w:val="none" w:sz="0" w:space="0" w:color="auto"/>
            <w:bottom w:val="none" w:sz="0" w:space="0" w:color="auto"/>
            <w:right w:val="none" w:sz="0" w:space="0" w:color="auto"/>
          </w:divBdr>
          <w:divsChild>
            <w:div w:id="186213936">
              <w:marLeft w:val="0"/>
              <w:marRight w:val="0"/>
              <w:marTop w:val="0"/>
              <w:marBottom w:val="0"/>
              <w:divBdr>
                <w:top w:val="none" w:sz="0" w:space="0" w:color="auto"/>
                <w:left w:val="none" w:sz="0" w:space="0" w:color="auto"/>
                <w:bottom w:val="none" w:sz="0" w:space="0" w:color="auto"/>
                <w:right w:val="none" w:sz="0" w:space="0" w:color="auto"/>
              </w:divBdr>
              <w:divsChild>
                <w:div w:id="117452813">
                  <w:marLeft w:val="0"/>
                  <w:marRight w:val="0"/>
                  <w:marTop w:val="0"/>
                  <w:marBottom w:val="225"/>
                  <w:divBdr>
                    <w:top w:val="none" w:sz="0" w:space="0" w:color="auto"/>
                    <w:left w:val="none" w:sz="0" w:space="0" w:color="auto"/>
                    <w:bottom w:val="none" w:sz="0" w:space="0" w:color="auto"/>
                    <w:right w:val="none" w:sz="0" w:space="0" w:color="auto"/>
                  </w:divBdr>
                </w:div>
              </w:divsChild>
            </w:div>
            <w:div w:id="1907642358">
              <w:marLeft w:val="0"/>
              <w:marRight w:val="0"/>
              <w:marTop w:val="0"/>
              <w:marBottom w:val="0"/>
              <w:divBdr>
                <w:top w:val="none" w:sz="0" w:space="0" w:color="auto"/>
                <w:left w:val="none" w:sz="0" w:space="0" w:color="auto"/>
                <w:bottom w:val="none" w:sz="0" w:space="0" w:color="auto"/>
                <w:right w:val="none" w:sz="0" w:space="0" w:color="auto"/>
              </w:divBdr>
              <w:divsChild>
                <w:div w:id="1939874405">
                  <w:marLeft w:val="0"/>
                  <w:marRight w:val="0"/>
                  <w:marTop w:val="0"/>
                  <w:marBottom w:val="150"/>
                  <w:divBdr>
                    <w:top w:val="none" w:sz="0" w:space="0" w:color="auto"/>
                    <w:left w:val="none" w:sz="0" w:space="0" w:color="auto"/>
                    <w:bottom w:val="none" w:sz="0" w:space="0" w:color="auto"/>
                    <w:right w:val="none" w:sz="0" w:space="0" w:color="auto"/>
                  </w:divBdr>
                </w:div>
                <w:div w:id="27532913">
                  <w:marLeft w:val="0"/>
                  <w:marRight w:val="0"/>
                  <w:marTop w:val="0"/>
                  <w:marBottom w:val="150"/>
                  <w:divBdr>
                    <w:top w:val="none" w:sz="0" w:space="0" w:color="auto"/>
                    <w:left w:val="none" w:sz="0" w:space="0" w:color="auto"/>
                    <w:bottom w:val="none" w:sz="0" w:space="0" w:color="auto"/>
                    <w:right w:val="none" w:sz="0" w:space="0" w:color="auto"/>
                  </w:divBdr>
                </w:div>
                <w:div w:id="1847209348">
                  <w:marLeft w:val="0"/>
                  <w:marRight w:val="0"/>
                  <w:marTop w:val="0"/>
                  <w:marBottom w:val="150"/>
                  <w:divBdr>
                    <w:top w:val="none" w:sz="0" w:space="0" w:color="auto"/>
                    <w:left w:val="none" w:sz="0" w:space="0" w:color="auto"/>
                    <w:bottom w:val="none" w:sz="0" w:space="0" w:color="auto"/>
                    <w:right w:val="none" w:sz="0" w:space="0" w:color="auto"/>
                  </w:divBdr>
                </w:div>
                <w:div w:id="1098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2</cp:revision>
  <dcterms:created xsi:type="dcterms:W3CDTF">2021-03-18T13:44:00Z</dcterms:created>
  <dcterms:modified xsi:type="dcterms:W3CDTF">2021-03-18T13:44:00Z</dcterms:modified>
</cp:coreProperties>
</file>