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C2" w:rsidRPr="00553D84" w:rsidRDefault="00B33AC2" w:rsidP="00B33AC2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B33AC2" w:rsidRPr="00553D84" w:rsidRDefault="00B33AC2" w:rsidP="00B33AC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553D84">
        <w:rPr>
          <w:rFonts w:eastAsia="Times New Roman"/>
          <w:b/>
          <w:color w:val="auto"/>
          <w:lang w:eastAsia="ru-RU"/>
        </w:rPr>
        <w:t>Технічні (якісні) вимоги до предмета закупівлі:</w:t>
      </w:r>
    </w:p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B33AC2">
        <w:rPr>
          <w:b/>
          <w:sz w:val="24"/>
          <w:szCs w:val="24"/>
        </w:rPr>
        <w:t>Послуги з технічного обслуговування і ремонту офісної техніки</w:t>
      </w:r>
    </w:p>
    <w:p w:rsidR="00B33AC2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B33AC2">
        <w:rPr>
          <w:b/>
          <w:sz w:val="24"/>
          <w:szCs w:val="24"/>
        </w:rPr>
        <w:t>ДК 021:2015: 50310000-1 — Технічне обслуговування і ремонт офісної техніки</w:t>
      </w:r>
    </w:p>
    <w:p w:rsidR="00B33AC2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B33AC2" w:rsidRPr="00553D84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553D84">
        <w:rPr>
          <w:b/>
          <w:color w:val="auto"/>
        </w:rPr>
        <w:t>Очікувана вартість предмета закупівлі</w:t>
      </w:r>
      <w:r w:rsidRPr="00553D84">
        <w:rPr>
          <w:rFonts w:eastAsia="Times New Roman"/>
          <w:b/>
          <w:color w:val="auto"/>
          <w:lang w:eastAsia="ar-SA"/>
        </w:rPr>
        <w:t xml:space="preserve">: </w:t>
      </w:r>
      <w:r>
        <w:rPr>
          <w:rFonts w:eastAsia="Times New Roman"/>
          <w:b/>
          <w:color w:val="auto"/>
          <w:lang w:eastAsia="ar-SA"/>
        </w:rPr>
        <w:t>1 50</w:t>
      </w:r>
      <w:r w:rsidRPr="00553D84">
        <w:rPr>
          <w:rFonts w:eastAsia="Times New Roman"/>
          <w:b/>
          <w:color w:val="auto"/>
          <w:lang w:eastAsia="ar-SA"/>
        </w:rPr>
        <w:t>0 000,00 грн.</w:t>
      </w:r>
    </w:p>
    <w:p w:rsidR="00B33AC2" w:rsidRPr="00553D84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553D84">
        <w:rPr>
          <w:rFonts w:eastAsia="Times New Roman"/>
          <w:b/>
          <w:color w:val="auto"/>
          <w:lang w:eastAsia="ar-SA"/>
        </w:rPr>
        <w:t xml:space="preserve">Ідентифікатор закупівлі: </w:t>
      </w:r>
      <w:r w:rsidR="00DE4D17" w:rsidRPr="00DE4D17">
        <w:rPr>
          <w:rFonts w:eastAsia="Times New Roman"/>
          <w:b/>
          <w:color w:val="auto"/>
          <w:lang w:eastAsia="ar-SA"/>
        </w:rPr>
        <w:t>UA-2021-02-26-009176-a</w:t>
      </w:r>
      <w:r w:rsidRPr="00553D84">
        <w:rPr>
          <w:rFonts w:eastAsia="Times New Roman"/>
          <w:b/>
          <w:color w:val="auto"/>
          <w:lang w:eastAsia="ar-SA"/>
        </w:rPr>
        <w:t>.</w:t>
      </w:r>
    </w:p>
    <w:p w:rsidR="00B33AC2" w:rsidRPr="00553D84" w:rsidRDefault="00B33AC2" w:rsidP="00B33AC2">
      <w:pPr>
        <w:suppressAutoHyphens/>
        <w:spacing w:after="0" w:line="230" w:lineRule="auto"/>
        <w:ind w:left="-142"/>
        <w:jc w:val="both"/>
        <w:rPr>
          <w:b/>
          <w:sz w:val="24"/>
          <w:szCs w:val="24"/>
          <w:lang w:eastAsia="ar-SA"/>
        </w:rPr>
      </w:pPr>
      <w:bookmarkStart w:id="0" w:name="_GoBack"/>
      <w:bookmarkEnd w:id="0"/>
    </w:p>
    <w:p w:rsidR="00B33AC2" w:rsidRPr="00553D84" w:rsidRDefault="00B33AC2" w:rsidP="00B33AC2">
      <w:pPr>
        <w:suppressAutoHyphens/>
        <w:spacing w:after="0" w:line="232" w:lineRule="auto"/>
        <w:jc w:val="both"/>
        <w:rPr>
          <w:b/>
          <w:color w:val="auto"/>
          <w:sz w:val="24"/>
          <w:szCs w:val="24"/>
        </w:rPr>
      </w:pPr>
    </w:p>
    <w:p w:rsidR="00B33AC2" w:rsidRPr="00553D84" w:rsidRDefault="00B33AC2" w:rsidP="00B33AC2">
      <w:pPr>
        <w:suppressAutoHyphens/>
        <w:spacing w:after="0" w:line="232" w:lineRule="auto"/>
        <w:ind w:left="-426"/>
        <w:rPr>
          <w:b/>
          <w:sz w:val="24"/>
          <w:szCs w:val="24"/>
          <w:lang w:eastAsia="ar-SA"/>
        </w:rPr>
      </w:pPr>
      <w:r w:rsidRPr="00553D84">
        <w:rPr>
          <w:b/>
          <w:sz w:val="24"/>
          <w:szCs w:val="24"/>
          <w:lang w:eastAsia="ar-SA"/>
        </w:rPr>
        <w:t>При проведенні даної процедури закупівлі Замовник встановлює наступні технічні, якісні та кількісні критерії предмету закупівлі:</w:t>
      </w:r>
    </w:p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ind w:left="-426"/>
        <w:rPr>
          <w:sz w:val="24"/>
          <w:szCs w:val="24"/>
        </w:rPr>
      </w:pPr>
      <w:r w:rsidRPr="00B33AC2">
        <w:rPr>
          <w:sz w:val="24"/>
          <w:szCs w:val="24"/>
        </w:rPr>
        <w:t>Місце поставки товарів або місце виконання робіт чи надання послуг: 03057, Україна, м. Київ, м. Київ, вул. Смоленська, 10</w:t>
      </w:r>
    </w:p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ind w:left="-426"/>
        <w:rPr>
          <w:sz w:val="24"/>
          <w:szCs w:val="24"/>
        </w:rPr>
      </w:pPr>
      <w:r w:rsidRPr="00B33AC2">
        <w:rPr>
          <w:sz w:val="24"/>
          <w:szCs w:val="24"/>
        </w:rPr>
        <w:t>Строк поставки товарів, виконання робіт чи надання послуг: 31 грудня 2021</w:t>
      </w:r>
    </w:p>
    <w:p w:rsidR="00B33AC2" w:rsidRPr="00553D84" w:rsidRDefault="00B33AC2" w:rsidP="00B33AC2">
      <w:pPr>
        <w:widowControl w:val="0"/>
        <w:suppressAutoHyphens/>
        <w:autoSpaceDE w:val="0"/>
        <w:spacing w:after="0"/>
        <w:rPr>
          <w:b/>
          <w:bCs/>
        </w:rPr>
      </w:pPr>
    </w:p>
    <w:tbl>
      <w:tblPr>
        <w:tblW w:w="9961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709"/>
        <w:gridCol w:w="7249"/>
        <w:gridCol w:w="993"/>
        <w:gridCol w:w="1010"/>
      </w:tblGrid>
      <w:tr w:rsidR="00B33AC2" w:rsidRPr="00B33AC2" w:rsidTr="00B33AC2">
        <w:trPr>
          <w:trHeight w:val="5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Найменування послуги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Од.</w:t>
            </w:r>
          </w:p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виміру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Кіль-кість, шт.</w:t>
            </w:r>
          </w:p>
        </w:tc>
      </w:tr>
      <w:tr w:rsidR="00B33AC2" w:rsidRPr="00B33AC2" w:rsidTr="00B33AC2">
        <w:trPr>
          <w:trHeight w:val="245"/>
        </w:trPr>
        <w:tc>
          <w:tcPr>
            <w:tcW w:w="9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Персональний комп’ютер, моноблок</w:t>
            </w:r>
          </w:p>
        </w:tc>
      </w:tr>
      <w:tr w:rsidR="00B33AC2" w:rsidRPr="00B33AC2" w:rsidTr="00B33AC2">
        <w:trPr>
          <w:trHeight w:val="26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системного блока, моноблока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</w:tr>
      <w:tr w:rsidR="00B33AC2" w:rsidRPr="00B33AC2" w:rsidTr="00B33AC2">
        <w:trPr>
          <w:trHeight w:val="1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із заміною вентилятора процесора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із заміною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системного блоку, моноблока із заміною пам'яті DDR3 4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9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системного блоку, моноблока із заміною пам'яті DDR4 8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21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 із заміною материнської плати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2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чистка/заміна системи охолодження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моноблоку із заміною материнської плати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із заміною жорсткого диску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із заміною батареї BIOS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88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Ноутбук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Технічне обслуговування ноутбука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вентилятора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вентилятора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4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модулів оперативної пам'яті DDR3 4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Gb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модулів оперативної пам'яті DDR3 4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Gb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материнської плати HP б50,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Compaq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б35, HP 250, HP б30,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ProBook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450,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g6,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g7, HP 6820s, HP 6730s,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Prosario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CQGL 410,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Povillion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dv6-2122er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8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материнської плати ASUS X556UQ,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ТЗ00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5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материнської плати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77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чисткою/заміною охолодження ноутбука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батареї BIOS ноутбуку 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7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матриці HP 650,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Compaq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635, HP 250, HP 630,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ProBook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450,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g6,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g7, HP 6820s, HP 6730S,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Prosario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CQGL 410,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Povillion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dv6-2122er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матриці ASUS X556UQ,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Т300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матриці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інвертора вузла підсвічування екрану 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інвертора вузла підсвічування екрану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дискретної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відеокарти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0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дискретної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відеокарти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корпусних деталей HP 650,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Compaq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635, HP 250, HP 630,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ProBook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450,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g6,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g7, HP 6820s, HP 6730S,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Prosario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CQGL 410,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Povillion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dv6-2I22er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48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корпусних деталей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1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жорсткого диска 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</w:tr>
      <w:tr w:rsidR="00B33AC2" w:rsidRPr="00B33AC2" w:rsidTr="00B33AC2">
        <w:trPr>
          <w:trHeight w:val="42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жорсткого диска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0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оптичного CD / DVD приводу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42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шлейфу матриці (екрану)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2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шлейфу матриці (екрану)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7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клавіатури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43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клавіатури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50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Монітори, телевізори</w:t>
            </w:r>
          </w:p>
        </w:tc>
      </w:tr>
      <w:tr w:rsidR="00B33AC2" w:rsidRPr="00B33AC2" w:rsidTr="00B33AC2">
        <w:trPr>
          <w:trHeight w:val="22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монітора 15"-25"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23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монітора 15"-25"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5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lastRenderedPageBreak/>
              <w:t>39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монітора 15"-25" із заміною високовольтного трансформатора,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2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монітора 15"-25" лампи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підсвітки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плати живлення LCD телевізору 32-42"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105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Телефонія</w:t>
            </w:r>
          </w:p>
        </w:tc>
      </w:tr>
      <w:tr w:rsidR="00B33AC2" w:rsidRPr="00B33AC2" w:rsidTr="00B33AC2">
        <w:trPr>
          <w:trHeight w:val="5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Технічне обслуговування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GXP 1610, GAC2500, GXV3275, DP750, DP720, GVC3202, GXW4232, GPX2170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30</w:t>
            </w:r>
          </w:p>
        </w:tc>
      </w:tr>
      <w:tr w:rsidR="00B33AC2" w:rsidRPr="00B33AC2" w:rsidTr="00B33AC2">
        <w:trPr>
          <w:trHeight w:val="2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GAC2500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54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GXP1610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GXV3275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9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DP750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29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 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DP720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2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GVC3202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14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GXW4232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13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GXP2170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79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Блок безперебійного живлення</w:t>
            </w:r>
          </w:p>
        </w:tc>
      </w:tr>
      <w:tr w:rsidR="00B33AC2" w:rsidRPr="00B33AC2" w:rsidTr="00B33AC2">
        <w:trPr>
          <w:trHeight w:val="5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блоку безперебійного живлення та стабілізатора напруги будь-якої моделі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60</w:t>
            </w:r>
          </w:p>
        </w:tc>
      </w:tr>
      <w:tr w:rsidR="00B33AC2" w:rsidRPr="00B33AC2" w:rsidTr="00B33AC2">
        <w:trPr>
          <w:trHeight w:val="30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Заміна акумуляторної батареї блоку безперебійного живлення 500 Ват 12В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</w:tr>
      <w:tr w:rsidR="00B33AC2" w:rsidRPr="00B33AC2" w:rsidTr="00B33AC2">
        <w:trPr>
          <w:trHeight w:val="1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Заміна акумуляторної батареї блоку безперебійного живлення 1000 Ват 12В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Заміна акумуляторної батареї блоку безперебійного живлення 1500 Ват 12В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ланцюгів живлення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29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плати керування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компонентів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Калібрування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7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7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6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Заміна акумуляторної батареї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ланцюгів живлення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плати керування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2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компонентів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Калібрування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97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Сканер</w:t>
            </w:r>
          </w:p>
        </w:tc>
      </w:tr>
      <w:tr w:rsidR="00B33AC2" w:rsidRPr="00B33AC2" w:rsidTr="00B33AC2">
        <w:trPr>
          <w:trHeight w:val="1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lastRenderedPageBreak/>
              <w:t>66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сканера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1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сканеру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ф.АЗ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>, А4 із заміною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18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сканеру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ф.АЗ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>, А4 із заміною шлейфу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07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Принтер, багатофункціональний пристрій, копіювальний апарат</w:t>
            </w:r>
          </w:p>
        </w:tc>
      </w:tr>
      <w:tr w:rsidR="00B33AC2" w:rsidRPr="00B33AC2" w:rsidTr="00B33AC2">
        <w:trPr>
          <w:trHeight w:val="34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Технічне обслуговування копіювального апарату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A3,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A3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60</w:t>
            </w:r>
          </w:p>
        </w:tc>
      </w:tr>
      <w:tr w:rsidR="00B33AC2" w:rsidRPr="00B33AC2" w:rsidTr="00B33AC2">
        <w:trPr>
          <w:trHeight w:val="19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багатофункціонального пристрою A4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</w:tr>
      <w:tr w:rsidR="00B33AC2" w:rsidRPr="00B33AC2" w:rsidTr="00B33AC2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принтеру A4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вузла закріплення у зборі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термоплівки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гумового валу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бушенгів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термоелементу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ролика захоплення паперу принтера, БФП 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шестерень редуктора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форматеру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скануючої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лінійки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ADF 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сборі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ADF роликів у зборі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гальмівного майданчику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принтеру із заміною Валу резинового прокрутки паперу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принтеру із заміною Втулки пластикові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прижимних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Валів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принтеру із заміною Прапорця датчика виходу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принтеру із заміною Шестерні (муфти з вузла захоплення)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БФП із заміною Ролика захоплення паперу HP LJ 1536, 521,426-428fdn, 1132,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WorkCentre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WC4260sp, WC5330CPS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1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БФП із заміною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Прижимного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валу HP LJ 1536, 521,426-428fdn, 1132,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WorkCentre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WC4260sp, WC5330CPS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54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lastRenderedPageBreak/>
              <w:t>90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БФП із заміною Сепаратору паперу HP LJ 1536, 521,426-428fdn, 1132,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WorkCentre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WC4260sp, WC5330CPS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73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БФП із заміною Блока сканера HP LJ 1536, 521,426-428fdn, 1132,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WorkCentre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WC4260sp, WC5330CPS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Ролика подачі паперу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</w:tr>
      <w:tr w:rsidR="00B33AC2" w:rsidRPr="00B33AC2" w:rsidTr="00B33AC2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Тефлонового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8705,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4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Тефлонового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44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Тефлонового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масляного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Сепаратору паперу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магнітного валу (блок)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магнітного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магнітного валу (блок)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4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ракелю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4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ракелю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ракелю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3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Технічне обслуговування принтеру для друку пластикових картках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Еvolis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3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принтеру для друку пластикових картках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Еvolis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69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Мережеве обладнання та обладнання мережевої безпеки</w:t>
            </w:r>
          </w:p>
        </w:tc>
      </w:tr>
      <w:tr w:rsidR="00B33AC2" w:rsidRPr="00B33AC2" w:rsidTr="00B33AC2">
        <w:trPr>
          <w:trHeight w:val="31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Діагностика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мережевих портів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блоків живлення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системи охолодження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25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lastRenderedPageBreak/>
              <w:t>110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  <w:lang w:val="ru-RU"/>
              </w:rPr>
              <w:t>О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новлення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програмного забезпечення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50</w:t>
            </w:r>
          </w:p>
        </w:tc>
      </w:tr>
      <w:tr w:rsidR="00B33AC2" w:rsidRPr="00B33AC2" w:rsidTr="00B33AC2">
        <w:trPr>
          <w:trHeight w:val="2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портів керування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281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Серверне обладнання</w:t>
            </w:r>
          </w:p>
        </w:tc>
      </w:tr>
      <w:tr w:rsidR="00B33AC2" w:rsidRPr="00B33AC2" w:rsidTr="00B33AC2">
        <w:trPr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блоків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8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Установка / заміна SAS пристрою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8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Установка / заміна SSD/HDD дисків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/ заміна плат розширення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/ заміна елементів корпусу серверів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0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/ заміна системи охолодження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Діагностика окремих компонентів комплектуючих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</w:tbl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zh-CN"/>
        </w:rPr>
      </w:pPr>
    </w:p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zh-CN"/>
        </w:rPr>
      </w:pPr>
      <w:r w:rsidRPr="00B33AC2">
        <w:rPr>
          <w:rFonts w:eastAsia="Times New Roman"/>
          <w:color w:val="auto"/>
          <w:sz w:val="24"/>
          <w:szCs w:val="24"/>
          <w:lang w:eastAsia="zh-CN"/>
        </w:rPr>
        <w:t xml:space="preserve">2. Послуга надається багаторазово. </w:t>
      </w:r>
    </w:p>
    <w:p w:rsidR="00B33AC2" w:rsidRPr="00B33AC2" w:rsidRDefault="00B33AC2" w:rsidP="00B33AC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zh-CN"/>
        </w:rPr>
      </w:pPr>
    </w:p>
    <w:p w:rsidR="00B33AC2" w:rsidRPr="00B33AC2" w:rsidRDefault="00B33AC2" w:rsidP="00B33AC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    </w:t>
      </w:r>
      <w:r w:rsidRPr="00B33AC2">
        <w:rPr>
          <w:rFonts w:eastAsia="Times New Roman"/>
          <w:b/>
          <w:color w:val="auto"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відповідати вимогам </w:t>
      </w:r>
      <w:r w:rsidRPr="00B33AC2">
        <w:rPr>
          <w:rFonts w:eastAsia="Times New Roman"/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B33AC2">
        <w:rPr>
          <w:rFonts w:eastAsia="Times New Roman"/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497A28" w:rsidRDefault="00497A28"/>
    <w:sectPr w:rsidR="00497A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2"/>
    <w:rsid w:val="00497A28"/>
    <w:rsid w:val="00B33AC2"/>
    <w:rsid w:val="00D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4189A-9CB7-404B-9224-1AE4B83A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C2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2</cp:revision>
  <dcterms:created xsi:type="dcterms:W3CDTF">2021-03-18T15:01:00Z</dcterms:created>
  <dcterms:modified xsi:type="dcterms:W3CDTF">2021-03-18T15:17:00Z</dcterms:modified>
</cp:coreProperties>
</file>