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B75ABD" w:rsidTr="000F3DEA">
        <w:tc>
          <w:tcPr>
            <w:tcW w:w="3825" w:type="dxa"/>
            <w:hideMark/>
          </w:tcPr>
          <w:p w:rsidR="009965B6" w:rsidRPr="00B75ABD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75ABD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B75ABD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5AB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B75ABD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5ABD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B75ABD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5ABD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75ABD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B75ABD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B75ABD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B75ABD">
        <w:rPr>
          <w:sz w:val="26"/>
          <w:szCs w:val="26"/>
        </w:rPr>
        <w:t>ПЕРЕЛІК</w:t>
      </w:r>
    </w:p>
    <w:p w:rsidR="0011243A" w:rsidRPr="00B75ABD" w:rsidRDefault="0011243A" w:rsidP="00426753">
      <w:pPr>
        <w:pStyle w:val="4"/>
        <w:rPr>
          <w:caps/>
          <w:sz w:val="26"/>
          <w:szCs w:val="26"/>
        </w:rPr>
      </w:pPr>
      <w:r w:rsidRPr="00B75ABD">
        <w:rPr>
          <w:rFonts w:cs="Arial"/>
          <w:caps/>
          <w:sz w:val="26"/>
          <w:szCs w:val="26"/>
        </w:rPr>
        <w:t>ЛІКАРСЬКИХ ЗАСОБІВ</w:t>
      </w:r>
      <w:r w:rsidR="00067198" w:rsidRPr="00B75ABD">
        <w:rPr>
          <w:rFonts w:cs="Arial"/>
          <w:caps/>
          <w:sz w:val="26"/>
          <w:szCs w:val="26"/>
        </w:rPr>
        <w:t xml:space="preserve"> </w:t>
      </w:r>
      <w:r w:rsidRPr="00B75ABD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B75ABD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275"/>
        <w:gridCol w:w="1134"/>
        <w:gridCol w:w="1560"/>
        <w:gridCol w:w="1417"/>
        <w:gridCol w:w="3402"/>
        <w:gridCol w:w="1134"/>
        <w:gridCol w:w="1559"/>
      </w:tblGrid>
      <w:tr w:rsidR="00205FBA" w:rsidRPr="00B75ABD" w:rsidTr="000339D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05FBA" w:rsidRPr="00B75ABD" w:rsidRDefault="00205FBA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05FBA" w:rsidRPr="00B75ABD" w:rsidTr="000339D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FBA" w:rsidRPr="00B75ABD" w:rsidRDefault="00205FBA" w:rsidP="000339D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пакування: Чугай Фарма Мануфектуринг Ко. Лтд, Японія; Виробництво нерозфасованої продукції (для упаковки по 400 мг/20 мл), випробування контролю якості (для упаковки по 400 мг/20 мл):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Дженентек Інк., США; випробування контролю якості (для упаковки по 400 мг/20 мл): Дженентек Інк., США; Випробування контролю якості: Рош Фарма АГ, Німеччина; Вторине пакування, випробування контролю якості, випуск серії: Ф.Хоффманн-Ля Рош Лтд, Швейцарія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Японія/</w:t>
            </w:r>
          </w:p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- Зміни з якості. АФІ. Контроль АФІ. Зміна у параметрах специфікацій та/або допустимих меж, визначених у специфікаціях на АФІ, або вихідний/проміжний продукт/реагент, що використовуються у процесі виробництва АФІ (доповнення специфікації новим показником якості та відповідним методом випробування) вилучення показника "Високий вмісту маннози" зі специфікації діючої речовини тоцилізумаб для виробничих процесів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5.2. Введення змін протягом 6-ти місяців після затвердження.Зміни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АФІ. Виробництво. Зміни в процесі виробництва АФІ (зміна стосується активної речовини біологічного/імунологічного походження або використання хімічних АФІ у виробництві лікарського засобу біологічного/імунологічного походження, яка може мати значний вплив на якість, безпеку та ефективність лікарського засобу, і не стосується протоколу) повернення виробничих процесів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5.2 для діючої речовини Тоцилізумаб в доповнення до затвердженого на даний момент виробничого процесу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6.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Введення змін протягом 6-ти місяців після затвердження.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ABD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205FBA" w:rsidRPr="00B75ABD" w:rsidTr="000339D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5FBA" w:rsidRPr="00B75ABD" w:rsidRDefault="00205FBA" w:rsidP="000339D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b/>
                <w:sz w:val="16"/>
                <w:szCs w:val="16"/>
              </w:rPr>
              <w:t>ВАКСЗЕВРІЯ (VAXZEVRIA)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для ін'єкцій; по 5 мл розчину в 10-дозовому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флаконі (прозоре скло типу І) з пробкою (гумовою з алюмінієвим обжимним ковпачком), по 10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111C15" w:rsidP="00111C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засобу, випробування контролю якості лікарського засобу (мікробіологічні (мікробіологічна чистота): випробування на бактеріальні ендотоксини (LAL-тест); мікробіологічні (стерильність): стерильність; фізичні/хімічні: опис (кольоровість, прозорість та видимі частки), рН, осмоляльність, об’єм, що витягається), вторинна упаковка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АНАНЬЇ С.Р.Л.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111C15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Італія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111C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Адміністративні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зміни.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Зміна назви лікарського засобу </w:t>
            </w:r>
            <w:r w:rsidR="00111C15"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Внесено оновлену назву лікарського засобу. Затверджено: ВАКЦИНА АСТРАЗЕНЕКА ПРОТИ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 /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VACCINE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ASTRAZENECA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Запропоновано: ВАКСЗЕВРІЯ (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</w:rPr>
              <w:t>VAXZEVRIA</w:t>
            </w:r>
            <w:r w:rsidRPr="00B75AB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75AB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5FBA" w:rsidRPr="00B75ABD" w:rsidRDefault="00205FBA" w:rsidP="000339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ABD">
              <w:rPr>
                <w:rFonts w:ascii="Arial" w:hAnsi="Arial" w:cs="Arial"/>
                <w:sz w:val="16"/>
                <w:szCs w:val="16"/>
              </w:rPr>
              <w:t>UA/18777/01/01</w:t>
            </w:r>
          </w:p>
        </w:tc>
      </w:tr>
    </w:tbl>
    <w:p w:rsidR="006051B7" w:rsidRPr="00B75ABD" w:rsidRDefault="006051B7" w:rsidP="006051B7">
      <w:pPr>
        <w:ind w:right="20"/>
        <w:rPr>
          <w:rStyle w:val="cs7864ebcf1"/>
        </w:rPr>
      </w:pPr>
    </w:p>
    <w:p w:rsidR="006051B7" w:rsidRPr="00B75ABD" w:rsidRDefault="006051B7" w:rsidP="006051B7">
      <w:pPr>
        <w:ind w:right="20"/>
        <w:rPr>
          <w:rStyle w:val="cs7864ebcf1"/>
        </w:rPr>
      </w:pPr>
    </w:p>
    <w:p w:rsidR="00CC4816" w:rsidRPr="00B75ABD" w:rsidRDefault="00CC4816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B75ABD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B75ABD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B75ABD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B75ABD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B75ABD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B75ABD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B75ABD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EB" w:rsidRDefault="00276BEB" w:rsidP="00C87489">
      <w:r>
        <w:separator/>
      </w:r>
    </w:p>
  </w:endnote>
  <w:endnote w:type="continuationSeparator" w:id="0">
    <w:p w:rsidR="00276BEB" w:rsidRDefault="00276BE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EB" w:rsidRDefault="00276BEB" w:rsidP="00C87489">
      <w:r>
        <w:separator/>
      </w:r>
    </w:p>
  </w:footnote>
  <w:footnote w:type="continuationSeparator" w:id="0">
    <w:p w:rsidR="00276BEB" w:rsidRDefault="00276BEB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D1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15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5FBA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BEB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33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0B8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217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F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B7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0E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ABD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25F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16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43E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242C332-76FF-4D51-B4AA-B9F9BBCB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78DB-55A7-47F5-8EA1-296F5627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2021-12-07T14:53:00Z</dcterms:created>
  <dcterms:modified xsi:type="dcterms:W3CDTF">2021-12-07T14:53:00Z</dcterms:modified>
</cp:coreProperties>
</file>