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F2E11">
      <w:pPr>
        <w:spacing w:line="360" w:lineRule="auto"/>
        <w:jc w:val="center"/>
        <w:rPr>
          <w:b/>
          <w:lang w:val="uk-UA"/>
        </w:rPr>
      </w:pPr>
      <w:bookmarkStart w:id="0" w:name="_GoBack"/>
      <w:bookmarkEnd w:id="0"/>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260783-21/З-100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w:t>
            </w:r>
            <w:r>
              <w:rPr>
                <w:b/>
              </w:rPr>
              <w:t>єкцій) по 5 мл та по 1 пристосуванню для розведення БАКСДЖЕКТ ІІ у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lastRenderedPageBreak/>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260783-21/З-100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260783-21/З-100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w:t>
            </w:r>
            <w:r>
              <w:rPr>
                <w:szCs w:val="20"/>
                <w:lang w:val="ru-RU" w:eastAsia="ru-RU"/>
              </w:rPr>
              <w:t>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260783-21/З-100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260783-21/З-100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260783-21/З-100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260783-21/З-100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w:t>
            </w:r>
            <w:r>
              <w:rPr>
                <w:szCs w:val="20"/>
                <w:lang w:eastAsia="ru-RU"/>
              </w:rPr>
              <w:t xml:space="preserve">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260783-21/З-100 </w:t>
            </w:r>
            <w:r>
              <w:rPr>
                <w:b/>
              </w:rPr>
              <w:t>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АДВЕЙТ</w:t>
            </w:r>
            <w:r>
              <w:rPr>
                <w:b/>
                <w:caps/>
                <w:lang w:val="ru-RU"/>
              </w:rPr>
              <w:t xml:space="preserve">, </w:t>
            </w:r>
            <w:r>
              <w:rPr>
                <w:b/>
              </w:rPr>
              <w:t>Порошок та розчинник для розчину для ін`єкцій, по 250 МО, 500 МО, 1000 МО, 1500 МО, 2000 МО, 3000 МО; 1 флакон з порошком у комплекті з 1 флаконом з розчинником (вода для ін'єкцій) по 5 мл та по 1 пристосуванню для розведення БАКСДЖЕКТ ІІ у коробці з марку</w:t>
            </w:r>
            <w:r>
              <w:rPr>
                <w:b/>
              </w:rPr>
              <w:t>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257917-21/З-100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АДИНОВЕЙТ / ADYNOVATE®</w:t>
            </w:r>
            <w:r>
              <w:rPr>
                <w:b/>
                <w:caps/>
                <w:lang w:val="ru-RU"/>
              </w:rPr>
              <w:t xml:space="preserve">, </w:t>
            </w:r>
            <w:r>
              <w:rPr>
                <w:b/>
              </w:rPr>
              <w:t>порошок та розчинник для розчину ін'єкцій по 250 МО або по 500 МО, або по 750 МО, або по 1000 МО, або по 1500 МО, або по 2000 МО, або по 3000 МО; по 1 флакону з порошком по 250 МО або по 500 МО, або по 750 МО, або по 1000 МО, або по 1500 МО у комплекті з 1</w:t>
            </w:r>
            <w:r>
              <w:rPr>
                <w:b/>
              </w:rPr>
              <w:t xml:space="preserve"> флаконом розчинником (вода для ін'єкцій) по 2 мл, попередньо зібрані в системі БАКСДЖЕКТ ІІІ, та 1 набором для внутрішньовенного введення (1 одноразовий шприц (10 мл), 1 голка-метелик, 2 дезінфікуючі спиртові серветки, 2 лейкопластири) у картонній коробці</w:t>
            </w:r>
            <w:r>
              <w:rPr>
                <w:b/>
              </w:rPr>
              <w:t>; по 1 флакону з порошком по 2000 МО або по 3000 МО у комплекті з 1 флаконом розчинником (вода для ін'єкцій) по 5 мл, попередньо зібрані в системі БАКСДЖЕКТ ІІІ, та 1 набором для внутрішньовенного введення (1 одноразовий шприц (10 мл), 1 голка-метелик, 2 д</w:t>
            </w:r>
            <w:r>
              <w:rPr>
                <w:b/>
              </w:rPr>
              <w:t>езінфікуючі спиртові серветки, 2 лейкопластири)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Баксалта ЮС Інк.,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260154-21/З-116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Валганцикловір</w:t>
            </w:r>
            <w:r>
              <w:rPr>
                <w:b/>
                <w:caps/>
                <w:lang w:val="ru-RU"/>
              </w:rPr>
              <w:t xml:space="preserve">, </w:t>
            </w:r>
            <w:r>
              <w:rPr>
                <w:b/>
              </w:rPr>
              <w:t>таблетки, вкриті плівковою оболонкою, по 450 мг по 60 таблеток у пляшці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w:t>
            </w:r>
            <w:r>
              <w:rPr>
                <w:szCs w:val="20"/>
                <w:lang w:eastAsia="ru-RU"/>
              </w:rPr>
              <w:t xml:space="preserve">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260154-21/З-116 </w:t>
            </w:r>
            <w:r>
              <w:rPr>
                <w:b/>
              </w:rPr>
              <w:t>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Валганцикловір</w:t>
            </w:r>
            <w:r>
              <w:rPr>
                <w:b/>
                <w:caps/>
                <w:lang w:val="ru-RU"/>
              </w:rPr>
              <w:t xml:space="preserve">, </w:t>
            </w:r>
            <w:r>
              <w:rPr>
                <w:b/>
              </w:rPr>
              <w:t>таблетки, вкриті плівковою оболонкою, по 450 мг по 60 таблеток у пляшці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w:t>
            </w:r>
            <w:r>
              <w:rPr>
                <w:b/>
              </w:rPr>
              <w:t xml:space="preserve">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lang w:eastAsia="ru-RU"/>
              </w:rPr>
              <w:t xml:space="preserve">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260154-21/З-116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Валганцикловір</w:t>
            </w:r>
            <w:r>
              <w:rPr>
                <w:b/>
                <w:caps/>
                <w:lang w:val="ru-RU"/>
              </w:rPr>
              <w:t xml:space="preserve">, </w:t>
            </w:r>
            <w:r>
              <w:rPr>
                <w:b/>
              </w:rPr>
              <w:t>таблетки, вкриті плівковою оболонкою, по 450 мг по 60 таблеток у пляшці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256526-21/З-82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Варгатеф®</w:t>
            </w:r>
            <w:r>
              <w:rPr>
                <w:b/>
                <w:caps/>
                <w:lang w:val="ru-RU"/>
              </w:rPr>
              <w:t xml:space="preserve">, </w:t>
            </w:r>
            <w:r>
              <w:rPr>
                <w:b/>
              </w:rPr>
              <w:t>Капсули м`які по 100 мг по 10 капсул м'яких в алюмінієвому блістері, по 6 або 12 блістерів у картонній коробці; по 150 мг по 10 капсул м'яких у алюмінієвому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Берінгер Інгельхайм Інтернешнл ГмбХ, Німеччи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256526-21/З-82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Варгатеф®</w:t>
            </w:r>
            <w:r>
              <w:rPr>
                <w:b/>
                <w:caps/>
                <w:lang w:val="ru-RU"/>
              </w:rPr>
              <w:t xml:space="preserve">, </w:t>
            </w:r>
            <w:r>
              <w:rPr>
                <w:b/>
              </w:rPr>
              <w:t>Капсули м`які по 100 мг по 10 капсул м'яких в алюмінієвому блістері, по 6 або 12 блістерів у картонній коробці; по 150 мг по 10 капсул м'яких у алюмінієвому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Берінгер Інгельхайм Інтернешнл ГмбХ, Німеччи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256526-21/З-82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Варгатеф®</w:t>
            </w:r>
            <w:r>
              <w:rPr>
                <w:b/>
                <w:caps/>
                <w:lang w:val="ru-RU"/>
              </w:rPr>
              <w:t xml:space="preserve">, </w:t>
            </w:r>
            <w:r>
              <w:rPr>
                <w:b/>
              </w:rPr>
              <w:t>Капсули м`які по 100 мг по 10 капсул м'яких в алюмінієвому блістері, по 6 або 12 блістерів у картонній коробці; по 150 мг по 10 капсул м'яких у алюмінієвому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Берінгер Інгельхайм Інтернешнл ГмбХ, Німеччи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256526-21/З-82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Варгатеф®</w:t>
            </w:r>
            <w:r>
              <w:rPr>
                <w:b/>
                <w:caps/>
                <w:lang w:val="ru-RU"/>
              </w:rPr>
              <w:t xml:space="preserve">, </w:t>
            </w:r>
            <w:r>
              <w:rPr>
                <w:b/>
              </w:rPr>
              <w:t>Капсули м`які по 100 мг по 10 капсул м'яких в алюмінієвому блістері, по 6 або 12 блістерів у картонній коробці; по 150 мг по 10 капсул м'яких у алюмінієвому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Берінгер Інгельхайм Інтернешнл ГмбХ, Німеччи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256526-21/З-82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Варгатеф®</w:t>
            </w:r>
            <w:r>
              <w:rPr>
                <w:b/>
                <w:caps/>
                <w:lang w:val="ru-RU"/>
              </w:rPr>
              <w:t xml:space="preserve">, </w:t>
            </w:r>
            <w:r>
              <w:rPr>
                <w:b/>
              </w:rPr>
              <w:t>Капсули м`які по 100 мг по 10 капсул м'яких в алюмінієвому блістері, по 6 або 12 блістерів у картонній коробці; по 150 мг по 10 капсул м'яких у алюмінієвому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Берінгер Інгельхайм Інтернешнл ГмбХ, Німеччи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256526-21/З-82 від 22.04.2021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Варгатеф®</w:t>
            </w:r>
            <w:r>
              <w:rPr>
                <w:b/>
                <w:caps/>
                <w:lang w:val="ru-RU"/>
              </w:rPr>
              <w:t xml:space="preserve">, </w:t>
            </w:r>
            <w:r>
              <w:rPr>
                <w:b/>
              </w:rPr>
              <w:t>Капсули м`які по 100 мг по 10 капсул м'яких в алюмінієвому блістері, по 6 або 12 блістерів у картонній коробці; по 150 мг по 10 капсул м'яких у алюмінієвому блістері, по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Берінгер Інгельхайм Інтернешнл ГмбХ, Німеччи</w:t>
            </w:r>
            <w:r>
              <w:rPr>
                <w:b/>
              </w:rPr>
              <w:t>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260254-21/З-06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Енварсус</w:t>
            </w:r>
            <w:r>
              <w:rPr>
                <w:b/>
                <w:caps/>
                <w:lang w:val="ru-RU"/>
              </w:rPr>
              <w:t xml:space="preserve">, </w:t>
            </w:r>
            <w:r>
              <w:rPr>
                <w:b/>
              </w:rPr>
              <w:t>таблетки пролонгованої дії, по 0,75 мг, 1 мг,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w:t>
            </w:r>
            <w:r>
              <w:rPr>
                <w:b/>
              </w:rPr>
              <w:t xml:space="preserve">ікером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260254-21/З-06 в</w:t>
            </w:r>
            <w:r>
              <w:rPr>
                <w:b/>
              </w:rPr>
              <w:t>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Енварсус</w:t>
            </w:r>
            <w:r>
              <w:rPr>
                <w:b/>
                <w:caps/>
                <w:lang w:val="ru-RU"/>
              </w:rPr>
              <w:t xml:space="preserve">, </w:t>
            </w:r>
            <w:r>
              <w:rPr>
                <w:b/>
              </w:rPr>
              <w:t>таблетки пролонгованої дії, по 0,75 мг, 1 мг,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w:t>
            </w:r>
            <w:r>
              <w:rPr>
                <w:b/>
              </w:rPr>
              <w:t xml:space="preserve">ікером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260254-21/З-06 в</w:t>
            </w:r>
            <w:r>
              <w:rPr>
                <w:b/>
              </w:rPr>
              <w:t>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Енварсус</w:t>
            </w:r>
            <w:r>
              <w:rPr>
                <w:b/>
                <w:caps/>
                <w:lang w:val="ru-RU"/>
              </w:rPr>
              <w:t xml:space="preserve">, </w:t>
            </w:r>
            <w:r>
              <w:rPr>
                <w:b/>
              </w:rPr>
              <w:t>таблетки пролонгованої дії, по 0,75 мг, 1 мг,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w:t>
            </w:r>
            <w:r>
              <w:rPr>
                <w:b/>
              </w:rPr>
              <w:t xml:space="preserve">ікером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260254-21/З-06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Енварсус</w:t>
            </w:r>
            <w:r>
              <w:rPr>
                <w:b/>
                <w:caps/>
                <w:lang w:val="ru-RU"/>
              </w:rPr>
              <w:t xml:space="preserve">, </w:t>
            </w:r>
            <w:r>
              <w:rPr>
                <w:b/>
              </w:rPr>
              <w:t>таблетки пролонгованої дії, по 0,75 мг, 1 мг,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w:t>
            </w:r>
            <w:r>
              <w:rPr>
                <w:b/>
              </w:rPr>
              <w:t xml:space="preserve">ікером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260254-21/З-06 в</w:t>
            </w:r>
            <w:r>
              <w:rPr>
                <w:b/>
              </w:rPr>
              <w:t>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Енварсус</w:t>
            </w:r>
            <w:r>
              <w:rPr>
                <w:b/>
                <w:caps/>
                <w:lang w:val="ru-RU"/>
              </w:rPr>
              <w:t xml:space="preserve">, </w:t>
            </w:r>
            <w:r>
              <w:rPr>
                <w:b/>
              </w:rPr>
              <w:t>таблетки пролонгованої дії, по 0,75 мг, 1 мг,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w:t>
            </w:r>
            <w:r>
              <w:rPr>
                <w:b/>
              </w:rPr>
              <w:t xml:space="preserve">ікером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260254-21/З-06 в</w:t>
            </w:r>
            <w:r>
              <w:rPr>
                <w:b/>
              </w:rPr>
              <w:t>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Енварсус</w:t>
            </w:r>
            <w:r>
              <w:rPr>
                <w:b/>
                <w:caps/>
                <w:lang w:val="ru-RU"/>
              </w:rPr>
              <w:t xml:space="preserve">, </w:t>
            </w:r>
            <w:r>
              <w:rPr>
                <w:b/>
              </w:rPr>
              <w:t>таблетки пролонгованої дії, по 0,75 мг, 1 мг,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w:t>
            </w:r>
            <w:r>
              <w:rPr>
                <w:b/>
              </w:rPr>
              <w:t xml:space="preserve">ікером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260254-21/З-06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Енварсус</w:t>
            </w:r>
            <w:r>
              <w:rPr>
                <w:b/>
                <w:caps/>
                <w:lang w:val="ru-RU"/>
              </w:rPr>
              <w:t xml:space="preserve">, </w:t>
            </w:r>
            <w:r>
              <w:rPr>
                <w:b/>
              </w:rPr>
              <w:t>таблетки пролонгованої дії, по 0,75 мг, 1 мг,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w:t>
            </w:r>
            <w:r>
              <w:rPr>
                <w:b/>
              </w:rPr>
              <w:t xml:space="preserve">ікером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260254-21/З-06 в</w:t>
            </w:r>
            <w:r>
              <w:rPr>
                <w:b/>
              </w:rPr>
              <w:t>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Енварсус</w:t>
            </w:r>
            <w:r>
              <w:rPr>
                <w:b/>
                <w:caps/>
                <w:lang w:val="ru-RU"/>
              </w:rPr>
              <w:t xml:space="preserve">, </w:t>
            </w:r>
            <w:r>
              <w:rPr>
                <w:b/>
              </w:rPr>
              <w:t>таблетки пролонгованої дії, по 0,75 мг, 1 мг,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w:t>
            </w:r>
            <w:r>
              <w:rPr>
                <w:b/>
              </w:rPr>
              <w:t xml:space="preserve">ікером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w:t>
            </w:r>
            <w:r>
              <w:rPr>
                <w:szCs w:val="20"/>
                <w:lang w:eastAsia="ru-RU"/>
              </w:rPr>
              <w:t xml:space="preserve">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260254-21/З-06 в</w:t>
            </w:r>
            <w:r>
              <w:rPr>
                <w:b/>
              </w:rPr>
              <w:t>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Енварсус</w:t>
            </w:r>
            <w:r>
              <w:rPr>
                <w:b/>
                <w:caps/>
                <w:lang w:val="ru-RU"/>
              </w:rPr>
              <w:t xml:space="preserve">, </w:t>
            </w:r>
            <w:r>
              <w:rPr>
                <w:b/>
              </w:rPr>
              <w:t>таблетки пролонгованої дії, по 0,75 мг, 1 мг,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w:t>
            </w:r>
            <w:r>
              <w:rPr>
                <w:b/>
              </w:rPr>
              <w:t xml:space="preserve">ікером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К'єзі Фармас'ютікелз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261636-21/З-84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 xml:space="preserve">Зірабев </w:t>
            </w:r>
            <w:r>
              <w:rPr>
                <w:b/>
                <w:caps/>
                <w:lang w:val="ru-RU"/>
              </w:rPr>
              <w:t xml:space="preserve">, </w:t>
            </w:r>
            <w:r>
              <w:rPr>
                <w:b/>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w:t>
            </w:r>
            <w:r>
              <w:rPr>
                <w:b/>
              </w:rPr>
              <w:t xml:space="preserve">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w:t>
            </w:r>
            <w:r>
              <w:rPr>
                <w:b/>
              </w:rPr>
              <w:t>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261636-21/З-84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 xml:space="preserve">Зірабев </w:t>
            </w:r>
            <w:r>
              <w:rPr>
                <w:b/>
                <w:caps/>
                <w:lang w:val="ru-RU"/>
              </w:rPr>
              <w:t xml:space="preserve">, </w:t>
            </w:r>
            <w:r>
              <w:rPr>
                <w:b/>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w:t>
            </w:r>
            <w:r>
              <w:rPr>
                <w:b/>
              </w:rPr>
              <w:t xml:space="preserve">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w:t>
            </w:r>
            <w:r>
              <w:rPr>
                <w:b/>
              </w:rPr>
              <w:t>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261636-21/З-84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 xml:space="preserve">Зірабев </w:t>
            </w:r>
            <w:r>
              <w:rPr>
                <w:b/>
                <w:caps/>
                <w:lang w:val="ru-RU"/>
              </w:rPr>
              <w:t xml:space="preserve">, </w:t>
            </w:r>
            <w:r>
              <w:rPr>
                <w:b/>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w:t>
            </w:r>
            <w:r>
              <w:rPr>
                <w:b/>
              </w:rPr>
              <w:t xml:space="preserve">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w:t>
            </w:r>
            <w:r>
              <w:rPr>
                <w:b/>
              </w:rPr>
              <w:t>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261638-21/З-84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 xml:space="preserve">Зірабев </w:t>
            </w:r>
            <w:r>
              <w:rPr>
                <w:b/>
                <w:caps/>
                <w:lang w:val="ru-RU"/>
              </w:rPr>
              <w:t xml:space="preserve">, </w:t>
            </w:r>
            <w:r>
              <w:rPr>
                <w:b/>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w:t>
            </w:r>
            <w:r>
              <w:rPr>
                <w:b/>
              </w:rPr>
              <w:t xml:space="preserve">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w:t>
            </w:r>
            <w:r>
              <w:rPr>
                <w:b/>
              </w:rPr>
              <w:t>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261638-21/З-84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 xml:space="preserve">Зірабев </w:t>
            </w:r>
            <w:r>
              <w:rPr>
                <w:b/>
                <w:caps/>
                <w:lang w:val="ru-RU"/>
              </w:rPr>
              <w:t xml:space="preserve">, </w:t>
            </w:r>
            <w:r>
              <w:rPr>
                <w:b/>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w:t>
            </w:r>
            <w:r>
              <w:rPr>
                <w:b/>
              </w:rPr>
              <w:t xml:space="preserve">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w:t>
            </w:r>
            <w:r>
              <w:rPr>
                <w:b/>
              </w:rPr>
              <w:t>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261638-21/З-84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 xml:space="preserve">Зірабев </w:t>
            </w:r>
            <w:r>
              <w:rPr>
                <w:b/>
                <w:caps/>
                <w:lang w:val="ru-RU"/>
              </w:rPr>
              <w:t xml:space="preserve">, </w:t>
            </w:r>
            <w:r>
              <w:rPr>
                <w:b/>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w:t>
            </w:r>
            <w:r>
              <w:rPr>
                <w:b/>
              </w:rPr>
              <w:t xml:space="preserve">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w:t>
            </w:r>
            <w:r>
              <w:rPr>
                <w:b/>
              </w:rPr>
              <w:t>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261637-21/З-84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 xml:space="preserve">Зірабев </w:t>
            </w:r>
            <w:r>
              <w:rPr>
                <w:b/>
                <w:caps/>
                <w:lang w:val="ru-RU"/>
              </w:rPr>
              <w:t xml:space="preserve">, </w:t>
            </w:r>
            <w:r>
              <w:rPr>
                <w:b/>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w:t>
            </w:r>
            <w:r>
              <w:rPr>
                <w:b/>
              </w:rPr>
              <w:t xml:space="preserve">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w:t>
            </w:r>
            <w:r>
              <w:rPr>
                <w:b/>
              </w:rPr>
              <w:t>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261637-21/З-84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 xml:space="preserve">Зірабев </w:t>
            </w:r>
            <w:r>
              <w:rPr>
                <w:b/>
                <w:caps/>
                <w:lang w:val="ru-RU"/>
              </w:rPr>
              <w:t xml:space="preserve">, </w:t>
            </w:r>
            <w:r>
              <w:rPr>
                <w:b/>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w:t>
            </w:r>
            <w:r>
              <w:rPr>
                <w:b/>
              </w:rPr>
              <w:t xml:space="preserve">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w:t>
            </w:r>
            <w:r>
              <w:rPr>
                <w:b/>
              </w:rPr>
              <w:t>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261637-21/З-84 в</w:t>
            </w:r>
            <w:r>
              <w:rPr>
                <w:b/>
              </w:rPr>
              <w:t>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 xml:space="preserve">Зірабев </w:t>
            </w:r>
            <w:r>
              <w:rPr>
                <w:b/>
                <w:caps/>
                <w:lang w:val="ru-RU"/>
              </w:rPr>
              <w:t xml:space="preserve">, </w:t>
            </w:r>
            <w:r>
              <w:rPr>
                <w:b/>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w:t>
            </w:r>
            <w:r>
              <w:rPr>
                <w:b/>
              </w:rPr>
              <w:t xml:space="preserve">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w:t>
            </w:r>
            <w:r>
              <w:rPr>
                <w:b/>
              </w:rPr>
              <w:t>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w:t>
            </w:r>
            <w:r>
              <w:rPr>
                <w:szCs w:val="20"/>
                <w:lang w:eastAsia="ru-RU"/>
              </w:rPr>
              <w:t xml:space="preserve">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261635-21/З-36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Майлотарг</w:t>
            </w:r>
            <w:r>
              <w:rPr>
                <w:b/>
                <w:caps/>
                <w:lang w:val="ru-RU"/>
              </w:rPr>
              <w:t xml:space="preserve">, </w:t>
            </w:r>
            <w:r>
              <w:rPr>
                <w:b/>
              </w:rPr>
              <w:t>порошок для концентрату для розчину для інфузій, 4,5 мг, по 4,5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w:t>
            </w:r>
            <w:r>
              <w:rPr>
                <w:szCs w:val="20"/>
                <w:lang w:eastAsia="ru-RU"/>
              </w:rPr>
              <w:t xml:space="preserve">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261635-21/З-36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Майлотарг</w:t>
            </w:r>
            <w:r>
              <w:rPr>
                <w:b/>
                <w:caps/>
                <w:lang w:val="ru-RU"/>
              </w:rPr>
              <w:t xml:space="preserve">, </w:t>
            </w:r>
            <w:r>
              <w:rPr>
                <w:b/>
              </w:rPr>
              <w:t>порошок для концентрату для розчину для інфузій, 4,5 мг, по 4,5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261635-21/З-36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Майлотарг</w:t>
            </w:r>
            <w:r>
              <w:rPr>
                <w:b/>
                <w:caps/>
                <w:lang w:val="ru-RU"/>
              </w:rPr>
              <w:t xml:space="preserve">, </w:t>
            </w:r>
            <w:r>
              <w:rPr>
                <w:b/>
              </w:rPr>
              <w:t>порошок для концентрату для розчину для інфузій, 4,5 мг, по 4,5 мг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w:t>
            </w:r>
            <w:r>
              <w:rPr>
                <w:b/>
                <w:noProof/>
              </w:rPr>
              <w:t>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251505-21/В-06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w:t>
            </w:r>
            <w:r>
              <w:rPr>
                <w:b/>
                <w:caps/>
                <w:lang w:val="ru-RU"/>
              </w:rPr>
              <w:t xml:space="preserve">, </w:t>
            </w:r>
            <w:r>
              <w:rPr>
                <w:b/>
              </w:rPr>
              <w:t xml:space="preserve">таблетки, вкриті плівковою оболонкою, по 10 мг; по 14 таблеток у блістері, по 2 або 4 блістери у картонній коробці; по 20 мг, по 14 таблеток у блістері, по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w:t>
            </w:r>
            <w:r>
              <w:rPr>
                <w:b/>
              </w:rPr>
              <w:t>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lang w:eastAsia="ru-RU"/>
              </w:rPr>
              <w:t xml:space="preserve">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251505-21/В-06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w:t>
            </w:r>
            <w:r>
              <w:rPr>
                <w:b/>
                <w:caps/>
                <w:lang w:val="ru-RU"/>
              </w:rPr>
              <w:t xml:space="preserve">, </w:t>
            </w:r>
            <w:r>
              <w:rPr>
                <w:b/>
              </w:rPr>
              <w:t xml:space="preserve">таблетки, вкриті плівковою оболонкою, по 10 мг; по 14 таблеток у блістері, по 2 або 4 блістери у картонній коробці; по 20 мг, по 14 таблеток у блістері, по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w:t>
            </w:r>
            <w:r>
              <w:rPr>
                <w:b/>
              </w:rPr>
              <w:t>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lang w:eastAsia="ru-RU"/>
              </w:rPr>
              <w:t xml:space="preserve">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251505-21/В-06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w:t>
            </w:r>
            <w:r>
              <w:rPr>
                <w:b/>
                <w:caps/>
                <w:lang w:val="ru-RU"/>
              </w:rPr>
              <w:t xml:space="preserve">, </w:t>
            </w:r>
            <w:r>
              <w:rPr>
                <w:b/>
              </w:rPr>
              <w:t xml:space="preserve">таблетки, вкриті плівковою оболонкою, по 10 мг; по 14 таблеток у блістері, по 2 або 4 блістери у картонній коробці; по 20 мг, по 14 таблеток у блістері, по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w:t>
            </w:r>
            <w:r>
              <w:rPr>
                <w:b/>
              </w:rPr>
              <w:t>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251505-21/В-06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w:t>
            </w:r>
            <w:r>
              <w:rPr>
                <w:b/>
                <w:caps/>
                <w:lang w:val="ru-RU"/>
              </w:rPr>
              <w:t xml:space="preserve">, </w:t>
            </w:r>
            <w:r>
              <w:rPr>
                <w:b/>
              </w:rPr>
              <w:t xml:space="preserve">таблетки, вкриті плівковою оболонкою, по 10 мг; по 14 таблеток у блістері, по 2 або 4 блістери у картонній коробці; </w:t>
            </w:r>
            <w:r>
              <w:rPr>
                <w:b/>
              </w:rPr>
              <w:t xml:space="preserve">по 20 мг, по 14 таблеток у блістері, по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251505-21/В-06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w:t>
            </w:r>
            <w:r>
              <w:rPr>
                <w:b/>
                <w:caps/>
                <w:lang w:val="ru-RU"/>
              </w:rPr>
              <w:t xml:space="preserve">, </w:t>
            </w:r>
            <w:r>
              <w:rPr>
                <w:b/>
              </w:rPr>
              <w:t xml:space="preserve">таблетки, вкриті плівковою оболонкою, по 10 мг; по 14 таблеток у блістері, по 2 або 4 блістери у картонній коробці; </w:t>
            </w:r>
            <w:r>
              <w:rPr>
                <w:b/>
              </w:rPr>
              <w:t xml:space="preserve">по 20 мг, по 14 таблеток у блістері, по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251505-21/В-06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w:t>
            </w:r>
            <w:r>
              <w:rPr>
                <w:b/>
                <w:caps/>
                <w:lang w:val="ru-RU"/>
              </w:rPr>
              <w:t xml:space="preserve">, </w:t>
            </w:r>
            <w:r>
              <w:rPr>
                <w:b/>
              </w:rPr>
              <w:t>таблетки, вкриті плівковою оболонкою, по 10 мг; по 14 таблеток у блістері, по 2 або 4 блістери у картонній коробці;</w:t>
            </w:r>
            <w:r>
              <w:rPr>
                <w:b/>
              </w:rPr>
              <w:t xml:space="preserve"> по 20 мг, по 14 таблеток у блістері, по 2 блістери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251504-21/В-94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Мемантин-Тева</w:t>
            </w:r>
            <w:r>
              <w:rPr>
                <w:b/>
                <w:caps/>
                <w:lang w:val="ru-RU"/>
              </w:rPr>
              <w:t xml:space="preserve">, </w:t>
            </w:r>
            <w:r>
              <w:rPr>
                <w:b/>
              </w:rPr>
              <w:t>таблетки, вкриті плівковою оболонкою, по 10 мг або по 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w:t>
            </w:r>
            <w:r>
              <w:rPr>
                <w:b/>
                <w:noProof/>
              </w:rPr>
              <w:t>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251504-21/В-94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Мемантин-Тева</w:t>
            </w:r>
            <w:r>
              <w:rPr>
                <w:b/>
                <w:caps/>
                <w:lang w:val="ru-RU"/>
              </w:rPr>
              <w:t xml:space="preserve">, </w:t>
            </w:r>
            <w:r>
              <w:rPr>
                <w:b/>
              </w:rPr>
              <w:t>таблетки, вкриті плівковою оболонкою, по 10 мг або по 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w:t>
            </w:r>
            <w:r>
              <w:rPr>
                <w:b/>
                <w:noProof/>
              </w:rPr>
              <w:t>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251504-21/В-94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Мемантин-Тева</w:t>
            </w:r>
            <w:r>
              <w:rPr>
                <w:b/>
                <w:caps/>
                <w:lang w:val="ru-RU"/>
              </w:rPr>
              <w:t xml:space="preserve">, </w:t>
            </w:r>
            <w:r>
              <w:rPr>
                <w:b/>
              </w:rPr>
              <w:t>таблетки, вкриті плівковою оболонкою, по 10 мг або по 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w:t>
            </w:r>
            <w:r>
              <w:rPr>
                <w:b/>
                <w:noProof/>
              </w:rPr>
              <w:t>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251504-21/В-94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Мемантин-Тева</w:t>
            </w:r>
            <w:r>
              <w:rPr>
                <w:b/>
                <w:caps/>
                <w:lang w:val="ru-RU"/>
              </w:rPr>
              <w:t xml:space="preserve">, </w:t>
            </w:r>
            <w:r>
              <w:rPr>
                <w:b/>
              </w:rPr>
              <w:t>таблетки, вкриті плівковою оболонкою, по 10 мг або по 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w:t>
            </w:r>
            <w:r>
              <w:rPr>
                <w:b/>
                <w:noProof/>
              </w:rPr>
              <w:t>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251504-21/В-94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Мемантин-Тева</w:t>
            </w:r>
            <w:r>
              <w:rPr>
                <w:b/>
                <w:caps/>
                <w:lang w:val="ru-RU"/>
              </w:rPr>
              <w:t xml:space="preserve">, </w:t>
            </w:r>
            <w:r>
              <w:rPr>
                <w:b/>
              </w:rPr>
              <w:t>таблетки, вкриті плівковою оболонкою, по 10 мг або по 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w:t>
            </w:r>
            <w:r>
              <w:rPr>
                <w:b/>
                <w:noProof/>
              </w:rPr>
              <w:t>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251504-21/В-94 від 01.02.2021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Мемантин-Тева</w:t>
            </w:r>
            <w:r>
              <w:rPr>
                <w:b/>
                <w:caps/>
                <w:lang w:val="ru-RU"/>
              </w:rPr>
              <w:t xml:space="preserve">, </w:t>
            </w:r>
            <w:r>
              <w:rPr>
                <w:b/>
              </w:rPr>
              <w:t>таблетки, вкриті плівковою оболонкою, по 10 мг або по 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відмова)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w:t>
            </w:r>
            <w:r>
              <w:rPr>
                <w:b/>
                <w:noProof/>
              </w:rPr>
              <w:t>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 не рекомендація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259901-21/В-116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Метформін-Тева</w:t>
            </w:r>
            <w:r>
              <w:rPr>
                <w:b/>
                <w:caps/>
                <w:lang w:val="ru-RU"/>
              </w:rPr>
              <w:t xml:space="preserve">, </w:t>
            </w:r>
            <w:r>
              <w:rPr>
                <w:b/>
              </w:rPr>
              <w:t>таблетки, вкриті плівковою оболонкою, по 500 мг, по 10 таблеток у блістері, по 5 блістерів у коробці; або по 850 мг, по 10 таблеток у блістері, по 3 або по 10 блістерів у коробці; або по 1000 мг, по 10 таблеток у блістері, по 6 або по 12 блістерів у коробц</w:t>
            </w:r>
            <w:r>
              <w:rPr>
                <w:b/>
              </w:rPr>
              <w:t>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w:t>
            </w:r>
            <w:r>
              <w:rPr>
                <w:szCs w:val="20"/>
                <w:lang w:eastAsia="ru-RU"/>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259901-21/В-116 </w:t>
            </w:r>
            <w:r>
              <w:rPr>
                <w:b/>
              </w:rPr>
              <w:t>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Метформін-Тева</w:t>
            </w:r>
            <w:r>
              <w:rPr>
                <w:b/>
                <w:caps/>
                <w:lang w:val="ru-RU"/>
              </w:rPr>
              <w:t xml:space="preserve">, </w:t>
            </w:r>
            <w:r>
              <w:rPr>
                <w:b/>
              </w:rPr>
              <w:t xml:space="preserve">таблетки, вкриті плівковою оболонкою, по 500 мг, по 10 таблеток у блістері, по 5 блістерів у коробці; або по 850 мг, по 10 таблеток у блістері, по 3 або по 10 блістерів </w:t>
            </w:r>
            <w:r>
              <w:rPr>
                <w:b/>
              </w:rPr>
              <w:t>у коробці; або по 1000 мг, по 10 таблеток у блістері, по 6 або по 12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259901-21/В-116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Метформін-Тева</w:t>
            </w:r>
            <w:r>
              <w:rPr>
                <w:b/>
                <w:caps/>
                <w:lang w:val="ru-RU"/>
              </w:rPr>
              <w:t xml:space="preserve">, </w:t>
            </w:r>
            <w:r>
              <w:rPr>
                <w:b/>
              </w:rPr>
              <w:t xml:space="preserve">таблетки, вкриті плівковою оболонкою, по 500 мг, по 10 таблеток у блістері, по 5 блістерів у коробці; </w:t>
            </w:r>
            <w:r>
              <w:rPr>
                <w:b/>
              </w:rPr>
              <w:t>або по 850 мг, по 10 таблеток у блістері, по 3 або по 10 блістерів у коробці; або по 1000 мг, по 10 таблеток у блістері, по 6 або по 12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259901-21/В-116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Метформін-Тева</w:t>
            </w:r>
            <w:r>
              <w:rPr>
                <w:b/>
                <w:caps/>
                <w:lang w:val="ru-RU"/>
              </w:rPr>
              <w:t xml:space="preserve">, </w:t>
            </w:r>
            <w:r>
              <w:rPr>
                <w:b/>
              </w:rPr>
              <w:t xml:space="preserve">таблетки, вкриті плівковою оболонкою, по 500 мг, по 10 таблеток у блістері, по 5 блістерів у коробці; або по 850 мг, по 10 таблеток у блістері, по 3 або по 10 блістерів </w:t>
            </w:r>
            <w:r>
              <w:rPr>
                <w:b/>
              </w:rPr>
              <w:t>у коробці; або по 1000 мг, по 10 таблеток у блістері, по 6 або по 12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259901-21/В-116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Метформін-Тева</w:t>
            </w:r>
            <w:r>
              <w:rPr>
                <w:b/>
                <w:caps/>
                <w:lang w:val="ru-RU"/>
              </w:rPr>
              <w:t xml:space="preserve">, </w:t>
            </w:r>
            <w:r>
              <w:rPr>
                <w:b/>
              </w:rPr>
              <w:t xml:space="preserve">таблетки, вкриті плівковою оболонкою, по 500 мг, по 10 таблеток у блістері, по 5 блістерів у коробці; </w:t>
            </w:r>
            <w:r>
              <w:rPr>
                <w:b/>
              </w:rPr>
              <w:t>або по 850 мг, по 10 таблеток у блістері, по 3 або по 10 блістерів у коробці; або по 1000 мг, по 10 таблеток у блістері, по 6 або по 12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w:t>
            </w:r>
            <w:r>
              <w:rPr>
                <w:szCs w:val="20"/>
                <w:lang w:eastAsia="ru-RU"/>
              </w:rPr>
              <w:t xml:space="preserve">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259901-21/В-116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Метформін-Тева</w:t>
            </w:r>
            <w:r>
              <w:rPr>
                <w:b/>
                <w:caps/>
                <w:lang w:val="ru-RU"/>
              </w:rPr>
              <w:t xml:space="preserve">, </w:t>
            </w:r>
            <w:r>
              <w:rPr>
                <w:b/>
              </w:rPr>
              <w:t>таблетки, вкриті плівковою оболонкою, по 500 мг, по 10 таблеток у блістері, по 5 блістерів у коробці; або по 850 мг, по 10 таблеток у блістері, по 3 або по 10 блістерів у коробці; або по 1000 мг, по 10 таблеток у блістері, по 6 або по 12 блістерів у коробц</w:t>
            </w:r>
            <w:r>
              <w:rPr>
                <w:b/>
              </w:rPr>
              <w:t>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259901-21/В-116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Метформін-Тева</w:t>
            </w:r>
            <w:r>
              <w:rPr>
                <w:b/>
                <w:caps/>
                <w:lang w:val="ru-RU"/>
              </w:rPr>
              <w:t xml:space="preserve">, </w:t>
            </w:r>
            <w:r>
              <w:rPr>
                <w:b/>
              </w:rPr>
              <w:t>таблетки, вкриті плівковою оболонкою, по 500 мг, по 10 таблеток у блістері, по 5 блістерів у коробці; або по 850 мг, по 10 таблеток у блістері, по 3 або по 10 блістерів у коробці; або по 1000 мг, по 10 таблеток у блістері, по 6 або по 12 блістерів у коробц</w:t>
            </w:r>
            <w:r>
              <w:rPr>
                <w:b/>
              </w:rPr>
              <w:t>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w:t>
            </w:r>
            <w:r>
              <w:rPr>
                <w:szCs w:val="20"/>
                <w:lang w:eastAsia="ru-RU"/>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w:t>
      </w:r>
      <w:r>
        <w:rPr>
          <w:b/>
          <w:lang w:val="uk-UA"/>
        </w:rPr>
        <w:t>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259901-21/В-116 від 17</w:t>
            </w:r>
            <w:r>
              <w:rPr>
                <w:b/>
              </w:rPr>
              <w:t>.06.2021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Метформін-Тева</w:t>
            </w:r>
            <w:r>
              <w:rPr>
                <w:b/>
                <w:caps/>
                <w:lang w:val="ru-RU"/>
              </w:rPr>
              <w:t xml:space="preserve">, </w:t>
            </w:r>
            <w:r>
              <w:rPr>
                <w:b/>
              </w:rPr>
              <w:t xml:space="preserve">таблетки, вкриті плівковою оболонкою, по 500 мг, по 10 таблеток у блістері, по 5 блістерів у коробці; або по 850 мг, по 10 таблеток у блістері, по 3 або по 10 блістерів </w:t>
            </w:r>
            <w:r>
              <w:rPr>
                <w:b/>
              </w:rPr>
              <w:t>у коробці; або по 1000 мг, по 10 таблеток у блістері, по 6 або по 12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259901-21/В-116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Метформін-Тева</w:t>
            </w:r>
            <w:r>
              <w:rPr>
                <w:b/>
                <w:caps/>
                <w:lang w:val="ru-RU"/>
              </w:rPr>
              <w:t xml:space="preserve">, </w:t>
            </w:r>
            <w:r>
              <w:rPr>
                <w:b/>
              </w:rPr>
              <w:t xml:space="preserve">таблетки, вкриті плівковою оболонкою, по 500 мг, по 10 таблеток у блістері, по 5 блістерів у коробці; </w:t>
            </w:r>
            <w:r>
              <w:rPr>
                <w:b/>
              </w:rPr>
              <w:t>або по 850 мг, по 10 таблеток у блістері, по 3 або по 10 блістерів у коробці; або по 1000 мг, по 10 таблеток у блістері, по 6 або по 12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w:t>
            </w:r>
            <w:r>
              <w:rPr>
                <w:b/>
              </w:rPr>
              <w:t xml:space="preserve">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255184-21/З-124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Парсабів™</w:t>
            </w:r>
            <w:r>
              <w:rPr>
                <w:b/>
                <w:caps/>
                <w:lang w:val="ru-RU"/>
              </w:rPr>
              <w:t xml:space="preserve">, </w:t>
            </w:r>
            <w:r>
              <w:rPr>
                <w:b/>
              </w:rPr>
              <w:t>розчин для ін'єкцій, 5 мг/мл; по 0,5 мл (2,5 мг) у флаконі, по 6 флаконів у картонній коробці; по 1 мл (5 мг) у флаконі, по 6 флаконів у картонній коробці; по 2 мл (10 мг) у флаконі, по 6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Амджен Європа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w:t>
            </w:r>
            <w:r>
              <w:rPr>
                <w:szCs w:val="20"/>
                <w:lang w:eastAsia="ru-RU"/>
              </w:rPr>
              <w:t xml:space="preserve">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255184-21/З-124 </w:t>
            </w:r>
            <w:r>
              <w:rPr>
                <w:b/>
              </w:rPr>
              <w:t>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Парсабів™</w:t>
            </w:r>
            <w:r>
              <w:rPr>
                <w:b/>
                <w:caps/>
                <w:lang w:val="ru-RU"/>
              </w:rPr>
              <w:t xml:space="preserve">, </w:t>
            </w:r>
            <w:r>
              <w:rPr>
                <w:b/>
              </w:rPr>
              <w:t>розчин для ін'єкцій, 5 мг/мл; по 0,5 мл (2,5 мг) у флаконі, по 6 флаконів у картонній коробці; по 1 мл (5 мг) у флаконі, по 6 флаконів у картонній коробці; по 2 мл (10 мг) у флаконі, по 6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Амджен Європа Б.В., Нiдерланд</w:t>
            </w:r>
            <w:r>
              <w:rPr>
                <w:b/>
              </w:rPr>
              <w:t>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w:t>
            </w:r>
            <w:r>
              <w:rPr>
                <w:szCs w:val="20"/>
                <w:lang w:eastAsia="ru-RU"/>
              </w:rPr>
              <w:t xml:space="preserve">,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255184-21/З-124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Парсабів™</w:t>
            </w:r>
            <w:r>
              <w:rPr>
                <w:b/>
                <w:caps/>
                <w:lang w:val="ru-RU"/>
              </w:rPr>
              <w:t xml:space="preserve">, </w:t>
            </w:r>
            <w:r>
              <w:rPr>
                <w:b/>
              </w:rPr>
              <w:t>розчин для ін'єкцій, 5 мг/мл; по 0,5 мл (2,5 мг) у флаконі, по 6 флаконів у картонній коробці; по 1 мл (5 мг) у флаконі, по 6 флаконів у картонній коробці; по 2 мл (10 мг) у флаконі, по 6 флаконів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Амджен Європа Б.В., Нiдерланд</w:t>
            </w:r>
            <w:r>
              <w:rPr>
                <w:b/>
              </w:rPr>
              <w:t>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260936-21/З-50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Фебуксостат КРКА</w:t>
            </w:r>
            <w:r>
              <w:rPr>
                <w:b/>
                <w:caps/>
                <w:lang w:val="ru-RU"/>
              </w:rPr>
              <w:t xml:space="preserve">, </w:t>
            </w:r>
            <w:r>
              <w:rPr>
                <w:b/>
              </w:rPr>
              <w:t>таблетки, вкриті плівковою оболонкою по 80 мг або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260936-21/З-50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Фебуксостат КРКА</w:t>
            </w:r>
            <w:r>
              <w:rPr>
                <w:b/>
                <w:caps/>
                <w:lang w:val="ru-RU"/>
              </w:rPr>
              <w:t xml:space="preserve">, </w:t>
            </w:r>
            <w:r>
              <w:rPr>
                <w:b/>
              </w:rPr>
              <w:t>таблетки, вкриті плівковою оболонкою по 80 мг або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260936-21/З-50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Фебуксостат КРКА</w:t>
            </w:r>
            <w:r>
              <w:rPr>
                <w:b/>
                <w:caps/>
                <w:lang w:val="ru-RU"/>
              </w:rPr>
              <w:t xml:space="preserve">, </w:t>
            </w:r>
            <w:r>
              <w:rPr>
                <w:b/>
              </w:rPr>
              <w:t>таблетки, вкриті плівковою оболонкою по 80 мг або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260936-21/З-50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Фебуксостат КРКА</w:t>
            </w:r>
            <w:r>
              <w:rPr>
                <w:b/>
                <w:caps/>
                <w:lang w:val="ru-RU"/>
              </w:rPr>
              <w:t xml:space="preserve">, </w:t>
            </w:r>
            <w:r>
              <w:rPr>
                <w:b/>
              </w:rPr>
              <w:t>таблетки, вкриті плівковою оболонкою по 80 мг або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260936-21/З-50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Фебуксостат КРКА</w:t>
            </w:r>
            <w:r>
              <w:rPr>
                <w:b/>
                <w:caps/>
                <w:lang w:val="ru-RU"/>
              </w:rPr>
              <w:t xml:space="preserve">, </w:t>
            </w:r>
            <w:r>
              <w:rPr>
                <w:b/>
              </w:rPr>
              <w:t>таблетки, вкриті плівковою оболонкою по 80 мг або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260936-21/З-50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Фебуксостат КРКА</w:t>
            </w:r>
            <w:r>
              <w:rPr>
                <w:b/>
                <w:caps/>
                <w:lang w:val="ru-RU"/>
              </w:rPr>
              <w:t xml:space="preserve">, </w:t>
            </w:r>
            <w:r>
              <w:rPr>
                <w:b/>
              </w:rPr>
              <w:t>таблетки, вкриті плівковою оболонкою по 80 мг або по 120 мг; по 14 таблеток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 зміни)</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249289-20/З-132 від 16.12.2020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ФОНДАПАРИНУКС-МБ</w:t>
            </w:r>
            <w:r>
              <w:rPr>
                <w:b/>
                <w:caps/>
                <w:lang w:val="ru-RU"/>
              </w:rPr>
              <w:t xml:space="preserve">, </w:t>
            </w:r>
            <w:r>
              <w:rPr>
                <w:b/>
              </w:rPr>
              <w:t>розчин для ін'єкцій, по 2,5 мг/0,5 мл або по 5 мг/0,4 мл у попередньо наповненому шприці з автоматичною системою захисту голки, по 1 шприцу у блістері; по 2 або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249289-20/З-132 від 16.12.2020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ФОНДАПАРИНУКС-МБ</w:t>
            </w:r>
            <w:r>
              <w:rPr>
                <w:b/>
                <w:caps/>
                <w:lang w:val="ru-RU"/>
              </w:rPr>
              <w:t xml:space="preserve">, </w:t>
            </w:r>
            <w:r>
              <w:rPr>
                <w:b/>
              </w:rPr>
              <w:t>розчин для ін'єкцій, по 2,5 мг/0,5 мл або по 5 мг/0,4 мл у попередньо наповненому шприці з автоматичною системою захисту голки, по 1 шприцу у блістері; по 2 або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249289-20/З-132 від 16.12.2020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ФОНДАПАРИНУКС-МБ</w:t>
            </w:r>
            <w:r>
              <w:rPr>
                <w:b/>
                <w:caps/>
                <w:lang w:val="ru-RU"/>
              </w:rPr>
              <w:t xml:space="preserve">, </w:t>
            </w:r>
            <w:r>
              <w:rPr>
                <w:b/>
              </w:rPr>
              <w:t>розчин для ін'єкцій, по 2,5 мг/0,5 мл або по 5 мг/0,4 мл у попередньо наповненому шприці з автоматичною системою захисту голки, по 1 шприцу у блістері; по 2 або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249289-20/З-132 від 16.12.2020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ФОНДАПАРИНУКС-МБ</w:t>
            </w:r>
            <w:r>
              <w:rPr>
                <w:b/>
                <w:caps/>
                <w:lang w:val="ru-RU"/>
              </w:rPr>
              <w:t xml:space="preserve">, </w:t>
            </w:r>
            <w:r>
              <w:rPr>
                <w:b/>
              </w:rPr>
              <w:t>розчин для ін'єкцій, по 2,5 мг/0,5 мл або по 5 мг/0,4 мл у попередньо наповненому шприці з автоматичною системою захисту голки, по 1 шприцу у блістері; по 2 або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ВКК)</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ДЕПАРТАМЕНТ КООРДИНАЦІЇ ЕКСПЕРТНИХ 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rPr>
          <w:b/>
          <w:lang w:val="uk-UA"/>
        </w:rPr>
      </w:pPr>
    </w:p>
    <w:p w:rsidR="00000000" w:rsidRDefault="006F2E11">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249289-20/З-132 від 16.12.2020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ФОНДАПАРИНУКС-МБ</w:t>
            </w:r>
            <w:r>
              <w:rPr>
                <w:b/>
                <w:caps/>
                <w:lang w:val="ru-RU"/>
              </w:rPr>
              <w:t xml:space="preserve">, </w:t>
            </w:r>
            <w:r>
              <w:rPr>
                <w:b/>
              </w:rPr>
              <w:t>розчин для ін'єкцій, по 2,5 мг/0,5 мл або по 5 мг/0,4 мл у попередньо наповненому шприці з автоматичною системою захисту голки, по 1 шприцу у блістері; по 2 або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w:t>
            </w:r>
            <w:r>
              <w:rPr>
                <w:szCs w:val="20"/>
                <w:lang w:eastAsia="ru-RU"/>
              </w:rPr>
              <w:t xml:space="preserve">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6F2E11">
      <w:pP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spacing w:line="360" w:lineRule="auto"/>
        <w:jc w:val="center"/>
        <w:rPr>
          <w:b/>
          <w:lang w:val="uk-UA"/>
        </w:rPr>
      </w:pPr>
      <w:r>
        <w:rPr>
          <w:b/>
          <w:lang w:val="uk-UA"/>
        </w:rPr>
        <w:t>ДП «ДЕРЖАВНИЙ ЕКСПЕРТНИЙ ЦЕНТР МОЗ УКРАЇНИ»</w:t>
      </w:r>
    </w:p>
    <w:p w:rsidR="00000000" w:rsidRDefault="006F2E11">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6F2E11">
      <w:pPr>
        <w:jc w:val="center"/>
        <w:rPr>
          <w:lang w:val="uk-UA"/>
        </w:rPr>
      </w:pPr>
    </w:p>
    <w:p w:rsidR="00000000" w:rsidRDefault="006F2E11">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249289-20/З-132 від 16.12.2020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6F2E11">
            <w:pPr>
              <w:rPr>
                <w:b/>
              </w:rPr>
            </w:pPr>
            <w:r>
              <w:rPr>
                <w:b/>
                <w:caps/>
              </w:rPr>
              <w:t>ФОНДАПАРИНУКС-МБ</w:t>
            </w:r>
            <w:r>
              <w:rPr>
                <w:b/>
                <w:caps/>
                <w:lang w:val="ru-RU"/>
              </w:rPr>
              <w:t xml:space="preserve">, </w:t>
            </w:r>
            <w:r>
              <w:rPr>
                <w:b/>
              </w:rPr>
              <w:t>розчин для ін'єкцій, по 2,5 мг/0,5 мл або по 5 мг/0,4 мл у попередньо наповненому шприці з автоматичною системою захисту голки, по 1 шприцу у блістері; по 2 або 10 блістерів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21.09.2021 р. № 1989 (спрощена)</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6F2E11">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6F2E11">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6F2E11">
            <w:pPr>
              <w:snapToGrid w:val="0"/>
              <w:jc w:val="both"/>
              <w:rPr>
                <w:szCs w:val="20"/>
                <w:lang w:eastAsia="ru-RU"/>
              </w:rPr>
            </w:pPr>
          </w:p>
          <w:p w:rsidR="00000000" w:rsidRDefault="006F2E11">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6F2E11">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6F2E11">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6F2E11">
            <w:pPr>
              <w:spacing w:line="360" w:lineRule="auto"/>
              <w:jc w:val="center"/>
              <w:rPr>
                <w:b/>
                <w:noProof/>
                <w:lang w:val="ru-RU" w:eastAsia="ru-RU"/>
              </w:rPr>
            </w:pPr>
          </w:p>
        </w:tc>
      </w:tr>
    </w:tbl>
    <w:p w:rsidR="00000000" w:rsidRDefault="006F2E11">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6F2E11">
      <w:pPr>
        <w:jc w:val="center"/>
        <w:rPr>
          <w:b/>
          <w:lang w:val="uk-UA"/>
        </w:rPr>
      </w:pPr>
    </w:p>
    <w:p w:rsidR="00000000" w:rsidRDefault="006F2E11">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6F2E11">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6F2E11"/>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6F2E11">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6F2E11">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6F2E11"/>
        </w:tc>
        <w:tc>
          <w:tcPr>
            <w:tcW w:w="2126" w:type="dxa"/>
            <w:tcBorders>
              <w:top w:val="single" w:sz="4" w:space="0" w:color="auto"/>
              <w:left w:val="single" w:sz="4" w:space="0" w:color="auto"/>
              <w:bottom w:val="nil"/>
              <w:right w:val="single" w:sz="4" w:space="0" w:color="auto"/>
            </w:tcBorders>
            <w:hideMark/>
          </w:tcPr>
          <w:p w:rsidR="00000000" w:rsidRDefault="006F2E11">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6F2E11">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6F2E11">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6F2E11">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6F2E11">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6F2E11"/>
        </w:tc>
        <w:tc>
          <w:tcPr>
            <w:tcW w:w="2126" w:type="dxa"/>
            <w:tcBorders>
              <w:top w:val="single" w:sz="4" w:space="0" w:color="auto"/>
              <w:left w:val="single" w:sz="4" w:space="0" w:color="auto"/>
              <w:bottom w:val="single" w:sz="4" w:space="0" w:color="auto"/>
              <w:right w:val="single" w:sz="4" w:space="0" w:color="auto"/>
            </w:tcBorders>
            <w:hideMark/>
          </w:tcPr>
          <w:p w:rsidR="00000000" w:rsidRDefault="006F2E11">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6F2E11">
            <w:pPr>
              <w:jc w:val="center"/>
              <w:rPr>
                <w:sz w:val="16"/>
                <w:szCs w:val="16"/>
              </w:rPr>
            </w:pPr>
            <w:r>
              <w:rPr>
                <w:sz w:val="16"/>
                <w:szCs w:val="16"/>
              </w:rPr>
              <w:t>(П.І.Б. співробітник ДКЕМ)</w:t>
            </w:r>
          </w:p>
        </w:tc>
      </w:tr>
    </w:tbl>
    <w:p w:rsidR="00000000" w:rsidRDefault="006F2E11">
      <w:pPr>
        <w:jc w:val="center"/>
        <w:rPr>
          <w:b/>
          <w:lang w:val="uk-UA"/>
        </w:rPr>
      </w:pPr>
    </w:p>
    <w:p w:rsidR="00000000" w:rsidRDefault="006F2E11">
      <w:pPr>
        <w:rPr>
          <w:b/>
          <w:lang w:val="uk-UA"/>
        </w:rPr>
      </w:pPr>
      <w:r>
        <w:rPr>
          <w:b/>
          <w:lang w:val="uk-UA" w:eastAsia="uk-UA"/>
        </w:rPr>
        <w:br w:type="page"/>
      </w:r>
    </w:p>
    <w:p w:rsidR="00000000" w:rsidRDefault="006F2E11">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2E11">
      <w:pPr>
        <w:rPr>
          <w:lang w:val="uk-UA"/>
        </w:rPr>
      </w:pPr>
      <w:r>
        <w:rPr>
          <w:lang w:val="uk-UA"/>
        </w:rPr>
        <w:separator/>
      </w:r>
    </w:p>
  </w:endnote>
  <w:endnote w:type="continuationSeparator" w:id="0">
    <w:p w:rsidR="00000000" w:rsidRDefault="006F2E11">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2E11">
      <w:pPr>
        <w:rPr>
          <w:lang w:val="uk-UA"/>
        </w:rPr>
      </w:pPr>
      <w:r>
        <w:rPr>
          <w:lang w:val="uk-UA"/>
        </w:rPr>
        <w:separator/>
      </w:r>
    </w:p>
  </w:footnote>
  <w:footnote w:type="continuationSeparator" w:id="0">
    <w:p w:rsidR="00000000" w:rsidRDefault="006F2E11">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6F2E11"/>
    <w:rsid w:val="006F2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BA5718-0AF0-42B8-9C16-BD852FD3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pPr>
      <w:jc w:val="center"/>
    </w:pPr>
    <w:rPr>
      <w:b/>
      <w:bCs/>
    </w:rPr>
  </w:style>
  <w:style w:type="character" w:customStyle="1" w:styleId="ab">
    <w:name w:val="Заголовок Знак"/>
    <w:basedOn w:val="a0"/>
    <w:link w:val="aa"/>
    <w:rPr>
      <w:rFonts w:asciiTheme="majorHAnsi" w:eastAsiaTheme="majorEastAsia" w:hAnsiTheme="majorHAnsi" w:cstheme="majorBidi"/>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Название Знак"/>
    <w:basedOn w:val="a0"/>
    <w:link w:val="af2"/>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af2">
    <w:name w:val="Название"/>
    <w:basedOn w:val="a"/>
    <w:link w:val="af1"/>
    <w:semiHidden/>
  </w:style>
  <w:style w:type="paragraph" w:customStyle="1" w:styleId="af3">
    <w:name w:val="Верхній колонтитул"/>
    <w:basedOn w:val="a"/>
    <w:link w:val="af4"/>
  </w:style>
  <w:style w:type="character" w:customStyle="1" w:styleId="af4">
    <w:name w:val="Верхній колонтитул Знак"/>
    <w:basedOn w:val="a0"/>
    <w:link w:val="af3"/>
    <w:semiHidden/>
    <w:locked/>
    <w:rPr>
      <w:sz w:val="24"/>
      <w:szCs w:val="24"/>
    </w:rPr>
  </w:style>
  <w:style w:type="paragraph" w:customStyle="1" w:styleId="af5">
    <w:name w:val="Нижній колонтитул"/>
    <w:basedOn w:val="a"/>
    <w:link w:val="af6"/>
  </w:style>
  <w:style w:type="character" w:customStyle="1" w:styleId="af6">
    <w:name w:val="Нижній колонтитул Знак"/>
    <w:basedOn w:val="a0"/>
    <w:link w:val="af5"/>
    <w:semiHidden/>
    <w:locked/>
    <w:rPr>
      <w:sz w:val="24"/>
      <w:szCs w:val="24"/>
    </w:rPr>
  </w:style>
  <w:style w:type="paragraph" w:customStyle="1" w:styleId="af7">
    <w:name w:val="Назва"/>
    <w:basedOn w:val="a"/>
    <w:link w:val="af8"/>
  </w:style>
  <w:style w:type="character" w:customStyle="1" w:styleId="af8">
    <w:name w:val="Назва Знак"/>
    <w:basedOn w:val="a0"/>
    <w:link w:val="af7"/>
    <w:locked/>
    <w:rPr>
      <w:rFonts w:asciiTheme="majorHAnsi" w:eastAsiaTheme="majorEastAsia" w:hAnsiTheme="majorHAnsi" w:cstheme="majorBidi" w:hint="default"/>
      <w:spacing w:val="-10"/>
      <w:kern w:val="28"/>
      <w:sz w:val="56"/>
      <w:szCs w:val="56"/>
    </w:rPr>
  </w:style>
  <w:style w:type="paragraph" w:customStyle="1" w:styleId="af9">
    <w:name w:val="Основний текст"/>
    <w:basedOn w:val="a"/>
    <w:link w:val="afa"/>
  </w:style>
  <w:style w:type="character" w:customStyle="1" w:styleId="afa">
    <w:name w:val="Основний текст Знак"/>
    <w:basedOn w:val="a0"/>
    <w:link w:val="af9"/>
    <w:semiHidden/>
    <w:locked/>
    <w:rPr>
      <w:sz w:val="24"/>
      <w:szCs w:val="24"/>
    </w:rPr>
  </w:style>
  <w:style w:type="paragraph" w:customStyle="1" w:styleId="afb">
    <w:name w:val="Текст у виносці"/>
    <w:basedOn w:val="a"/>
    <w:link w:val="afc"/>
  </w:style>
  <w:style w:type="character" w:customStyle="1" w:styleId="afc">
    <w:name w:val="Текст у виносці Знак"/>
    <w:basedOn w:val="a0"/>
    <w:link w:val="afb"/>
    <w:semiHidden/>
    <w:locked/>
    <w:rPr>
      <w:rFonts w:ascii="Segoe UI" w:hAnsi="Segoe UI" w:cs="Segoe UI" w:hint="default"/>
      <w:sz w:val="18"/>
      <w:szCs w:val="18"/>
    </w:rPr>
  </w:style>
  <w:style w:type="table" w:customStyle="1" w:styleId="afd">
    <w:name w:val="Звичайна таблиця"/>
    <w:uiPriority w:val="99"/>
    <w:semiHidden/>
    <w:tblPr>
      <w:tblCellMar>
        <w:top w:w="0" w:type="dxa"/>
        <w:left w:w="108" w:type="dxa"/>
        <w:bottom w:w="0" w:type="dxa"/>
        <w:right w:w="108" w:type="dxa"/>
      </w:tblCellMar>
    </w:tblPr>
  </w:style>
  <w:style w:type="table" w:styleId="afe">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0</TotalTime>
  <Pages>113</Pages>
  <Words>22104</Words>
  <Characters>149732</Characters>
  <Application>Microsoft Office Word</Application>
  <DocSecurity>0</DocSecurity>
  <Lines>1247</Lines>
  <Paragraphs>342</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171494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2021-10-04T09:14:00Z</dcterms:created>
  <dcterms:modified xsi:type="dcterms:W3CDTF">2021-10-04T09:14:00Z</dcterms:modified>
</cp:coreProperties>
</file>