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B77" w:rsidRPr="00D20B77" w:rsidRDefault="00D20B77" w:rsidP="00D20B7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r w:rsidRPr="00D20B77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ПЕРЕЛІК </w:t>
      </w:r>
    </w:p>
    <w:p w:rsidR="00D20B77" w:rsidRPr="00D20B77" w:rsidRDefault="00D20B77" w:rsidP="00D20B7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r w:rsidRPr="00D20B77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ЯКІ </w:t>
      </w:r>
      <w:r w:rsidRPr="00D20B77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>ЗАРЕЄСТРОВАНІ КОМПЕТЕНТНИМИ ОРГАНАМИ</w:t>
      </w:r>
      <w:r w:rsidRPr="00D20B77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 СПОЛУЧЕНИХ ШТАТІВ АМЕРИКИ, ШВЕЙЦАРІЇ, ЯПОНІЇ, АВСТРАЛІЇ, КАНАДИ, ЛІКАРСЬКИХ ЗАСОБІВ, ЩО ЗА ЦЕНТРАЛІЗОВАНОЮ ПРОЦЕДУРОЮ ЗАРЕЄСТРОВАНІ КОМПЕТЕНТНИМ ОРГАНОМ </w:t>
      </w:r>
      <w:r w:rsidRPr="00D20B77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>ЄВРОПЕЙСЬКОГО СОЮЗУ</w:t>
      </w:r>
    </w:p>
    <w:p w:rsidR="00D20B77" w:rsidRPr="00D20B77" w:rsidRDefault="00D20B77" w:rsidP="00D20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843"/>
        <w:gridCol w:w="1276"/>
        <w:gridCol w:w="992"/>
        <w:gridCol w:w="2410"/>
        <w:gridCol w:w="1417"/>
        <w:gridCol w:w="2268"/>
        <w:gridCol w:w="1134"/>
        <w:gridCol w:w="1701"/>
      </w:tblGrid>
      <w:tr w:rsidR="00D20B77" w:rsidRPr="00D20B77" w:rsidTr="00DA2ED3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20B77" w:rsidRPr="00D20B77" w:rsidRDefault="00D20B77" w:rsidP="00D20B7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20B7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20B77" w:rsidRPr="00D20B77" w:rsidRDefault="00D20B77" w:rsidP="00D20B7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20B7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20B77" w:rsidRPr="00D20B77" w:rsidRDefault="00D20B77" w:rsidP="00D20B7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20B7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20B77" w:rsidRPr="00D20B77" w:rsidRDefault="00D20B77" w:rsidP="00D20B7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20B7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20B77" w:rsidRPr="00D20B77" w:rsidRDefault="00D20B77" w:rsidP="00D20B7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20B7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20B77" w:rsidRPr="00D20B77" w:rsidRDefault="00D20B77" w:rsidP="00D20B7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20B7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20B77" w:rsidRPr="00D20B77" w:rsidRDefault="00D20B77" w:rsidP="00D20B7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20B7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20B77" w:rsidRPr="00D20B77" w:rsidRDefault="00D20B77" w:rsidP="00D20B7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20B7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20B77" w:rsidRPr="00D20B77" w:rsidRDefault="00D20B77" w:rsidP="00D20B7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20B7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20B77" w:rsidRPr="00D20B77" w:rsidRDefault="00D20B77" w:rsidP="00D20B7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20B7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D20B77" w:rsidRPr="00D20B77" w:rsidTr="00DA2ED3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D20B77" w:rsidRPr="00D20B77" w:rsidRDefault="00D20B77" w:rsidP="00D20B7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D20B77" w:rsidRPr="00D20B77" w:rsidRDefault="00D20B77" w:rsidP="00D20B77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D20B77"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  <w:t>ЛАНСУРФ® 20 мг/8,19 мг</w:t>
            </w:r>
          </w:p>
        </w:tc>
        <w:tc>
          <w:tcPr>
            <w:tcW w:w="1843" w:type="dxa"/>
            <w:shd w:val="clear" w:color="auto" w:fill="FFFFFF"/>
          </w:tcPr>
          <w:p w:rsidR="00D20B77" w:rsidRPr="00D20B77" w:rsidRDefault="00D20B77" w:rsidP="00D20B77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таблетки, вкриті плівковою оболонкою, по 20 мг/8,19 мг, по 10 таблеток у блістері; по 2 або 6 блістерів у коробці з картону</w:t>
            </w:r>
          </w:p>
        </w:tc>
        <w:tc>
          <w:tcPr>
            <w:tcW w:w="1276" w:type="dxa"/>
            <w:shd w:val="clear" w:color="auto" w:fill="FFFFFF"/>
          </w:tcPr>
          <w:p w:rsidR="00D20B77" w:rsidRPr="00D20B77" w:rsidRDefault="00D20B77" w:rsidP="00D20B7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Лє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Лаборатуар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Серв'є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D20B77" w:rsidRPr="00D20B77" w:rsidRDefault="00D20B77" w:rsidP="00D20B7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Францiя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D20B77" w:rsidRPr="00D20B77" w:rsidRDefault="00D20B77" w:rsidP="00D20B7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відповідальний за виробництво, контроль якості та випуск серії продукції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bulk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:</w:t>
            </w:r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br/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Тайхо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Фармасьютікал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Ко.,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Лтд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.,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Японiя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;</w:t>
            </w:r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br/>
              <w:t xml:space="preserve">відповідальний за проведення контролю якості продукції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bulk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за показником домішки елементів:</w:t>
            </w:r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br/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Суміка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Кемікал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Аналізіс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Сервіс,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Лтд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.,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Японiя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;</w:t>
            </w:r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br/>
              <w:t>відповідальний за контроль якості, первинне та вторинне пакування і випуск серії готового лікарського засобу:</w:t>
            </w:r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br/>
              <w:t xml:space="preserve">Лабораторії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Серв'є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Індастрі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Францiя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D20B77" w:rsidRPr="00D20B77" w:rsidRDefault="00D20B77" w:rsidP="00D20B7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Японія/</w:t>
            </w:r>
          </w:p>
          <w:p w:rsidR="00D20B77" w:rsidRPr="00D20B77" w:rsidRDefault="00D20B77" w:rsidP="00D20B7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Франція</w:t>
            </w:r>
          </w:p>
        </w:tc>
        <w:tc>
          <w:tcPr>
            <w:tcW w:w="2268" w:type="dxa"/>
            <w:shd w:val="clear" w:color="auto" w:fill="FFFFFF"/>
          </w:tcPr>
          <w:p w:rsidR="00D20B77" w:rsidRPr="00D20B77" w:rsidRDefault="00D20B77" w:rsidP="00D20B7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внесення змін до реєстраційних матеріалів: C.I.6.a - II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Change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(s)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to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therapeutic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indication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(s) –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Addition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of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a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new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therapeutic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indication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or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modification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of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approved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one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–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extension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of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Indication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to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include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treatment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as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monotherapy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of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adult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patients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with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metastatic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gastric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cancer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including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adenocarcinoma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of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gastroesophageal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junction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who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have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been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previously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treated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with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at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least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two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systemic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treatment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regimens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for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advanced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disease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for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Lonsurf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as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a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consequence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sections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4.1, 4.2, 4.4, 4.8, 5.1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and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5.2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of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SmPC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are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updated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Package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Leaflet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is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updated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accordance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RMP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version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7.0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has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also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been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submitted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and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updated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accordance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with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Template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Rev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2.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For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clarification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term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monotherapy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has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also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been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added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to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existing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indication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metastatic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colorectal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cancer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D20B77" w:rsidRPr="00D20B77" w:rsidRDefault="00D20B77" w:rsidP="00D20B7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D20B77">
              <w:rPr>
                <w:rFonts w:ascii="Arial" w:eastAsia="Times New Roman" w:hAnsi="Arial" w:cs="Arial"/>
                <w:i/>
                <w:sz w:val="16"/>
                <w:szCs w:val="16"/>
                <w:lang w:eastAsia="uk-UA"/>
              </w:rPr>
              <w:t>за</w:t>
            </w:r>
            <w:proofErr w:type="spellEnd"/>
            <w:r w:rsidRPr="00D20B77">
              <w:rPr>
                <w:rFonts w:ascii="Arial" w:eastAsia="Times New Roman" w:hAnsi="Arial" w:cs="Arial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i/>
                <w:sz w:val="16"/>
                <w:szCs w:val="16"/>
                <w:lang w:eastAsia="uk-UA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D20B77" w:rsidRPr="00D20B77" w:rsidRDefault="00D20B77" w:rsidP="00D20B7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D20B77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UA/167</w:t>
            </w:r>
            <w:r w:rsidRPr="00D20B7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</w:t>
            </w:r>
            <w:r w:rsidRPr="00D20B77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2/01/01</w:t>
            </w:r>
          </w:p>
        </w:tc>
      </w:tr>
      <w:tr w:rsidR="00D20B77" w:rsidRPr="00D20B77" w:rsidTr="00DA2ED3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D20B77" w:rsidRPr="00D20B77" w:rsidRDefault="00D20B77" w:rsidP="00D20B7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D20B77" w:rsidRPr="00D20B77" w:rsidRDefault="00D20B77" w:rsidP="00D20B77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D20B77"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  <w:t>ЛАНСУРФ® 15 мг/6,14 мг</w:t>
            </w:r>
          </w:p>
        </w:tc>
        <w:tc>
          <w:tcPr>
            <w:tcW w:w="1843" w:type="dxa"/>
            <w:shd w:val="clear" w:color="auto" w:fill="FFFFFF"/>
          </w:tcPr>
          <w:p w:rsidR="00D20B77" w:rsidRPr="00D20B77" w:rsidRDefault="00D20B77" w:rsidP="00D20B77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таблетки, вкриті плівковою оболонкою, по 15 мг/6,14 мг, по 10 таблеток у блістері; </w:t>
            </w:r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lastRenderedPageBreak/>
              <w:t>по 2 або 6 блістерів у коробці з картону</w:t>
            </w:r>
          </w:p>
        </w:tc>
        <w:tc>
          <w:tcPr>
            <w:tcW w:w="1276" w:type="dxa"/>
            <w:shd w:val="clear" w:color="auto" w:fill="FFFFFF"/>
          </w:tcPr>
          <w:p w:rsidR="00D20B77" w:rsidRPr="00D20B77" w:rsidRDefault="00D20B77" w:rsidP="00D20B7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lastRenderedPageBreak/>
              <w:t>Лє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Лаборатуар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Серв'є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D20B77" w:rsidRPr="00D20B77" w:rsidRDefault="00D20B77" w:rsidP="00D20B7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Францiя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D20B77" w:rsidRPr="00D20B77" w:rsidRDefault="00D20B77" w:rsidP="00D20B7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відповідальний за виробництво, контроль якості та випуск серії продукції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bulk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:</w:t>
            </w:r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br/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Тайхо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Фармасьютікал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Ко.,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lastRenderedPageBreak/>
              <w:t>Лтд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.,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Японiя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;</w:t>
            </w:r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br/>
              <w:t xml:space="preserve">відповідальний за проведення контролю якості продукції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bulk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за показником домішки елементів:</w:t>
            </w:r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br/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Суміка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Кемікал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Аналізіс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Сервіс,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Лтд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.,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Японiя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;</w:t>
            </w:r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br/>
              <w:t>відповідальний за контроль якості, первинне та вторинне пакування і випуск серії готового лікарського засобу:</w:t>
            </w:r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br/>
              <w:t xml:space="preserve">Лабораторії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Серв'є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Індастрі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Францiя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D20B77" w:rsidRPr="00D20B77" w:rsidRDefault="00D20B77" w:rsidP="00D20B7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lastRenderedPageBreak/>
              <w:t>Японія/</w:t>
            </w:r>
          </w:p>
          <w:p w:rsidR="00D20B77" w:rsidRPr="00D20B77" w:rsidRDefault="00D20B77" w:rsidP="00D20B7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Франція</w:t>
            </w:r>
          </w:p>
        </w:tc>
        <w:tc>
          <w:tcPr>
            <w:tcW w:w="2268" w:type="dxa"/>
            <w:shd w:val="clear" w:color="auto" w:fill="FFFFFF"/>
          </w:tcPr>
          <w:p w:rsidR="00D20B77" w:rsidRPr="00D20B77" w:rsidRDefault="00D20B77" w:rsidP="00D20B7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внесення змін до реєстраційних матеріалів: C.I.6.a - II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Change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(s)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to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therapeutic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indication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(s) –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Addition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of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a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new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lastRenderedPageBreak/>
              <w:t>therapeutic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indication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or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modification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of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approved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one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–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extension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of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Indication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to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include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treatment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as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monotherapy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of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adult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patients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with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metastatic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gastric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cancer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including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adenocarcinoma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of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gastroesophageal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junction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who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have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been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previously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treated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with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at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least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two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systemic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treatment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regimens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for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advanced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disease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for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Lonsurf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as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a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consequence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sections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4.1, 4.2, 4.4, 4.8, 5.1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and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5.2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of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SmPC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are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updated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Package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Leaflet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is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updated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accordance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RMP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version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7.0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has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also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been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submitted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and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updated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accordance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with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Template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Rev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2.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For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clarification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term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monotherapy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has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also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been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added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to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the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existing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indication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in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metastatic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colorectal</w:t>
            </w:r>
            <w:proofErr w:type="spellEnd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cancer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D20B77" w:rsidRPr="00D20B77" w:rsidRDefault="00D20B77" w:rsidP="00D20B7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D20B77">
              <w:rPr>
                <w:rFonts w:ascii="Arial" w:eastAsia="Times New Roman" w:hAnsi="Arial" w:cs="Arial"/>
                <w:i/>
                <w:sz w:val="16"/>
                <w:szCs w:val="16"/>
                <w:lang w:eastAsia="uk-UA"/>
              </w:rPr>
              <w:lastRenderedPageBreak/>
              <w:t>за</w:t>
            </w:r>
            <w:proofErr w:type="spellEnd"/>
            <w:r w:rsidRPr="00D20B77">
              <w:rPr>
                <w:rFonts w:ascii="Arial" w:eastAsia="Times New Roman" w:hAnsi="Arial" w:cs="Arial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D20B77">
              <w:rPr>
                <w:rFonts w:ascii="Arial" w:eastAsia="Times New Roman" w:hAnsi="Arial" w:cs="Arial"/>
                <w:i/>
                <w:sz w:val="16"/>
                <w:szCs w:val="16"/>
                <w:lang w:eastAsia="uk-UA"/>
              </w:rPr>
              <w:t>рецептом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20B77" w:rsidRPr="00D20B77" w:rsidRDefault="00D20B77" w:rsidP="00D20B7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D20B77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UA/167</w:t>
            </w:r>
            <w:r w:rsidRPr="00D20B7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</w:t>
            </w:r>
            <w:r w:rsidRPr="00D20B77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2/01/02</w:t>
            </w:r>
          </w:p>
        </w:tc>
      </w:tr>
    </w:tbl>
    <w:p w:rsidR="00D20B77" w:rsidRPr="00D20B77" w:rsidRDefault="00D20B77" w:rsidP="00D20B77">
      <w:pPr>
        <w:spacing w:after="0" w:line="240" w:lineRule="auto"/>
        <w:rPr>
          <w:rFonts w:ascii="Arial" w:eastAsia="Times New Roman" w:hAnsi="Arial" w:cs="Arial"/>
          <w:b/>
          <w:lang w:val="uk-UA" w:eastAsia="uk-UA"/>
        </w:rPr>
      </w:pPr>
    </w:p>
    <w:p w:rsidR="00D20B77" w:rsidRPr="00D20B77" w:rsidRDefault="00D20B77" w:rsidP="00D20B77">
      <w:pPr>
        <w:spacing w:after="0" w:line="240" w:lineRule="auto"/>
        <w:rPr>
          <w:rFonts w:ascii="Arial" w:eastAsia="Times New Roman" w:hAnsi="Arial" w:cs="Arial"/>
          <w:b/>
          <w:lang w:val="uk-UA" w:eastAsia="uk-UA"/>
        </w:rPr>
      </w:pPr>
    </w:p>
    <w:p w:rsidR="00D20B77" w:rsidRPr="00D20B77" w:rsidRDefault="00D20B77" w:rsidP="00D20B77">
      <w:pPr>
        <w:spacing w:after="0" w:line="240" w:lineRule="auto"/>
        <w:rPr>
          <w:rFonts w:ascii="Arial" w:eastAsia="Times New Roman" w:hAnsi="Arial" w:cs="Arial"/>
          <w:b/>
          <w:lang w:val="uk-UA" w:eastAsia="uk-UA"/>
        </w:rPr>
      </w:pPr>
    </w:p>
    <w:p w:rsidR="006818B5" w:rsidRDefault="006818B5">
      <w:bookmarkStart w:id="0" w:name="_GoBack"/>
      <w:bookmarkEnd w:id="0"/>
    </w:p>
    <w:sectPr w:rsidR="006818B5" w:rsidSect="006B5FC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77"/>
    <w:rsid w:val="006818B5"/>
    <w:rsid w:val="00D2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B4951-AD70-4109-B64F-DE379A38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D20B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2020-04-14T18:32:00Z</dcterms:created>
  <dcterms:modified xsi:type="dcterms:W3CDTF">2020-04-14T18:33:00Z</dcterms:modified>
</cp:coreProperties>
</file>