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B4" w:rsidRDefault="00A359B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523FF8">
        <w:t>1</w:t>
      </w:r>
    </w:p>
    <w:p w:rsidR="009975B4" w:rsidRDefault="00A359B6" w:rsidP="00A74CA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74CA4">
        <w:rPr>
          <w:lang w:val="uk-UA"/>
        </w:rPr>
        <w:t>«</w:t>
      </w:r>
      <w:r w:rsidR="00A74CA4" w:rsidRPr="00A74CA4">
        <w:rPr>
          <w:lang w:val="uk-UA"/>
        </w:rPr>
        <w:t>Про затвердження суттєвих</w:t>
      </w:r>
      <w:r w:rsidR="00A74CA4">
        <w:rPr>
          <w:lang w:val="uk-UA"/>
        </w:rPr>
        <w:t xml:space="preserve"> </w:t>
      </w:r>
      <w:r w:rsidR="00A74CA4" w:rsidRPr="00A74CA4">
        <w:rPr>
          <w:lang w:val="uk-UA"/>
        </w:rPr>
        <w:t>поправок до протоколів</w:t>
      </w:r>
      <w:r w:rsidR="00A74CA4">
        <w:rPr>
          <w:lang w:val="uk-UA"/>
        </w:rPr>
        <w:t xml:space="preserve"> </w:t>
      </w:r>
      <w:r w:rsidR="00A74CA4" w:rsidRPr="00A74CA4">
        <w:rPr>
          <w:lang w:val="uk-UA"/>
        </w:rPr>
        <w:t>клінічних випробувань</w:t>
      </w:r>
      <w:r w:rsidR="00A74CA4">
        <w:rPr>
          <w:lang w:val="uk-UA"/>
        </w:rPr>
        <w:t>»</w:t>
      </w:r>
    </w:p>
    <w:p w:rsidR="009975B4" w:rsidRDefault="0056726A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 w:rsidR="00A359B6"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Брошура дослідника Венетоклаксу, видання 14 від 14 січня 2022 року, англійською мовою; Брошура дослідника Ібрутинібу, видання 15 від 10 грудня 2021 року, англійською мовою; Інформаційний листок і форма інформованої згоди пацієнта, що раніше не отримував лікування, версія V5.0UKR(uk)1.0 від 17 березня 2022 року, переклад українською мовою від 25 квітня 2022 року; Інформаційний листок і форма згоди пацієнта, що раніше не отримував лікування, версія V5.0UKR(ru)1.0 від 17 березня 2022 року, переклад російською мовою від 25 квітня 2022 року; Інформаційний листок і форма згоди пацієнта із рецидивуючим/рефрактерним перебігом захворювання, версія V12.0UKR(uk)1.0 від 17 березня 2022 року, переклад українською мовою від 25 квітня 2022 року; Інформаційний листок і форма згоди пацієнта із рецидивуючим/рефрактерним перебігом захворювання, версія V12.0UKR(ru)1.0 від 17 березня 2022 року, переклад російською мовою від 25 квітня 2022 року; Додаткова інформована згода пацієнта на впровадження екстрених заходів через значущі події на території України, версія V1.0UKR(uk)1.0 від 28 квітня 2022 року, переклад українською мовою від 18 травня 2022 року; Додаткова інформована згода пацієнта на впровадження екстрених заходів у зв’язку зі значущими подіями на території України, версія V1.0UKR(ru)1.0 від 28 квітня 2022 року, переклад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 </w:t>
            </w:r>
            <w:proofErr w:type="spellStart"/>
            <w:r>
              <w:t>травня</w:t>
            </w:r>
            <w:proofErr w:type="spellEnd"/>
            <w:r>
              <w:t xml:space="preserve"> 2022 року; </w:t>
            </w:r>
            <w:r w:rsidR="00006E4D" w:rsidRPr="00006E4D">
              <w:t xml:space="preserve">             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Ібрутиніб</w:t>
            </w:r>
            <w:proofErr w:type="spellEnd"/>
            <w:r>
              <w:t xml:space="preserve"> (</w:t>
            </w:r>
            <w:proofErr w:type="spellStart"/>
            <w:r>
              <w:t>капсули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9.0 </w:t>
            </w:r>
            <w:proofErr w:type="spellStart"/>
            <w:r>
              <w:t>від</w:t>
            </w:r>
            <w:proofErr w:type="spellEnd"/>
            <w:r>
              <w:t xml:space="preserve"> 31 січня 2022 року, англійською мовою; Залучення додаткових виробничих дільниць виробництва ДЛЗ Ібрутиніб у формі капсул по 140 мг та плацебо AbbVie Inc., США; Зразок маркування для пляшечки ДЛЗ Ібрутиніб, капсули по 140 мг, від 21 січня 2022 року українською мовою; Зразок маркування для пляшечки ДЛЗ Венетоклакс, таблетки, вкриті оболонкою, 100 мг, від 25 січня 2022 року українською мовою; Зразок маркування ДЛЗ Ібрутиніб, таблетки по 560 мг, від 13 січня 2022 року українською мовою;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ДЛЗ </w:t>
            </w:r>
            <w:proofErr w:type="spellStart"/>
            <w:r>
              <w:t>Венетоклакс</w:t>
            </w:r>
            <w:proofErr w:type="spellEnd"/>
            <w:r>
              <w:t xml:space="preserve">, таблетки, </w:t>
            </w:r>
            <w:proofErr w:type="spellStart"/>
            <w:r>
              <w:t>вкриті</w:t>
            </w:r>
            <w:proofErr w:type="spellEnd"/>
            <w:r>
              <w:t xml:space="preserve"> </w:t>
            </w:r>
            <w:proofErr w:type="spellStart"/>
            <w:r>
              <w:t>оболонкою</w:t>
            </w:r>
            <w:proofErr w:type="spellEnd"/>
            <w:r>
              <w:t xml:space="preserve">, в </w:t>
            </w:r>
            <w:proofErr w:type="spellStart"/>
            <w:r>
              <w:t>блістерній</w:t>
            </w:r>
            <w:proofErr w:type="spellEnd"/>
            <w:r>
              <w:t xml:space="preserve"> </w:t>
            </w:r>
            <w:proofErr w:type="spellStart"/>
            <w:r>
              <w:t>упаковці</w:t>
            </w:r>
            <w:proofErr w:type="spellEnd"/>
            <w:r>
              <w:t xml:space="preserve">, </w:t>
            </w:r>
            <w:r w:rsidR="00006E4D" w:rsidRPr="00006E4D">
              <w:t xml:space="preserve">           </w:t>
            </w:r>
            <w:r>
              <w:t xml:space="preserve">24 </w:t>
            </w:r>
            <w:proofErr w:type="spellStart"/>
            <w:r>
              <w:t>січня</w:t>
            </w:r>
            <w:proofErr w:type="spellEnd"/>
            <w:r>
              <w:t xml:space="preserve"> 2022 року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3A0E6E" w:rsidRDefault="003A0E6E">
      <w:r>
        <w:br w:type="page"/>
      </w:r>
    </w:p>
    <w:p w:rsidR="003A0E6E" w:rsidRDefault="003A0E6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</w:t>
      </w:r>
      <w:r w:rsidRPr="003A0E6E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         продовження додатка 1</w:t>
      </w:r>
    </w:p>
    <w:p w:rsidR="003A0E6E" w:rsidRPr="003A0E6E" w:rsidRDefault="003A0E6E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1070 </w:t>
            </w:r>
            <w:proofErr w:type="spellStart"/>
            <w:r>
              <w:t>від</w:t>
            </w:r>
            <w:proofErr w:type="spellEnd"/>
            <w:r>
              <w:t xml:space="preserve"> 14.05.2019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«Дослідження фази 3 з оцінки застосування ібрутиніба в комбінації з венетоклаксом у пацієнтів з мантійноклітинною лімфомою (МКЛ)», PCYC-1143-CA,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3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06E4D">
              <w:rPr>
                <w:lang w:val="en-US"/>
              </w:rPr>
              <w:t xml:space="preserve">                       </w:t>
            </w:r>
            <w:r>
              <w:t xml:space="preserve">25 </w:t>
            </w:r>
            <w:proofErr w:type="spellStart"/>
            <w:r>
              <w:t>березня</w:t>
            </w:r>
            <w:proofErr w:type="spellEnd"/>
            <w:r>
              <w:t xml:space="preserve"> 2021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Pharmacyclics</w:t>
            </w:r>
            <w:proofErr w:type="spellEnd"/>
            <w:r>
              <w:t xml:space="preserve"> LLC, США (входить в </w:t>
            </w:r>
            <w:proofErr w:type="spellStart"/>
            <w:r>
              <w:t>групу</w:t>
            </w:r>
            <w:proofErr w:type="spellEnd"/>
            <w:r>
              <w:t xml:space="preserve"> </w:t>
            </w:r>
            <w:proofErr w:type="spellStart"/>
            <w:r>
              <w:t>компаній</w:t>
            </w:r>
            <w:proofErr w:type="spellEnd"/>
            <w:r>
              <w:t xml:space="preserve"> «</w:t>
            </w:r>
            <w:proofErr w:type="spellStart"/>
            <w:r>
              <w:t>AbbVie</w:t>
            </w:r>
            <w:proofErr w:type="spellEnd"/>
            <w:r>
              <w:t>»)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523FF8">
        <w:t>2</w:t>
      </w:r>
    </w:p>
    <w:p w:rsidR="009975B4" w:rsidRDefault="00A359B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37E07">
        <w:rPr>
          <w:lang w:val="uk-UA"/>
        </w:rPr>
        <w:t>до наказу Міністерства охорони здоров’я</w:t>
      </w:r>
      <w:r w:rsidR="00737E07">
        <w:rPr>
          <w:rFonts w:eastAsia="Times New Roman"/>
          <w:szCs w:val="24"/>
          <w:lang w:val="uk-UA" w:eastAsia="uk-UA"/>
        </w:rPr>
        <w:t xml:space="preserve"> України</w:t>
      </w:r>
      <w:r w:rsidR="00737E07">
        <w:rPr>
          <w:lang w:val="uk-UA"/>
        </w:rPr>
        <w:t xml:space="preserve"> «</w:t>
      </w:r>
      <w:r w:rsidR="00737E07" w:rsidRPr="00A74CA4">
        <w:rPr>
          <w:lang w:val="uk-UA"/>
        </w:rPr>
        <w:t>Про затвердження суттєвих</w:t>
      </w:r>
      <w:r w:rsidR="00737E07">
        <w:rPr>
          <w:lang w:val="uk-UA"/>
        </w:rPr>
        <w:t xml:space="preserve"> </w:t>
      </w:r>
      <w:r w:rsidR="00737E07" w:rsidRPr="00A74CA4">
        <w:rPr>
          <w:lang w:val="uk-UA"/>
        </w:rPr>
        <w:t>поправок до протоколів</w:t>
      </w:r>
      <w:r w:rsidR="00737E07">
        <w:rPr>
          <w:lang w:val="uk-UA"/>
        </w:rPr>
        <w:t xml:space="preserve"> </w:t>
      </w:r>
      <w:r w:rsidR="00737E07" w:rsidRPr="00A74CA4">
        <w:rPr>
          <w:lang w:val="uk-UA"/>
        </w:rPr>
        <w:t>клінічних випробувань</w:t>
      </w:r>
      <w:r w:rsidR="00737E07">
        <w:rPr>
          <w:lang w:val="uk-UA"/>
        </w:rPr>
        <w:t>»</w:t>
      </w:r>
    </w:p>
    <w:p w:rsidR="00C07C75" w:rsidRDefault="00C07C75" w:rsidP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Брошура дослідника Імбрувіка® (Ібрутиніб), JNJ-54179060, версія 15 від 10 грудня 2021 р., англійською мовою; Інформація для учасника дослідження та форма інформованої згоди для України, версія 12.0 від 25 травня 2022р., українською мовою; Інформація для учасника дослідження та форма інформованої згоди для України, версія 12.0 від 25 травня 2022р., російською мовою; Інформація для учасника </w:t>
            </w:r>
            <w:proofErr w:type="spellStart"/>
            <w:r>
              <w:t>дослідження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12.0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06E4D" w:rsidRPr="00006E4D">
              <w:t xml:space="preserve">           </w:t>
            </w:r>
            <w:r>
              <w:t xml:space="preserve">25 </w:t>
            </w:r>
            <w:proofErr w:type="spellStart"/>
            <w:r>
              <w:t>травня</w:t>
            </w:r>
            <w:proofErr w:type="spellEnd"/>
            <w:r>
              <w:t xml:space="preserve"> 2022р., англійською мовою; Досьє досліджуваного лікарського засобу ібрутинібу, редакція 9.0 від 31 січня 2022р., англійською мовою; Виробник досліджуваного лікарського засобу Abbvie Deutschland GmbH &amp; Co. KG, </w:t>
            </w:r>
            <w:proofErr w:type="spellStart"/>
            <w:r>
              <w:t>Germany</w:t>
            </w:r>
            <w:proofErr w:type="spellEnd"/>
            <w:r>
              <w:t xml:space="preserve">; </w:t>
            </w:r>
            <w:proofErr w:type="spellStart"/>
            <w:r>
              <w:t>Виробник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r w:rsidR="00006E4D" w:rsidRPr="00006E4D">
              <w:t xml:space="preserve">  </w:t>
            </w: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United States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523FF8">
            <w:pPr>
              <w:jc w:val="both"/>
            </w:pPr>
            <w:r>
              <w:t>―</w:t>
            </w:r>
          </w:p>
          <w:p w:rsidR="00523FF8" w:rsidRDefault="00523FF8">
            <w:pPr>
              <w:jc w:val="both"/>
            </w:pP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«Відкрите продовжене дослідження у пацієнтів віком 65 років і старше з хронічним лімфоцитарним лейкозом (ХЛЛ) або дрібноклітинною лімфоцитарною лімфомою (ДЛЛ), які брали участь у дослідженні PCYC-1115-CA (ібрутиніб у порівнянні </w:t>
            </w:r>
            <w:r w:rsidR="00523FF8">
              <w:t>з хлорамбуцилом)», PCYC-1116-CA</w:t>
            </w:r>
            <w:r>
              <w:t xml:space="preserve">, версія з поправкою 3 від 12 липня 2018 р. 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Pharmacyclics</w:t>
            </w:r>
            <w:proofErr w:type="spellEnd"/>
            <w:r>
              <w:t>, LLC, USA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A359B6">
        <w:rPr>
          <w:lang w:val="uk-UA"/>
        </w:rPr>
        <w:t xml:space="preserve"> </w:t>
      </w:r>
    </w:p>
    <w:p w:rsidR="00C07C75" w:rsidRDefault="00C07C75" w:rsidP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CT-P39, Розділ «Якість», версія 5.1, англійською мовою; Досьє плацебо до досліджуваного лікарського засобу CT-P39, Розділ «Якість», версія 2.1, англійською мовою; подовження терміну придатності ДЛЗ CT-P39 (розчин для ін’єкції у попередньо заповненому шприці, 150 мг) та відповідного плацебо до 24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2674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CT-P39 і Ксолар у пацієнтів із хронічною спонтанною кропив’янкою, у яких зберігаються симптоми, незважаючи на лікування H1-антигістамінними препаратами», CT-P39 3.1, версія 2.3 від 10 серпня 2021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 w:rsidRPr="00523FF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Pr="00006E4D" w:rsidRDefault="00A359B6">
            <w:pPr>
              <w:jc w:val="both"/>
              <w:rPr>
                <w:lang w:val="en-US"/>
              </w:rPr>
            </w:pPr>
            <w:r w:rsidRPr="00006E4D">
              <w:rPr>
                <w:lang w:val="en-US"/>
              </w:rPr>
              <w:t>CELLTRION, Inc., Republic of Korea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3 від 02 лютого 2022 р.; Форма інформованої згоди, версія 3.0 для України українською та російською мовами від 21 лютого 2022 р. На основі майстер-версії форми інформованої згоди для дослідження BP42772, версія 4 від 16 лютого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1326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«Рандомізоване, сліпе, контрольоване активним препаратом дослідження фази II, що проводиться у трьох групах, застосування препарату RO7121661, PD1-TIM3 біспецифічного антитіла, та RO7247669, PD1-LAG3 біспецифічного антитіла, у порівнянні з ніволумабом у пацієнтів із поширеною або метастатичною плоскоклітинною карциномою стравоходу», BP42772, версія 2 від 21 вересня 2021 р.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Подовження тривалості клінічного випробування в Україні до 31 грудня 2022 року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1465 </w:t>
            </w:r>
            <w:proofErr w:type="spellStart"/>
            <w:r>
              <w:t>від</w:t>
            </w:r>
            <w:proofErr w:type="spellEnd"/>
            <w:r>
              <w:t xml:space="preserve"> 08.08.2018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«Проспективне рандомізоване багатоцентрове відкрите порівняльне дослідження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комбінації азтреонам-авібактам (ATM-AVI) ±метронідазол (MTZ) у порівнянні з меропенем±колістин (MER±COL)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метало-бета-лактамазу (MBL), для яких варіанти лікування обмежені або відсутні», С3601002, з поправкою 1 від 05 липня 2018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</w:t>
            </w:r>
            <w:proofErr w:type="spellStart"/>
            <w:r>
              <w:t>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.», США / </w:t>
            </w:r>
            <w:proofErr w:type="spellStart"/>
            <w:r>
              <w:t>Pfizer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A359B6">
        <w:rPr>
          <w:lang w:val="uk-UA"/>
        </w:rPr>
        <w:t xml:space="preserve"> 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Інформаційний листок для батьків – оновлення інформації щодо конфіденційності для дистанційної перевірки інформації з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, </w:t>
            </w:r>
            <w:proofErr w:type="spellStart"/>
            <w:r>
              <w:t>майстер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006E4D" w:rsidRPr="00006E4D">
              <w:t xml:space="preserve">                 </w:t>
            </w:r>
            <w:r>
              <w:t xml:space="preserve">2022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1773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захворюваннями», NORM-01, версія 04 від 23 серпня 2021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ТОВ «</w:t>
            </w:r>
            <w:proofErr w:type="spellStart"/>
            <w:r>
              <w:t>Прем’єр</w:t>
            </w:r>
            <w:proofErr w:type="spellEnd"/>
            <w:r>
              <w:t xml:space="preserve"> </w:t>
            </w:r>
            <w:proofErr w:type="spellStart"/>
            <w:r>
              <w:t>Ресерч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</w:t>
            </w:r>
            <w:proofErr w:type="spellStart"/>
            <w:r>
              <w:t>Октафарма</w:t>
            </w:r>
            <w:proofErr w:type="spellEnd"/>
            <w:r>
              <w:t xml:space="preserve"> Фармацевтика </w:t>
            </w:r>
            <w:proofErr w:type="spellStart"/>
            <w:r>
              <w:t>ПродуктіонсҐес</w:t>
            </w:r>
            <w:proofErr w:type="spellEnd"/>
            <w:r>
              <w:t xml:space="preserve"> </w:t>
            </w:r>
            <w:proofErr w:type="spellStart"/>
            <w:r>
              <w:t>м.б.Х</w:t>
            </w:r>
            <w:proofErr w:type="spellEnd"/>
            <w:r>
              <w:t>» (</w:t>
            </w:r>
            <w:proofErr w:type="spellStart"/>
            <w:r>
              <w:t>Octapharma</w:t>
            </w:r>
            <w:proofErr w:type="spellEnd"/>
            <w:r>
              <w:t xml:space="preserve"> </w:t>
            </w:r>
            <w:proofErr w:type="spellStart"/>
            <w:r>
              <w:t>Pharmazeutika</w:t>
            </w:r>
            <w:proofErr w:type="spellEnd"/>
            <w:r>
              <w:t xml:space="preserve"> </w:t>
            </w:r>
            <w:proofErr w:type="spellStart"/>
            <w:r>
              <w:t>Produktionsges.m.b.H</w:t>
            </w:r>
            <w:proofErr w:type="spellEnd"/>
            <w:r>
              <w:t xml:space="preserve">.), </w:t>
            </w:r>
            <w:proofErr w:type="spellStart"/>
            <w:r>
              <w:t>Австрія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Додаток до протоколу клінічного дослідження 67652000PCR3002: Керівництво з проведення клінічного дослідження під час великого потрясіння від 01.06.2022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2777 </w:t>
            </w:r>
            <w:proofErr w:type="spellStart"/>
            <w:r>
              <w:t>від</w:t>
            </w:r>
            <w:proofErr w:type="spellEnd"/>
            <w:r>
              <w:t xml:space="preserve"> 02.12.2020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«Рандомізоване, плацебо-контрольоване,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(mCSPC) зі шкідливою гермінальною або соматичною мутацією генів, що відповідають за репарацію шляхом гомологічної рекомбінації (HRR)», 67652000PCR3002, з Поправкою 2 від 25.10.2021 р.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Поправка до досьє досліджуваного лікарського засобу GDC-0077 (RO7113755), версія від березня 2022 р.; Додаток 1, версія від травня 2022 р., до брошури дослідника для GDC-0077 (RO7113755), версія 6 від серпня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1143 </w:t>
            </w:r>
            <w:proofErr w:type="spellStart"/>
            <w:r>
              <w:t>від</w:t>
            </w:r>
            <w:proofErr w:type="spellEnd"/>
            <w:r>
              <w:t xml:space="preserve"> 15.05.2020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«РАНДОМІЗОВАНЕ, ПОДВІЙНЕ СЛІПЕ, ПЛАЦЕБО-КОНТРОЛЬОВАНЕ ДОСЛІДЖЕННЯ ФАЗИ III З ОЦІНКИ ЕФЕКТИВНОСТІ ТА БЕЗПЕЧНОСТІ КОМБІНАЦІЇ GDC-0077 З ПАЛБОЦИКЛІБОМ ТА ФУЛВЕСТРАНТОМ У ПОРІВНЯННІ З КОМБІНАЦІЄЮ ПЛАЦЕБО З ПАЛБОЦИКЛІБОМ ТА ФУЛВЕСТРАНТОМ У ПАЦІЄНТІВ З МУТАЦІЄЮ ГЕНА PIK3CA, ГОРМОН-РЕЦЕПТОР-ПОЗИТИВНИМ, HER2-НЕГАТИВНИМ МІСЦЕВО-ПОШИРЕНИМ АБО МЕТАСТАТИЧНИМ РАКОМ МОЛОЧНОЇ ЗАЛОЗИ», WO41554, версія 4 від 03 листопада 2020 р.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Оновлена Брошура </w:t>
            </w:r>
            <w:proofErr w:type="spellStart"/>
            <w:r>
              <w:t>дослідника</w:t>
            </w:r>
            <w:proofErr w:type="spellEnd"/>
            <w:r>
              <w:t xml:space="preserve"> з препарату </w:t>
            </w:r>
            <w:proofErr w:type="spellStart"/>
            <w:r>
              <w:t>Занубрутініб</w:t>
            </w:r>
            <w:proofErr w:type="spellEnd"/>
            <w:r>
              <w:t xml:space="preserve"> (BGB-3111), </w:t>
            </w:r>
            <w:proofErr w:type="spellStart"/>
            <w:r>
              <w:t>видання</w:t>
            </w:r>
            <w:proofErr w:type="spellEnd"/>
            <w:r>
              <w:t xml:space="preserve"> 9.1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січня</w:t>
            </w:r>
            <w:proofErr w:type="spellEnd"/>
            <w:r>
              <w:t xml:space="preserve"> </w:t>
            </w:r>
            <w:r w:rsidR="00006E4D" w:rsidRPr="00006E4D">
              <w:t xml:space="preserve">            </w:t>
            </w:r>
            <w:r>
              <w:t xml:space="preserve">2022 року; </w:t>
            </w:r>
            <w:proofErr w:type="spellStart"/>
            <w:r>
              <w:t>Інформаційний</w:t>
            </w:r>
            <w:proofErr w:type="spellEnd"/>
            <w:r>
              <w:t xml:space="preserve"> листок </w:t>
            </w:r>
            <w:proofErr w:type="spellStart"/>
            <w:r>
              <w:t>пацієнта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, версія 4.0 від 25 березня 2022 року, англійською мовою; Інформаційний листок пацієнта та Форма інформованої згоди для України, версія 4.0 від 25 березня 2022 року. Перекладено українською мовою для України 09 травня 2022 року; Інформаційний листок пацієнта та Форма інформованої згоди для України, версія 4.0 від 25 березня 2022 року. </w:t>
            </w:r>
            <w:proofErr w:type="spellStart"/>
            <w:r>
              <w:t>Перекладено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11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006E4D" w:rsidRPr="00006E4D">
              <w:t xml:space="preserve">                  </w:t>
            </w:r>
            <w:r>
              <w:t xml:space="preserve">2022 року; </w:t>
            </w:r>
            <w:proofErr w:type="spellStart"/>
            <w:r>
              <w:t>Додаткова</w:t>
            </w:r>
            <w:proofErr w:type="spellEnd"/>
            <w:r>
              <w:t xml:space="preserve">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 - </w:t>
            </w:r>
            <w:proofErr w:type="spellStart"/>
            <w:r>
              <w:t>Відмова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від участі в дослідженні, версія 1.0 від 25 березня 2022 року, англійською мовою; Додаткова Форма інформованої згоди для України - Відмова пацієнта від участі в дослідженні, версія 1.0 від 25 березня 2022 року. Перекладено українською мовою для України 09 травня 2022 року; Додаткова Форма інформованої згоди для України - Відмова пацієнта від участі в дослідженні, версія 1.0 від 25 березня 2022 року. Перекладено російською мовою для України 11 травня 2022 року;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року, англійською мовою;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року. Перекладено українською мовою для України 09 травня 2022 року;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року. Перекладено російською мовою для України 11 травня 2022 року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3A0E6E" w:rsidRDefault="003A0E6E" w:rsidP="003A0E6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</w:t>
      </w:r>
      <w:r w:rsidRPr="003A0E6E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         продовження додатка 9</w:t>
      </w:r>
    </w:p>
    <w:p w:rsidR="003A0E6E" w:rsidRDefault="003A0E6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1246 </w:t>
            </w:r>
            <w:proofErr w:type="spellStart"/>
            <w:r>
              <w:t>від</w:t>
            </w:r>
            <w:proofErr w:type="spellEnd"/>
            <w:r>
              <w:t xml:space="preserve"> 26.05.2020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«Рандомізоване, відкрите, багатоцентрове дослідження фази 3 для вивчення комбінації занубрутінібу (BGB-3111)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BGB-3111-306, версія з поправкою 2.0 від 16 грудня 2020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«ЛАБКОРП КЛІНІКАЛ ДЕВЕЛОПМЕНТ УКРАЇНА»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БейДжен</w:t>
            </w:r>
            <w:proofErr w:type="spellEnd"/>
            <w:r>
              <w:t xml:space="preserve"> Лтд [</w:t>
            </w:r>
            <w:proofErr w:type="spellStart"/>
            <w:r>
              <w:t>BeiGene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>], США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A359B6">
        <w:rPr>
          <w:lang w:val="uk-UA"/>
        </w:rPr>
        <w:t xml:space="preserve"> 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Брошура дослідника Lenvatinib (Е7080), видання 19 від 23 травня 2022 року, англійською мовою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4D" w:rsidRDefault="00006E4D">
            <w:pPr>
              <w:jc w:val="both"/>
            </w:pPr>
            <w:r>
              <w:t xml:space="preserve">№ 1143 </w:t>
            </w:r>
            <w:proofErr w:type="spellStart"/>
            <w:r>
              <w:t>від</w:t>
            </w:r>
            <w:proofErr w:type="spellEnd"/>
            <w:r>
              <w:t xml:space="preserve"> 15.05.2020</w:t>
            </w:r>
          </w:p>
          <w:p w:rsidR="00C77861" w:rsidRDefault="00C77861" w:rsidP="00C77861">
            <w:pPr>
              <w:jc w:val="both"/>
            </w:pPr>
            <w:r>
              <w:t xml:space="preserve">№ 187 </w:t>
            </w:r>
            <w:proofErr w:type="spellStart"/>
            <w:r>
              <w:t>від</w:t>
            </w:r>
            <w:proofErr w:type="spellEnd"/>
            <w:r>
              <w:t xml:space="preserve"> 05.02.2021</w:t>
            </w:r>
          </w:p>
          <w:p w:rsidR="00C77861" w:rsidRDefault="00C77861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  <w:p w:rsidR="00C77861" w:rsidRDefault="00006E4D">
            <w:pPr>
              <w:jc w:val="both"/>
            </w:pPr>
            <w:r>
              <w:t xml:space="preserve">№ 1586 </w:t>
            </w:r>
            <w:proofErr w:type="spellStart"/>
            <w:r>
              <w:t>від</w:t>
            </w:r>
            <w:proofErr w:type="spellEnd"/>
            <w:r>
              <w:t xml:space="preserve"> 29.07.2021</w:t>
            </w:r>
          </w:p>
          <w:p w:rsidR="00006E4D" w:rsidRDefault="00006E4D">
            <w:pPr>
              <w:jc w:val="both"/>
            </w:pPr>
            <w:r>
              <w:t xml:space="preserve">№ 2237 </w:t>
            </w:r>
            <w:proofErr w:type="spellStart"/>
            <w:r>
              <w:t>від</w:t>
            </w:r>
            <w:proofErr w:type="spellEnd"/>
            <w:r>
              <w:t xml:space="preserve"> 18.10.2021</w:t>
            </w:r>
          </w:p>
          <w:p w:rsidR="009975B4" w:rsidRDefault="00C77861">
            <w:pPr>
              <w:jc w:val="both"/>
            </w:pPr>
            <w:r>
              <w:t xml:space="preserve">№ 727 </w:t>
            </w:r>
            <w:proofErr w:type="spellStart"/>
            <w:r>
              <w:t>від</w:t>
            </w:r>
            <w:proofErr w:type="spellEnd"/>
            <w:r>
              <w:t xml:space="preserve"> 04.04.2019</w:t>
            </w:r>
          </w:p>
        </w:tc>
      </w:tr>
      <w:tr w:rsidR="009975B4" w:rsidTr="003A0E6E">
        <w:trPr>
          <w:trHeight w:val="43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4D" w:rsidRDefault="00A359B6">
            <w:pPr>
              <w:jc w:val="both"/>
            </w:pPr>
            <w:r>
              <w:t xml:space="preserve">«Багатоцентрове,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ленватинібу (E7080/MK-7902) з пембролізумабом (MK-3475) у поєднанні з трансартеріальною хіміоемболізацією (TACE) порівняно з проведенням тільки TACE у учасників з невиліковною / неметастатичною гепатоцелюлярною карциномою (LEAP-012)», MK-7902-012, з інкорпорованою поправкою 03 від 28 травня 2021 року; «Відкрите клінічне дослідження II фази, що проводиться в одній групі для оцінки пембролізумабу в комбінації з ленватинібом в якості першої лінії лікування в учасників з розповсюдженою / метастатичною несвітлоклітинною нирково-клітинною карциномою нирки (нскНККН) (KEYNOTE-B61)», MK-3475-B61, з інкорпорованою поправкою 02 від 25 серпня 2021 року; </w:t>
            </w:r>
          </w:p>
          <w:p w:rsidR="00006E4D" w:rsidRDefault="00A359B6">
            <w:pPr>
              <w:jc w:val="both"/>
            </w:pPr>
            <w:r>
              <w:t>«</w:t>
            </w:r>
            <w:proofErr w:type="spellStart"/>
            <w:r>
              <w:t>Відкрите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MK-6482-012, з інкорпорованою поправкою 03 від 10 грудня 2021 року; </w:t>
            </w:r>
          </w:p>
          <w:p w:rsidR="009975B4" w:rsidRDefault="00A359B6" w:rsidP="003A0E6E">
            <w:pPr>
              <w:jc w:val="both"/>
            </w:pPr>
            <w:r>
              <w:t>«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/ІІ </w:t>
            </w:r>
            <w:proofErr w:type="spellStart"/>
            <w:r>
              <w:t>фази</w:t>
            </w:r>
            <w:proofErr w:type="spellEnd"/>
            <w:r>
              <w:t xml:space="preserve"> </w:t>
            </w:r>
            <w:proofErr w:type="spellStart"/>
            <w:r>
              <w:t>комбінованої</w:t>
            </w:r>
            <w:proofErr w:type="spellEnd"/>
            <w:r>
              <w:t xml:space="preserve"> терапії з пембролізумабом (МК-3475) при лікуванні </w:t>
            </w:r>
            <w:proofErr w:type="spellStart"/>
            <w:r>
              <w:t>метастатичного</w:t>
            </w:r>
            <w:proofErr w:type="spellEnd"/>
            <w:r>
              <w:t xml:space="preserve"> </w:t>
            </w:r>
            <w:proofErr w:type="spellStart"/>
            <w:r>
              <w:t>кастраційно</w:t>
            </w:r>
            <w:proofErr w:type="spellEnd"/>
            <w:r>
              <w:t xml:space="preserve">-резистентного раку </w:t>
            </w:r>
            <w:proofErr w:type="spellStart"/>
            <w:r>
              <w:t>передміхурової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 (</w:t>
            </w:r>
            <w:proofErr w:type="spellStart"/>
            <w:r>
              <w:t>мКРРПЗ</w:t>
            </w:r>
            <w:proofErr w:type="spellEnd"/>
            <w:r>
              <w:t>) (KEYNOTE-</w:t>
            </w:r>
          </w:p>
        </w:tc>
      </w:tr>
    </w:tbl>
    <w:p w:rsidR="003A0E6E" w:rsidRDefault="003A0E6E" w:rsidP="003A0E6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</w:t>
      </w:r>
      <w:r w:rsidRPr="003A0E6E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         продовження додатка 10</w:t>
      </w:r>
    </w:p>
    <w:p w:rsidR="003A0E6E" w:rsidRDefault="003A0E6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A0E6E">
        <w:trPr>
          <w:trHeight w:val="251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E" w:rsidRDefault="003A0E6E" w:rsidP="003A0E6E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E" w:rsidRDefault="003A0E6E">
            <w:pPr>
              <w:jc w:val="both"/>
            </w:pPr>
            <w:r>
              <w:t xml:space="preserve">365)», MK-3475-365, </w:t>
            </w:r>
            <w:proofErr w:type="spellStart"/>
            <w:r>
              <w:t>версія</w:t>
            </w:r>
            <w:proofErr w:type="spellEnd"/>
            <w:r>
              <w:t xml:space="preserve">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12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березня</w:t>
            </w:r>
            <w:proofErr w:type="spellEnd"/>
            <w:r>
              <w:t xml:space="preserve"> 2022 року;</w:t>
            </w:r>
          </w:p>
          <w:p w:rsidR="003A0E6E" w:rsidRDefault="003A0E6E" w:rsidP="003A0E6E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ІІІ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пембролізумабу</w:t>
            </w:r>
            <w:proofErr w:type="spellEnd"/>
            <w:r>
              <w:t xml:space="preserve"> (MK-3475) у </w:t>
            </w:r>
            <w:proofErr w:type="spellStart"/>
            <w:r>
              <w:t>комбінації</w:t>
            </w:r>
            <w:proofErr w:type="spellEnd"/>
            <w:r>
              <w:t xml:space="preserve"> з </w:t>
            </w:r>
            <w:proofErr w:type="spellStart"/>
            <w:r>
              <w:t>ленватинібом</w:t>
            </w:r>
            <w:proofErr w:type="spellEnd"/>
            <w:r>
              <w:t xml:space="preserve"> (E7080/MK-7902) і </w:t>
            </w:r>
            <w:proofErr w:type="spellStart"/>
            <w:r>
              <w:t>хіміотерапією</w:t>
            </w:r>
            <w:proofErr w:type="spellEnd"/>
            <w:r>
              <w:t xml:space="preserve"> </w:t>
            </w:r>
            <w:proofErr w:type="spellStart"/>
            <w:r>
              <w:t>порівняно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стандартним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з </w:t>
            </w:r>
            <w:proofErr w:type="spellStart"/>
            <w:r>
              <w:t>метастатичною</w:t>
            </w:r>
            <w:proofErr w:type="spellEnd"/>
            <w:r>
              <w:t xml:space="preserve"> карциномою </w:t>
            </w:r>
            <w:proofErr w:type="spellStart"/>
            <w:r>
              <w:t>стравоходу</w:t>
            </w:r>
            <w:proofErr w:type="spellEnd"/>
            <w:r>
              <w:t xml:space="preserve">», MK-7902-014 (E7080-G000-320),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05 </w:t>
            </w:r>
            <w:proofErr w:type="spellStart"/>
            <w:r>
              <w:t>від</w:t>
            </w:r>
            <w:proofErr w:type="spellEnd"/>
            <w:r>
              <w:t xml:space="preserve"> 01 </w:t>
            </w:r>
            <w:proofErr w:type="spellStart"/>
            <w:r>
              <w:t>березня</w:t>
            </w:r>
            <w:proofErr w:type="spellEnd"/>
            <w:r>
              <w:t xml:space="preserve"> 2022 року; «</w:t>
            </w:r>
            <w:proofErr w:type="spellStart"/>
            <w:r>
              <w:t>Рандомізоване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ІІІ </w:t>
            </w:r>
            <w:proofErr w:type="spellStart"/>
            <w:r>
              <w:t>фази</w:t>
            </w:r>
            <w:proofErr w:type="spellEnd"/>
            <w:r>
              <w:t xml:space="preserve"> </w:t>
            </w:r>
            <w:proofErr w:type="spellStart"/>
            <w:r>
              <w:t>комбінації</w:t>
            </w:r>
            <w:proofErr w:type="spellEnd"/>
            <w:r>
              <w:t xml:space="preserve"> </w:t>
            </w:r>
            <w:proofErr w:type="spellStart"/>
            <w:r>
              <w:t>пембролізумабу</w:t>
            </w:r>
            <w:proofErr w:type="spellEnd"/>
            <w:r>
              <w:t xml:space="preserve"> (MK-3475) з </w:t>
            </w:r>
            <w:proofErr w:type="spellStart"/>
            <w:r>
              <w:t>або</w:t>
            </w:r>
            <w:proofErr w:type="spellEnd"/>
            <w:r>
              <w:t xml:space="preserve"> без </w:t>
            </w:r>
            <w:proofErr w:type="spellStart"/>
            <w:r>
              <w:t>ленватиніба</w:t>
            </w:r>
            <w:proofErr w:type="spellEnd"/>
            <w:r>
              <w:t xml:space="preserve"> (Е7080/МК-7902) у </w:t>
            </w:r>
            <w:proofErr w:type="spellStart"/>
            <w:r>
              <w:t>раніше</w:t>
            </w:r>
            <w:proofErr w:type="spellEnd"/>
            <w:r>
              <w:t xml:space="preserve"> </w:t>
            </w:r>
            <w:proofErr w:type="spellStart"/>
            <w:r>
              <w:t>нелікованих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легень</w:t>
            </w:r>
            <w:proofErr w:type="spellEnd"/>
            <w:r>
              <w:t xml:space="preserve"> (НДКРЛ) з </w:t>
            </w:r>
            <w:proofErr w:type="spellStart"/>
            <w:r>
              <w:t>показником</w:t>
            </w:r>
            <w:proofErr w:type="spellEnd"/>
            <w:r>
              <w:t xml:space="preserve"> </w:t>
            </w:r>
            <w:proofErr w:type="spellStart"/>
            <w:r>
              <w:t>пропорції</w:t>
            </w:r>
            <w:proofErr w:type="spellEnd"/>
            <w:r>
              <w:t xml:space="preserve"> </w:t>
            </w:r>
            <w:proofErr w:type="spellStart"/>
            <w:r>
              <w:t>пухлини</w:t>
            </w:r>
            <w:proofErr w:type="spellEnd"/>
            <w:r>
              <w:t xml:space="preserve"> (TPS),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дорівнює</w:t>
            </w:r>
            <w:proofErr w:type="spellEnd"/>
            <w:r>
              <w:t xml:space="preserve"> 1% (LEAP-007)», MK-7902-007,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06 </w:t>
            </w:r>
            <w:proofErr w:type="spellStart"/>
            <w:r>
              <w:t>від</w:t>
            </w:r>
            <w:proofErr w:type="spellEnd"/>
            <w:r>
              <w:t xml:space="preserve"> 15 вересня 2021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Оновлена Брошура дослідника (Cemiplimab (REGN2810)), версія 09 від 21 квітня 2022 р., англійською мовою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1808 </w:t>
            </w:r>
            <w:proofErr w:type="spellStart"/>
            <w:r>
              <w:t>від</w:t>
            </w:r>
            <w:proofErr w:type="spellEnd"/>
            <w:r>
              <w:t xml:space="preserve"> 04.10.2018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</w:t>
            </w:r>
            <w:proofErr w:type="spellStart"/>
            <w:r>
              <w:t>фази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частин</w:t>
            </w:r>
            <w:proofErr w:type="spellEnd"/>
            <w:r>
              <w:t xml:space="preserve">, </w:t>
            </w:r>
            <w:proofErr w:type="spellStart"/>
            <w:r>
              <w:t>комбінації</w:t>
            </w:r>
            <w:proofErr w:type="spellEnd"/>
            <w:r>
              <w:t xml:space="preserve"> </w:t>
            </w:r>
            <w:proofErr w:type="spellStart"/>
            <w:r>
              <w:t>цеміплімабу</w:t>
            </w:r>
            <w:proofErr w:type="spellEnd"/>
            <w:r>
              <w:t xml:space="preserve"> </w:t>
            </w:r>
            <w:r w:rsidR="00006E4D" w:rsidRPr="00006E4D">
              <w:t xml:space="preserve">               </w:t>
            </w:r>
            <w:r>
              <w:t xml:space="preserve">(анти- PD-1 </w:t>
            </w:r>
            <w:proofErr w:type="spellStart"/>
            <w:r>
              <w:t>антитіла</w:t>
            </w:r>
            <w:proofErr w:type="spellEnd"/>
            <w:r>
              <w:t xml:space="preserve">) та </w:t>
            </w:r>
            <w:proofErr w:type="spellStart"/>
            <w:r>
              <w:t>двокомпонентної</w:t>
            </w:r>
            <w:proofErr w:type="spellEnd"/>
            <w:r>
              <w:t xml:space="preserve"> </w:t>
            </w:r>
            <w:proofErr w:type="spellStart"/>
            <w:r>
              <w:t>схеми</w:t>
            </w:r>
            <w:proofErr w:type="spellEnd"/>
            <w:r>
              <w:t xml:space="preserve"> хіміотерапії похідними платини у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пацієнтам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розповсюдженим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</w:t>
            </w:r>
            <w:proofErr w:type="spellStart"/>
            <w:r>
              <w:t>недрібноклітинним</w:t>
            </w:r>
            <w:proofErr w:type="spellEnd"/>
            <w:r>
              <w:t xml:space="preserve"> раком </w:t>
            </w:r>
            <w:proofErr w:type="spellStart"/>
            <w:r>
              <w:t>легень</w:t>
            </w:r>
            <w:proofErr w:type="spellEnd"/>
            <w:r>
              <w:t xml:space="preserve">», </w:t>
            </w:r>
            <w:r w:rsidR="00006E4D" w:rsidRPr="00006E4D">
              <w:t xml:space="preserve">                            </w:t>
            </w:r>
            <w:r>
              <w:t xml:space="preserve">R2810-ONC-16113, з </w:t>
            </w:r>
            <w:proofErr w:type="spellStart"/>
            <w:r>
              <w:t>поправкою</w:t>
            </w:r>
            <w:proofErr w:type="spellEnd"/>
            <w:r>
              <w:t xml:space="preserve"> 5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квітня</w:t>
            </w:r>
            <w:proofErr w:type="spellEnd"/>
            <w:r>
              <w:t xml:space="preserve"> 2020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Regeneron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 xml:space="preserve">., USA/ </w:t>
            </w:r>
            <w:proofErr w:type="spellStart"/>
            <w:r>
              <w:t>Редженерон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Оновлена Брошура дослідника (Cemiplimab (REGN2810)), версія 09 від 21 квітня 2022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у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006E4D" w:rsidRPr="00006E4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9975B4" w:rsidTr="00E40348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E40348" w:rsidRDefault="00E40348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E40348" w:rsidRDefault="00E40348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006E4D" w:rsidTr="00E40348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80d9435b"/>
                    <w:rPr>
                      <w:lang w:val="ru-RU"/>
                    </w:rPr>
                  </w:pPr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Кобзєв</w:t>
                  </w:r>
                  <w:proofErr w:type="spellEnd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О.І. 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   м.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006E4D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Леонова В.В.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      м. </w:t>
                  </w:r>
                  <w:proofErr w:type="spellStart"/>
                  <w:r w:rsidRPr="00006E4D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9975B4" w:rsidRDefault="009975B4">
            <w:pPr>
              <w:rPr>
                <w:rFonts w:asciiTheme="minorHAnsi" w:hAnsiTheme="minorHAnsi"/>
                <w:sz w:val="22"/>
              </w:rPr>
            </w:pP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1050 </w:t>
            </w:r>
            <w:proofErr w:type="spellStart"/>
            <w:r>
              <w:t>від</w:t>
            </w:r>
            <w:proofErr w:type="spellEnd"/>
            <w:r>
              <w:t xml:space="preserve"> 04.09.2017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«Міжнародне, рандомізоване, відкрите дослідження фази 3 для оцінки препарату REGN2810 (антитіла до PD-1) порівняно з хіміотерапією на основі препаратів платини як терапії першої лінії в пацієнтів із розповсюдженим або метастатичним PD-L1-позитивним недрібноклітинним раком легень», R2810-ONC-1624, з інкорпорованою поправкою 9 від 13 травня 2020 р.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Regeneron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 xml:space="preserve">., USA/ </w:t>
            </w:r>
            <w:proofErr w:type="spellStart"/>
            <w:r>
              <w:t>Редженерон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додаткового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Флуоресцеїн</w:t>
            </w:r>
            <w:proofErr w:type="spellEnd"/>
            <w:r>
              <w:t xml:space="preserve"> 10% </w:t>
            </w:r>
            <w:proofErr w:type="spellStart"/>
            <w:r>
              <w:t>розчин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: </w:t>
            </w:r>
            <w:r w:rsidR="00006E4D" w:rsidRPr="00006E4D">
              <w:t xml:space="preserve">               </w:t>
            </w:r>
            <w:proofErr w:type="spellStart"/>
            <w:r>
              <w:t>Alcon</w:t>
            </w:r>
            <w:proofErr w:type="spellEnd"/>
            <w:r>
              <w:t xml:space="preserve"> </w:t>
            </w:r>
            <w:proofErr w:type="spellStart"/>
            <w:r>
              <w:t>Laboratories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1849 </w:t>
            </w:r>
            <w:proofErr w:type="spellStart"/>
            <w:r>
              <w:t>від</w:t>
            </w:r>
            <w:proofErr w:type="spellEnd"/>
            <w:r>
              <w:t xml:space="preserve"> 11.08.2020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Рандомізоване подвійне сліпе багатоцентрове дослідження фази 3 для порівняння ефективності та безпечності препарату FYB203, запропонованого біоаналога афліберсепту, та препарату Айлія® у пацієнтів із неоваскулярною віковою </w:t>
            </w:r>
            <w:r w:rsidR="00006E4D">
              <w:t>макулодистрофією (MAGELLAN-AMD)</w:t>
            </w:r>
            <w:r>
              <w:t>, FYB203-03-01, версія 2.0 від 16 грудня 2019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Bioeq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Pr="00006E4D" w:rsidRDefault="00A359B6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r w:rsidR="00006E4D">
              <w:t xml:space="preserve">в </w:t>
            </w:r>
            <w:proofErr w:type="spellStart"/>
            <w:r w:rsidR="00006E4D">
              <w:t>місці</w:t>
            </w:r>
            <w:proofErr w:type="spellEnd"/>
            <w:r w:rsidR="00006E4D">
              <w:t xml:space="preserve"> </w:t>
            </w:r>
            <w:proofErr w:type="spellStart"/>
            <w:r w:rsidR="00006E4D">
              <w:t>проведення</w:t>
            </w:r>
            <w:proofErr w:type="spellEnd"/>
            <w:r w:rsidR="00006E4D">
              <w:t xml:space="preserve"> </w:t>
            </w:r>
            <w:proofErr w:type="spellStart"/>
            <w:r w:rsidR="00006E4D">
              <w:t>випробування</w:t>
            </w:r>
            <w:proofErr w:type="spellEnd"/>
            <w:r w:rsidR="00006E4D" w:rsidRPr="00006E4D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9975B4" w:rsidTr="001230BF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1230BF" w:rsidRDefault="001230BF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1230BF" w:rsidRDefault="001230BF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006E4D" w:rsidTr="001230BF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95e872d0"/>
                    <w:rPr>
                      <w:lang w:val="ru-RU"/>
                    </w:rPr>
                  </w:pPr>
                  <w:proofErr w:type="spellStart"/>
                  <w:proofErr w:type="gram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зав.від</w:t>
                  </w:r>
                  <w:proofErr w:type="spellEnd"/>
                  <w:proofErr w:type="gram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Кобзєв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О.І.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м.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95e872d0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Леонова В.В.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онкохірургічне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органів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грудної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порожнини</w:t>
                  </w:r>
                  <w:proofErr w:type="spellEnd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        м. </w:t>
                  </w:r>
                  <w:proofErr w:type="spellStart"/>
                  <w:r w:rsidRPr="00006E4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9975B4" w:rsidRDefault="009975B4">
            <w:pPr>
              <w:rPr>
                <w:rFonts w:asciiTheme="minorHAnsi" w:hAnsiTheme="minorHAnsi"/>
                <w:sz w:val="22"/>
              </w:rPr>
            </w:pP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549 </w:t>
            </w:r>
            <w:proofErr w:type="spellStart"/>
            <w:r>
              <w:t>від</w:t>
            </w:r>
            <w:proofErr w:type="spellEnd"/>
            <w:r>
              <w:t xml:space="preserve"> 27.08.2015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«3я фаза, відкрите, рандомізоване дослідження для оцінки ефективності та безпеки препарату Атезолізумаб (ANTI-PD - L1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IB-IIIA стадії», GO29527, версія 10 від 03 лютого 2022 р.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, </w:t>
            </w:r>
            <w:proofErr w:type="spellStart"/>
            <w:r>
              <w:t>Switzerland</w:t>
            </w:r>
            <w:proofErr w:type="spellEnd"/>
            <w:r>
              <w:t xml:space="preserve"> («Ф. </w:t>
            </w:r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Лтд», </w:t>
            </w:r>
            <w:proofErr w:type="spellStart"/>
            <w:r>
              <w:t>Швейцарія</w:t>
            </w:r>
            <w:proofErr w:type="spellEnd"/>
            <w:r>
              <w:t>)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Додаток для України </w:t>
            </w:r>
            <w:proofErr w:type="gramStart"/>
            <w:r>
              <w:t>до протоколу</w:t>
            </w:r>
            <w:proofErr w:type="gramEnd"/>
            <w:r>
              <w:t xml:space="preserve"> клінічного випробування, версія 1 від 11 травня 2022 року англійською мовою; Маркування флакону 10 мл Дурвалумабу (MEDI4736) Концентрату для розчину для інфузії. 50мг/мл (500 мг/флакон), версія 2.0 від 10 вересня 2019р.; Маркування пакування 10 мл Дурвалумабу (MEDI4736) Концентрату для розчину для інфузії. 50мг/мл (500 мг/флакон),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r w:rsidR="00006E4D">
              <w:rPr>
                <w:lang w:val="en-US"/>
              </w:rPr>
              <w:t xml:space="preserve">            </w:t>
            </w:r>
            <w:r>
              <w:t xml:space="preserve">2.0 </w:t>
            </w:r>
            <w:proofErr w:type="spellStart"/>
            <w:r>
              <w:t>від</w:t>
            </w:r>
            <w:proofErr w:type="spellEnd"/>
            <w:r>
              <w:t xml:space="preserve"> 10 вересня 2019р.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1388 </w:t>
            </w:r>
            <w:proofErr w:type="spellStart"/>
            <w:r>
              <w:t>від</w:t>
            </w:r>
            <w:proofErr w:type="spellEnd"/>
            <w:r>
              <w:t xml:space="preserve"> 08.11.2017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«Рандомізоване, відкрите, багатоцентрове дослідження III фази Дурвалумабу та Тремелімумабу в якості першої лінії лікування пацієнтів з поширеним гепатоцелюлярним раком (HIMALAYA)», D419CC00002, версія 7 від 22 вересня 2021 року 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ТОВ «АСТРАЗЕНЕКА УКРАЇНА»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AB, </w:t>
            </w:r>
            <w:proofErr w:type="spellStart"/>
            <w:r>
              <w:t>Sweden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Pr="00006E4D" w:rsidRDefault="00A359B6">
            <w:pPr>
              <w:jc w:val="both"/>
            </w:pPr>
            <w:r>
              <w:t xml:space="preserve">Додаткова інформована згода пацієнта на впровадження екстрених заходів через військову агресію Російської Федерації на території України, версія V1.0UKR(uk)1.0 від 15 червня 2022 року, переклад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 червня 2022 року;</w:t>
            </w:r>
            <w:r w:rsidR="00006E4D" w:rsidRPr="00006E4D">
              <w:t xml:space="preserve"> </w:t>
            </w:r>
            <w:proofErr w:type="spellStart"/>
            <w:r>
              <w:t>Додаткова</w:t>
            </w:r>
            <w:proofErr w:type="spellEnd"/>
            <w:r>
              <w:t xml:space="preserve"> </w:t>
            </w:r>
            <w:proofErr w:type="spellStart"/>
            <w:r>
              <w:t>інформована</w:t>
            </w:r>
            <w:proofErr w:type="spellEnd"/>
            <w:r>
              <w:t xml:space="preserve"> </w:t>
            </w:r>
            <w:proofErr w:type="spellStart"/>
            <w:r>
              <w:t>згода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на впровадження екстрених заходів через військову агресію Російської Федерації на території України, версія V1.0UKR(ru)1.0 від 15 червня 2022 року, переклад </w:t>
            </w:r>
            <w:proofErr w:type="spellStart"/>
            <w:r>
              <w:t>російсько</w:t>
            </w:r>
            <w:r w:rsidR="00006E4D">
              <w:t>ю</w:t>
            </w:r>
            <w:proofErr w:type="spellEnd"/>
            <w:r w:rsidR="00006E4D">
              <w:t xml:space="preserve"> </w:t>
            </w:r>
            <w:proofErr w:type="spellStart"/>
            <w:r w:rsidR="00006E4D">
              <w:t>мовою</w:t>
            </w:r>
            <w:proofErr w:type="spellEnd"/>
            <w:r w:rsidR="00006E4D">
              <w:t xml:space="preserve"> </w:t>
            </w:r>
            <w:proofErr w:type="spellStart"/>
            <w:r w:rsidR="00006E4D">
              <w:t>від</w:t>
            </w:r>
            <w:proofErr w:type="spellEnd"/>
            <w:r w:rsidR="00006E4D">
              <w:t xml:space="preserve"> 30 червня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581 </w:t>
            </w:r>
            <w:proofErr w:type="spellStart"/>
            <w:r>
              <w:t>від</w:t>
            </w:r>
            <w:proofErr w:type="spellEnd"/>
            <w:r>
              <w:t xml:space="preserve"> 31.05.2017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«Застосування пемафібрату для зменшення серцево-судинних ускладнень за рахунок зниження рівня тригліцеридів у пацієнтів із цукровим діабетом», K-877-302, версія 3 з інкорпорованою поправкою 2 від 18 березня 2020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 w:rsidRPr="00523FF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Pr="00006E4D" w:rsidRDefault="00A359B6">
            <w:pPr>
              <w:jc w:val="both"/>
              <w:rPr>
                <w:lang w:val="en-US"/>
              </w:rPr>
            </w:pPr>
            <w:r w:rsidRPr="00006E4D">
              <w:rPr>
                <w:lang w:val="en-US"/>
              </w:rPr>
              <w:t>Kowa Research Institute, Inc., United States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Оновлений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М19-388, </w:t>
            </w:r>
            <w:proofErr w:type="spellStart"/>
            <w:r>
              <w:t>версія</w:t>
            </w:r>
            <w:proofErr w:type="spellEnd"/>
            <w:r>
              <w:t xml:space="preserve"> 5.1 (</w:t>
            </w:r>
            <w:proofErr w:type="spellStart"/>
            <w:r>
              <w:t>тільки</w:t>
            </w:r>
            <w:proofErr w:type="spellEnd"/>
            <w:r>
              <w:t xml:space="preserve"> для </w:t>
            </w:r>
            <w:proofErr w:type="spellStart"/>
            <w:r>
              <w:t>України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06E4D" w:rsidRPr="00006E4D">
              <w:t xml:space="preserve">                        </w:t>
            </w:r>
            <w:r>
              <w:t xml:space="preserve">06 червня 2022 року; </w:t>
            </w:r>
            <w:proofErr w:type="spellStart"/>
            <w:r>
              <w:t>Інформаційний</w:t>
            </w:r>
            <w:proofErr w:type="spellEnd"/>
            <w:r>
              <w:t xml:space="preserve"> лист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дій в умовах пандемії (такої як COVID-19) або інших важливих подій, які впливають на участь у дослідженні [Інформаційний лист для учасника клінічного випробування], версія для України від 26 березня 2022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1118 </w:t>
            </w:r>
            <w:proofErr w:type="spellStart"/>
            <w:r>
              <w:t>від</w:t>
            </w:r>
            <w:proofErr w:type="spellEnd"/>
            <w:r>
              <w:t xml:space="preserve"> 28.06.2022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«Продовжене дослідження венетоклаксу у пацієнтів, які завершили участь у </w:t>
            </w:r>
            <w:proofErr w:type="spellStart"/>
            <w:r>
              <w:t>попередньому</w:t>
            </w:r>
            <w:proofErr w:type="spellEnd"/>
            <w:r>
              <w:t xml:space="preserve">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r>
              <w:t>випр</w:t>
            </w:r>
            <w:r w:rsidR="000F1CD1">
              <w:t>обуванні</w:t>
            </w:r>
            <w:proofErr w:type="spellEnd"/>
            <w:r w:rsidR="000F1CD1">
              <w:t xml:space="preserve"> </w:t>
            </w:r>
            <w:proofErr w:type="spellStart"/>
            <w:r w:rsidR="000F1CD1">
              <w:t>венетоклаксу</w:t>
            </w:r>
            <w:proofErr w:type="spellEnd"/>
            <w:r w:rsidR="000F1CD1">
              <w:t>», М19-388</w:t>
            </w:r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27 вересня 2021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, </w:t>
            </w:r>
            <w:proofErr w:type="spellStart"/>
            <w:r>
              <w:t>Швейцарія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», США / </w:t>
            </w: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9975B4" w:rsidRDefault="00737E0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D910FC00001, версія 4.0 від 12 квітня 2022 року; Брошура дослідника Durvalumab (MEDI4736), видання 17 від 18 жовтня 2021 року, англійською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Додаток</w:t>
            </w:r>
            <w:proofErr w:type="spellEnd"/>
            <w:r>
              <w:t xml:space="preserve"> до </w:t>
            </w:r>
            <w:proofErr w:type="spellStart"/>
            <w:r>
              <w:t>протоколу_Рекомендації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контролю </w:t>
            </w:r>
            <w:proofErr w:type="spellStart"/>
            <w:r>
              <w:t>токсичності</w:t>
            </w:r>
            <w:proofErr w:type="spellEnd"/>
            <w:r>
              <w:t xml:space="preserve"> (</w:t>
            </w:r>
            <w:proofErr w:type="spellStart"/>
            <w:r>
              <w:t>TMGs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06E4D" w:rsidRPr="00006E4D">
              <w:t xml:space="preserve">               </w:t>
            </w:r>
            <w:r>
              <w:t xml:space="preserve">28 </w:t>
            </w:r>
            <w:proofErr w:type="spellStart"/>
            <w:r>
              <w:t>жовтня</w:t>
            </w:r>
            <w:proofErr w:type="spellEnd"/>
            <w:r>
              <w:t xml:space="preserve"> 2021 року, </w:t>
            </w:r>
            <w:proofErr w:type="spellStart"/>
            <w:r>
              <w:t>англійською</w:t>
            </w:r>
            <w:proofErr w:type="spellEnd"/>
            <w:r>
              <w:t xml:space="preserve"> мовою; Інформаційний листок і форма інформованої згоди для пацієнтів, які не отримують лікування або перебувають у періоді подальшого спостереження, версія V8.0UKR(uk)1.0 від 18 березня 2022 року, переклад українською мовою від 30 травня 2022 року;</w:t>
            </w:r>
            <w:r>
              <w:br/>
              <w:t xml:space="preserve">Інформаційний листок і форма інформованої згоди для пацієнтів, які не отримують лікування або перебувають у періоді подальшого спостереження, версія V8.0UKR(ru)1.0 від 18 березня 2022 року, переклад російською мовою від 30 травня 2022 року; Основний інформаційний листок і форма </w:t>
            </w:r>
            <w:proofErr w:type="spellStart"/>
            <w:r>
              <w:t>згоди</w:t>
            </w:r>
            <w:proofErr w:type="spellEnd"/>
            <w:r>
              <w:t xml:space="preserve"> для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отримують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повторне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V7.0UKR(</w:t>
            </w:r>
            <w:proofErr w:type="spellStart"/>
            <w:r>
              <w:t>uk</w:t>
            </w:r>
            <w:proofErr w:type="spellEnd"/>
            <w:r>
              <w:t xml:space="preserve">)1.0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006E4D" w:rsidRPr="00006E4D">
              <w:t xml:space="preserve">                        </w:t>
            </w:r>
            <w:r>
              <w:t xml:space="preserve">18 </w:t>
            </w:r>
            <w:proofErr w:type="spellStart"/>
            <w:r>
              <w:t>березня</w:t>
            </w:r>
            <w:proofErr w:type="spellEnd"/>
            <w:r>
              <w:t xml:space="preserve"> 2022 року, переклад українською мовою від 30 травня 2022 року; Основний інформаційний листок і форма згоди для пацієнтів, які отримують лікування або повторне лікування, версія V7.0UKR(ru)1.0 від 18 березня 2022 року, переклад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006E4D" w:rsidRPr="00006E4D">
              <w:t xml:space="preserve">                     </w:t>
            </w:r>
            <w:r>
              <w:t>2022 року; Модуль «</w:t>
            </w:r>
            <w:proofErr w:type="spellStart"/>
            <w:r>
              <w:t>Якість</w:t>
            </w:r>
            <w:proofErr w:type="spellEnd"/>
            <w:r>
              <w:t xml:space="preserve">»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MEDI4736 </w:t>
            </w:r>
            <w:proofErr w:type="spellStart"/>
            <w:r>
              <w:t>від</w:t>
            </w:r>
            <w:proofErr w:type="spellEnd"/>
            <w:r>
              <w:t xml:space="preserve"> червня </w:t>
            </w:r>
            <w:r w:rsidR="00006E4D" w:rsidRPr="00006E4D">
              <w:t xml:space="preserve">                 </w:t>
            </w:r>
            <w:r>
              <w:t xml:space="preserve">2021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виробника ДЛЗ компанії MedImmune Pharma BV, Netherlands на AstraZeneca Nijmegen B.V., Netherlands; Включення компанії «АстраЗенека АБ» (AstraZeneca AB), Швеція, як додаткової виробничої дільниці; Зразок маркування від 10 вересня 2019 року ДЛЗ флакону Дурвалумабу (MEDI4736) 10 мл, концентрат для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інфузії</w:t>
            </w:r>
            <w:proofErr w:type="spellEnd"/>
            <w:r>
              <w:t xml:space="preserve"> </w:t>
            </w:r>
            <w:r w:rsidR="00006E4D" w:rsidRPr="00006E4D">
              <w:t xml:space="preserve">                      </w:t>
            </w:r>
            <w:r>
              <w:t xml:space="preserve">50 мг/мл (500 мг/флакон), українською мовою; Зразок маркування від 10 вересня 2019 року ДЛЗ коробки Дурвалумабу (MEDI4736) 10 мл, концентрат для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інфузії</w:t>
            </w:r>
            <w:proofErr w:type="spellEnd"/>
            <w:r>
              <w:t xml:space="preserve"> 50 мг/мл </w:t>
            </w:r>
            <w:r w:rsidR="00006E4D" w:rsidRPr="00006E4D">
              <w:t xml:space="preserve">                                </w:t>
            </w:r>
            <w:r>
              <w:t xml:space="preserve">(500 мг/флакон),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</w:tbl>
    <w:p w:rsidR="003A0E6E" w:rsidRDefault="003A0E6E" w:rsidP="003A0E6E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</w:t>
      </w:r>
      <w:r w:rsidRPr="003A0E6E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         продовження додатка 18</w:t>
      </w:r>
    </w:p>
    <w:p w:rsidR="003A0E6E" w:rsidRDefault="003A0E6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2487 </w:t>
            </w:r>
            <w:proofErr w:type="spellStart"/>
            <w:r>
              <w:t>від</w:t>
            </w:r>
            <w:proofErr w:type="spellEnd"/>
            <w:r>
              <w:t xml:space="preserve"> 17.12.2019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>«Відкрите, багатоцентрове, міжнародне дослідження для оцінки довгострокової безпечності та ефективності у пацієнтів, які застосовують або раніше застосовували дурвалумаб за іншими протоколами (WAVE)», D910FC00001, версія 3.0 від 25 вересня 2019 року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AB, </w:t>
            </w:r>
            <w:proofErr w:type="spellStart"/>
            <w:r>
              <w:t>Sweden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9975B4" w:rsidRDefault="003A0E6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код випробування: KVZ-STMh, версія 3.0 від 05.07.2022 р.; зміна місця випробування (біоаналітична лабораторія)</w:t>
            </w:r>
            <w:r w:rsidR="00006E4D" w:rsidRPr="00006E4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9975B4" w:rsidTr="006C374E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6C374E" w:rsidRDefault="006C374E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6C374E" w:rsidRDefault="006C374E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006E4D" w:rsidTr="006C374E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к.б.н.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Лібіна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В.В. 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фармакокінетики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(м.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 ДП «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експертний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f06cd379"/>
                    <w:rPr>
                      <w:b/>
                      <w:lang w:val="ru-RU"/>
                    </w:rPr>
                  </w:pPr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к.б.н., зав.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лабораторією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Сабко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В.Є.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Біоаналітична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ТОВ «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Клінфарм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обл., 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Ірпінь</w:t>
                  </w:r>
                  <w:proofErr w:type="spellEnd"/>
                </w:p>
              </w:tc>
            </w:tr>
          </w:tbl>
          <w:p w:rsidR="009975B4" w:rsidRDefault="009975B4">
            <w:pPr>
              <w:rPr>
                <w:rFonts w:asciiTheme="minorHAnsi" w:hAnsiTheme="minorHAnsi"/>
                <w:sz w:val="22"/>
              </w:rPr>
            </w:pP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2814 </w:t>
            </w:r>
            <w:proofErr w:type="spellStart"/>
            <w:r>
              <w:t>від</w:t>
            </w:r>
            <w:proofErr w:type="spellEnd"/>
            <w:r>
              <w:t xml:space="preserve"> 17.12.2021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«Клінічне випробування з оцінки біоеквівалентності лікарських засобів ТИНОВІЯ М, таблетки, вкриті плівковою оболонкою, по 50 мг / 1000 мг, </w:t>
            </w:r>
            <w:r w:rsidR="00006E4D">
              <w:t xml:space="preserve">виробництва АТ </w:t>
            </w:r>
            <w:r w:rsidR="00006E4D">
              <w:rPr>
                <w:lang w:val="uk-UA"/>
              </w:rPr>
              <w:t>«</w:t>
            </w:r>
            <w:r w:rsidR="00006E4D">
              <w:t>КИЇВСЬКИЙ ВІТАМІННИЙ ЗАВОД</w:t>
            </w:r>
            <w:r w:rsidR="00006E4D">
              <w:rPr>
                <w:lang w:val="uk-UA"/>
              </w:rPr>
              <w:t>»</w:t>
            </w:r>
            <w:r>
              <w:t xml:space="preserve">, </w:t>
            </w:r>
            <w:proofErr w:type="spellStart"/>
            <w:r>
              <w:t>Україна</w:t>
            </w:r>
            <w:proofErr w:type="spellEnd"/>
            <w:r>
              <w:t xml:space="preserve"> та </w:t>
            </w:r>
            <w:proofErr w:type="spellStart"/>
            <w:r>
              <w:t>Янумет</w:t>
            </w:r>
            <w:proofErr w:type="spellEnd"/>
            <w:r>
              <w:t>, таблетки, вкриті плівковою оболонкою, по 50 мг / 1000 мг, виробництва Мерк Шарп і Доум Б.В., Нідерланди в умовах одноразового перорального прийому здоровими добровольцями», KVZ-STMh, версія 2.0 від 28.10.2021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АТ «КИЇВСЬКИЙ ВІТАМІННИЙ ЗАВОД»,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АТ «КИЇВСЬКИЙ ВІТАМІННИЙ ЗАВОД»,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975B4" w:rsidRDefault="00A359B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9975B4" w:rsidRDefault="003A0E6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4CA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4CA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4CA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9975B4" w:rsidRDefault="00C07C75">
      <w:pPr>
        <w:ind w:left="9072"/>
        <w:rPr>
          <w:lang w:val="uk-UA"/>
        </w:rPr>
      </w:pPr>
      <w:r w:rsidRPr="0056726A">
        <w:rPr>
          <w:u w:val="single"/>
          <w:lang w:val="uk-UA"/>
        </w:rPr>
        <w:t>26.07.2022</w:t>
      </w:r>
      <w:r>
        <w:rPr>
          <w:lang w:val="uk-UA"/>
        </w:rPr>
        <w:t xml:space="preserve"> № </w:t>
      </w:r>
      <w:r w:rsidRPr="0056726A">
        <w:rPr>
          <w:u w:val="single"/>
          <w:lang w:val="uk-UA"/>
        </w:rPr>
        <w:t>1321</w:t>
      </w:r>
      <w:bookmarkStart w:id="0" w:name="_GoBack"/>
      <w:bookmarkEnd w:id="0"/>
    </w:p>
    <w:p w:rsidR="009975B4" w:rsidRDefault="009975B4"/>
    <w:p w:rsidR="009975B4" w:rsidRDefault="009975B4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75B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75B4" w:rsidRDefault="00A359B6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код випробування: KVZ-STM, версія 3.0 від 05.07.2022 р.; зміна місця випробування (біоаналітична лабораторія)</w:t>
            </w:r>
            <w:r w:rsidR="00006E4D" w:rsidRPr="00006E4D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9975B4" w:rsidTr="00BC4212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BC4212" w:rsidRDefault="00BC4212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Б</w:t>
                  </w:r>
                  <w:r>
                    <w:rPr>
                      <w:rFonts w:cstheme="minorBidi"/>
                      <w:lang w:val="uk-UA"/>
                    </w:rPr>
                    <w:t>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5B4" w:rsidRPr="00BC4212" w:rsidRDefault="00BC4212">
                  <w:pPr>
                    <w:jc w:val="center"/>
                    <w:rPr>
                      <w:rFonts w:cstheme="minorBidi"/>
                      <w:lang w:val="uk-UA"/>
                    </w:rPr>
                  </w:pPr>
                  <w:r>
                    <w:rPr>
                      <w:rFonts w:cstheme="minorBidi"/>
                    </w:rPr>
                    <w:t>С</w:t>
                  </w:r>
                  <w:r>
                    <w:rPr>
                      <w:rFonts w:cstheme="minorBidi"/>
                      <w:lang w:val="uk-UA"/>
                    </w:rPr>
                    <w:t>ТАЛО</w:t>
                  </w:r>
                </w:p>
              </w:tc>
            </w:tr>
            <w:tr w:rsidR="00006E4D" w:rsidTr="00BC4212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к.б.н.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Лібіна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В.В. 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фармакокінетики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(м.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 ДП «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експертний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4D" w:rsidRPr="00006E4D" w:rsidRDefault="00006E4D" w:rsidP="00006E4D">
                  <w:pPr>
                    <w:pStyle w:val="csf06cd379"/>
                    <w:rPr>
                      <w:b/>
                      <w:lang w:val="ru-RU"/>
                    </w:rPr>
                  </w:pPr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к.б.н., зав.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лабораторією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Сабко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В.Є.</w:t>
                  </w:r>
                </w:p>
                <w:p w:rsidR="00006E4D" w:rsidRPr="00006E4D" w:rsidRDefault="00006E4D" w:rsidP="00006E4D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Біоаналітична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лабораторія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ТОВ «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Клінфарм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обл., м. </w:t>
                  </w:r>
                  <w:proofErr w:type="spellStart"/>
                  <w:r w:rsidRPr="00006E4D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Ірпінь</w:t>
                  </w:r>
                  <w:proofErr w:type="spellEnd"/>
                </w:p>
              </w:tc>
            </w:tr>
          </w:tbl>
          <w:p w:rsidR="009975B4" w:rsidRDefault="009975B4">
            <w:pPr>
              <w:rPr>
                <w:rFonts w:asciiTheme="minorHAnsi" w:hAnsiTheme="minorHAnsi"/>
                <w:sz w:val="22"/>
              </w:rPr>
            </w:pP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№ 2672 </w:t>
            </w:r>
            <w:proofErr w:type="spellStart"/>
            <w:r>
              <w:t>від</w:t>
            </w:r>
            <w:proofErr w:type="spellEnd"/>
            <w:r>
              <w:t xml:space="preserve"> 01.12.2021</w:t>
            </w:r>
          </w:p>
        </w:tc>
      </w:tr>
      <w:tr w:rsidR="009975B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«Клінічне випробування з оцінки біоеквівалентності лікарських засобів ТИНОВІЯ М, таблетки, вкриті плівковою оболонкою, по </w:t>
            </w:r>
            <w:r w:rsidR="00006E4D">
              <w:t xml:space="preserve">50 мг / 500 мг, виробництва АТ </w:t>
            </w:r>
            <w:r w:rsidR="00006E4D">
              <w:rPr>
                <w:lang w:val="uk-UA"/>
              </w:rPr>
              <w:t>«</w:t>
            </w:r>
            <w:r w:rsidR="00006E4D">
              <w:t>КИЇВСЬКИЙ ВІТАМІННИЙ ЗАВОД</w:t>
            </w:r>
            <w:r w:rsidR="00006E4D">
              <w:rPr>
                <w:lang w:val="uk-UA"/>
              </w:rPr>
              <w:t>»</w:t>
            </w:r>
            <w:r>
              <w:t xml:space="preserve">, </w:t>
            </w:r>
            <w:proofErr w:type="spellStart"/>
            <w:r>
              <w:t>Україна</w:t>
            </w:r>
            <w:proofErr w:type="spellEnd"/>
            <w:r>
              <w:t xml:space="preserve"> та </w:t>
            </w:r>
            <w:proofErr w:type="spellStart"/>
            <w:r>
              <w:t>Янумет</w:t>
            </w:r>
            <w:proofErr w:type="spellEnd"/>
            <w:r>
              <w:t>, таблетки, вкриті плівковою оболонкою, по 50 мг / 500 мг, виробництва Мерк Шарп і Доум Б.В., Нідерланди в умовах одноразового перорального прийому здоровими добровольцями», KVZ-STM, версія 2.0 від 28.10.2021</w:t>
            </w:r>
          </w:p>
        </w:tc>
      </w:tr>
      <w:tr w:rsidR="009975B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АТ «КИЇВСЬКИЙ ВІТАМІННИЙ ЗАВОД»,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</w:pPr>
            <w:r>
              <w:t xml:space="preserve">АТ «КИЇВСЬКИЙ ВІТАМІННИЙ ЗАВОД», </w:t>
            </w:r>
            <w:proofErr w:type="spellStart"/>
            <w:r>
              <w:t>Україна</w:t>
            </w:r>
            <w:proofErr w:type="spellEnd"/>
          </w:p>
        </w:tc>
      </w:tr>
      <w:tr w:rsidR="009975B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4" w:rsidRDefault="00A359B6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975B4" w:rsidRDefault="009975B4">
      <w:pPr>
        <w:rPr>
          <w:lang w:val="uk-UA"/>
        </w:rPr>
      </w:pPr>
    </w:p>
    <w:p w:rsidR="009975B4" w:rsidRDefault="00A359B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75B4" w:rsidRDefault="00A359B6" w:rsidP="003A0E6E">
      <w:pPr>
        <w:rPr>
          <w:lang w:val="en-US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9975B4" w:rsidRDefault="009975B4">
      <w:pPr>
        <w:rPr>
          <w:lang w:val="uk-UA"/>
        </w:rPr>
      </w:pPr>
    </w:p>
    <w:sectPr w:rsidR="009975B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B6"/>
    <w:rsid w:val="00006E4D"/>
    <w:rsid w:val="000F1CD1"/>
    <w:rsid w:val="001230BF"/>
    <w:rsid w:val="00380A84"/>
    <w:rsid w:val="003A0E6E"/>
    <w:rsid w:val="00491D22"/>
    <w:rsid w:val="00523FF8"/>
    <w:rsid w:val="0056726A"/>
    <w:rsid w:val="006C374E"/>
    <w:rsid w:val="00737E07"/>
    <w:rsid w:val="008D7C8D"/>
    <w:rsid w:val="009975B4"/>
    <w:rsid w:val="00A359B6"/>
    <w:rsid w:val="00A74CA4"/>
    <w:rsid w:val="00BC4212"/>
    <w:rsid w:val="00C07C75"/>
    <w:rsid w:val="00C77861"/>
    <w:rsid w:val="00D673A4"/>
    <w:rsid w:val="00E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1E317"/>
  <w15:chartTrackingRefBased/>
  <w15:docId w15:val="{388B9D51-C7F3-4CBE-B8A2-48145DE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006E4D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006E4D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2">
    <w:name w:val="cs9b0062612"/>
    <w:basedOn w:val="a0"/>
    <w:rsid w:val="00006E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sid w:val="00006E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006E4D"/>
    <w:rPr>
      <w:rFonts w:eastAsiaTheme="minorEastAsia" w:cs="Times New Roman"/>
      <w:szCs w:val="24"/>
      <w:lang w:val="en-US"/>
    </w:rPr>
  </w:style>
  <w:style w:type="character" w:customStyle="1" w:styleId="cs9f0a404014">
    <w:name w:val="cs9f0a404014"/>
    <w:basedOn w:val="a0"/>
    <w:rsid w:val="00006E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9">
    <w:name w:val="cs9b0062619"/>
    <w:basedOn w:val="a0"/>
    <w:rsid w:val="00006E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24740</Words>
  <Characters>14103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2022-07-27T06:18:00Z</dcterms:created>
  <dcterms:modified xsi:type="dcterms:W3CDTF">2022-07-27T06:20:00Z</dcterms:modified>
</cp:coreProperties>
</file>