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51" w:rsidRDefault="00865A94">
      <w:pPr>
        <w:rPr>
          <w:lang w:val="uk-UA"/>
        </w:rPr>
      </w:pPr>
      <w:r>
        <w:rPr>
          <w:lang w:val="uk-UA"/>
        </w:rPr>
        <w:t xml:space="preserve">                                                                                                                                                       Додаток </w:t>
      </w:r>
      <w:r w:rsidRPr="008325E3">
        <w:t>1</w:t>
      </w:r>
    </w:p>
    <w:p w:rsidR="00070F51" w:rsidRDefault="00865A94" w:rsidP="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682870">
        <w:rPr>
          <w:lang w:val="uk-UA"/>
        </w:rPr>
        <w:t>«</w:t>
      </w:r>
      <w:r w:rsidR="00682870" w:rsidRPr="00682870">
        <w:rPr>
          <w:lang w:val="uk-UA"/>
        </w:rPr>
        <w:t>Про затвердження суттєвих</w:t>
      </w:r>
      <w:r w:rsidR="00682870">
        <w:rPr>
          <w:lang w:val="uk-UA"/>
        </w:rPr>
        <w:t xml:space="preserve"> </w:t>
      </w:r>
      <w:r w:rsidR="00682870" w:rsidRPr="00682870">
        <w:rPr>
          <w:lang w:val="uk-UA"/>
        </w:rPr>
        <w:t>поправок до протоколів</w:t>
      </w:r>
      <w:r w:rsidR="00682870">
        <w:rPr>
          <w:lang w:val="uk-UA"/>
        </w:rPr>
        <w:t xml:space="preserve"> </w:t>
      </w:r>
      <w:r w:rsidR="00682870" w:rsidRPr="00682870">
        <w:rPr>
          <w:lang w:val="uk-UA"/>
        </w:rPr>
        <w:t>клінічних випробувань</w:t>
      </w:r>
      <w:r w:rsidR="00682870">
        <w:rPr>
          <w:lang w:val="uk-UA"/>
        </w:rPr>
        <w:t>»</w:t>
      </w:r>
    </w:p>
    <w:p w:rsidR="00070F51" w:rsidRDefault="00A46798">
      <w:pPr>
        <w:ind w:left="9072"/>
        <w:rPr>
          <w:lang w:val="uk-UA"/>
        </w:rPr>
      </w:pPr>
      <w:r>
        <w:rPr>
          <w:u w:val="single"/>
          <w:lang w:val="uk-UA"/>
        </w:rPr>
        <w:t>20.06.2022</w:t>
      </w:r>
      <w:r w:rsidR="00865A94">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 xml:space="preserve">Оновлений протокол клінічного дослідження CLI-06001AA1-04, версія 4.0 від 18 березня 2022 року; Оновлене Досьє досліджуваного препарату CHF 6001 (NEXThaler®) (код документу CCD-IMPD-6001-003-FAP-0075), версія 7.0 від 09 лютого 2022 р. англійською мовою; Оновлена Брошура дослідника з препарату CHF6001 DPI (код документу CLI-CHF6001-IB-00545), версія 5.0 від </w:t>
            </w:r>
            <w:r w:rsidR="00827BA8" w:rsidRPr="00827BA8">
              <w:t xml:space="preserve">                       </w:t>
            </w:r>
            <w:r>
              <w:t>29 квітня 2022 р., англійською мовою; Інформаційний листок учасника та Форма інформаційної згоди на участь у клінічному дослідженні з кодом CLI-06001AA1-04, дослідження PILASTER, версія 3.0 від 22 квітня 2022 року англійською мовою; Інформаційний листок учасника та Форма інформаційної згоди на участь у клінічному дослідженні з кодом CLI-06001AA1-04, дослідження PILASTER, версія 3.0 від 22 квітня 2022 року українською мовою; Інформаційний листок учасника та Форма інформованої згоди на участь у необов’язковому взятті зразків для додаткової оцінки біомаркерів у клінічному дослідженні з кодом CLI-06001AA1-04, дослідження PILASTER, версія 2.0 від 22 квітня 2022 року англійською мовою; Інформаційний листок учасника та Форма інформованої згоди на участь у необов’язковому взятті зразків для додаткової оцінки біомаркерів у клінічному дослідженні з кодом CLI-06001AA1-04, дослідження PILASTER, версія 2.0 від 22 квітня 2022 року українською мовою; CLI-06001AA1-04_Лист до лікаря загальної практики_В2.0_остаточна майстер-версія від 21 лютого 2022 року англійською мовою; CLI-06001AA1-04_Лист до лікаря загальної практики_В2.0_остаточна майстер-версія від 21 лютого 2022 року українською мовою</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833 від 28.04.2021</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CLI-06001AA1-04, версія 2.0 від 03 травня 2021 року</w:t>
            </w:r>
          </w:p>
        </w:tc>
      </w:tr>
    </w:tbl>
    <w:p w:rsidR="00904921" w:rsidRDefault="00904921">
      <w:r>
        <w:br w:type="page"/>
      </w:r>
    </w:p>
    <w:p w:rsidR="00F23E58" w:rsidRDefault="00F23E58">
      <w:pPr>
        <w:rPr>
          <w:lang w:val="uk-UA"/>
        </w:rPr>
      </w:pPr>
      <w:r>
        <w:rPr>
          <w:lang w:val="uk-UA"/>
        </w:rPr>
        <w:lastRenderedPageBreak/>
        <w:t xml:space="preserve">                                                                                                             2                                                                      продовження додатка 1</w:t>
      </w:r>
    </w:p>
    <w:p w:rsidR="00F23E58" w:rsidRPr="00F23E58" w:rsidRDefault="00F23E58">
      <w:pPr>
        <w:rPr>
          <w:lang w:val="uk-UA"/>
        </w:rPr>
      </w:pPr>
    </w:p>
    <w:tbl>
      <w:tblPr>
        <w:tblStyle w:val="a6"/>
        <w:tblW w:w="0" w:type="auto"/>
        <w:tblInd w:w="0" w:type="dxa"/>
        <w:tblLayout w:type="fixed"/>
        <w:tblLook w:val="04A0" w:firstRow="1" w:lastRow="0" w:firstColumn="1" w:lastColumn="0" w:noHBand="0" w:noVBand="1"/>
      </w:tblPr>
      <w:tblGrid>
        <w:gridCol w:w="2841"/>
        <w:gridCol w:w="10479"/>
      </w:tblGrid>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«ЛАБКОРП КЛІНІКАЛ ДЕВЕЛОПМЕНТ УКРАЇНА»</w:t>
            </w:r>
          </w:p>
        </w:tc>
      </w:tr>
      <w:tr w:rsidR="00070F51" w:rsidRPr="008325E3">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Pr="00682870" w:rsidRDefault="00865A94">
            <w:pPr>
              <w:jc w:val="both"/>
            </w:pPr>
            <w:r>
              <w:t xml:space="preserve">«К’єзі Фармацевтічі С.п.А.» </w:t>
            </w:r>
            <w:r w:rsidRPr="00682870">
              <w:t>[</w:t>
            </w:r>
            <w:r w:rsidRPr="00827BA8">
              <w:rPr>
                <w:lang w:val="en-US"/>
              </w:rPr>
              <w:t>Chiesi</w:t>
            </w:r>
            <w:r w:rsidRPr="00682870">
              <w:t xml:space="preserve"> </w:t>
            </w:r>
            <w:r w:rsidRPr="00827BA8">
              <w:rPr>
                <w:lang w:val="en-US"/>
              </w:rPr>
              <w:t>Farmaceutici</w:t>
            </w:r>
            <w:r w:rsidRPr="00682870">
              <w:t xml:space="preserve"> </w:t>
            </w:r>
            <w:r w:rsidRPr="00827BA8">
              <w:rPr>
                <w:lang w:val="en-US"/>
              </w:rPr>
              <w:t>S</w:t>
            </w:r>
            <w:r w:rsidRPr="00682870">
              <w:t>.</w:t>
            </w:r>
            <w:r w:rsidRPr="00827BA8">
              <w:rPr>
                <w:lang w:val="en-US"/>
              </w:rPr>
              <w:t>p</w:t>
            </w:r>
            <w:r w:rsidRPr="00682870">
              <w:t>.</w:t>
            </w:r>
            <w:r w:rsidRPr="00827BA8">
              <w:rPr>
                <w:lang w:val="en-US"/>
              </w:rPr>
              <w:t>A</w:t>
            </w:r>
            <w:r w:rsidRPr="00682870">
              <w:t xml:space="preserve">.], </w:t>
            </w:r>
            <w:r>
              <w:t>Італія</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865A94">
      <w:pPr>
        <w:rPr>
          <w:lang w:val="uk-UA"/>
        </w:rPr>
      </w:pPr>
      <w:r>
        <w:rPr>
          <w:lang w:val="uk-UA"/>
        </w:rPr>
        <w:lastRenderedPageBreak/>
        <w:t xml:space="preserve">                                                                                                                                                       Додаток </w:t>
      </w:r>
      <w:r>
        <w:rPr>
          <w:lang w:val="en-US"/>
        </w:rPr>
        <w:t>2</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A46798" w:rsidRDefault="00A46798" w:rsidP="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rsidTr="00904921">
        <w:trPr>
          <w:trHeight w:val="639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Pr="00827BA8" w:rsidRDefault="00865A94" w:rsidP="00904921">
            <w:pPr>
              <w:jc w:val="both"/>
            </w:pPr>
            <w:r>
              <w:t>Оновлений протокол клінічного дослідження MS200662_0001, версія 12.0 від 14 грудня 2021 року, англійською мовою;</w:t>
            </w:r>
            <w:r w:rsidR="00827BA8" w:rsidRPr="00827BA8">
              <w:t xml:space="preserve"> </w:t>
            </w:r>
            <w:r>
              <w:t>Поправка для України 11.1 (Додаток) від 13 квітня 2022 року до протоколу клінічного дослідження MS200662_0001, версія 12.0 від 14 грудня 202</w:t>
            </w:r>
            <w:r w:rsidR="00827BA8">
              <w:t xml:space="preserve">1 року, англійською мовою; </w:t>
            </w:r>
            <w:r>
              <w:t xml:space="preserve">Меморандум щодо оновлених критеріїв відповіді, від </w:t>
            </w:r>
            <w:r w:rsidR="00827BA8">
              <w:t xml:space="preserve"> </w:t>
            </w:r>
            <w:r>
              <w:t>07 квітня 2022 року, останній</w:t>
            </w:r>
            <w:r w:rsidR="00827BA8" w:rsidRPr="00827BA8">
              <w:t xml:space="preserve"> </w:t>
            </w:r>
            <w:r>
              <w:t>підпис 08 квітня 2022 року, англійською мовою; Інформація для пацієнта і форма інформованої згоди: MS2006622_0001 ФІЗ для основного дослідження, частина 2, для України, редакція 2.0 від 11 квітня 2022р. (MS200662_0001 Шаблон ФІЗ, редакція 7.0 від 20 грудня 2021р.), українською, російською, англійською мовами; Інформація для вагітної партнерки і Форма згоди на надання інформації: MS200662_0001, ФІЗ для вагітної партнерки, Україна, Версія 2.0, Дата: 29 грудня 2021 р. (MS200662_0001, Версія ФІЗ для вагітної партнерки 5.0, Дата: 09 листопада 2020 р.), українською, російською, англійською мовами; Форма інформованої згоди учасника дослідження на надання послуг з організації поїздок та відшкодування витрат компанією «Ґрінфайр» [Greenphire] в ході проведення клінічного випробування MS200662_0001:</w:t>
            </w:r>
            <w:r w:rsidR="00827BA8" w:rsidRPr="00827BA8">
              <w:t xml:space="preserve"> </w:t>
            </w:r>
            <w:r>
              <w:t>MS200662_0001_ФІЗ Greenphire_Україна_версія 2.0 від 17 лютого 2022 року на основі Greenphire ICF ROW, версія 2.0 від 16 жовтня 2019 року, українською, російською, англійською мовами; Брошура «Чи було у вас діагностовано ХЛЛ або ДЛЛ?», Версія 3, 15 лютого 2022 р., українською, російською, англійською мовами; Інформаційний бюлетень про дослідження для медичних працівників: Версія 3, 15 лютого 2022 р, українською, російською, англійською мовами; Інформаційний лист для учасників дослідження: Україна версія 2 від 16 лютого 2022р. на основі Майстер версії 2 від 15 лютого 2022 р., українською, російською, англійською мовами; Картка пацієнта, на основі Поправки 11, 13 січня 2022 р., українською, російською, англійською мовами; Контрольний перелік для використання перед Скринінгом: Версія 3, 15 лютого 2022 р., українською, російською, англійською мовами; Картка для дослідників із переліком критеріїв включення/невключення згідно Протоколу клінічного</w:t>
            </w:r>
          </w:p>
        </w:tc>
      </w:tr>
    </w:tbl>
    <w:p w:rsidR="00F23E58" w:rsidRDefault="00F23E58" w:rsidP="00F23E58">
      <w:pPr>
        <w:rPr>
          <w:lang w:val="uk-UA"/>
        </w:rPr>
      </w:pPr>
      <w:r>
        <w:br w:type="page"/>
      </w:r>
      <w:r>
        <w:rPr>
          <w:lang w:val="uk-UA"/>
        </w:rPr>
        <w:lastRenderedPageBreak/>
        <w:t xml:space="preserve">                                                                                                             2                                                                      продовження додатка 2</w:t>
      </w:r>
    </w:p>
    <w:p w:rsidR="00F23E58" w:rsidRPr="00F23E58" w:rsidRDefault="00F23E58" w:rsidP="00F23E58">
      <w:pPr>
        <w:rPr>
          <w:lang w:val="uk-UA"/>
        </w:rPr>
      </w:pPr>
    </w:p>
    <w:p w:rsidR="00F23E58" w:rsidRDefault="00F23E58"/>
    <w:tbl>
      <w:tblPr>
        <w:tblStyle w:val="a6"/>
        <w:tblW w:w="0" w:type="auto"/>
        <w:tblInd w:w="0" w:type="dxa"/>
        <w:tblLayout w:type="fixed"/>
        <w:tblLook w:val="04A0" w:firstRow="1" w:lastRow="0" w:firstColumn="1" w:lastColumn="0" w:noHBand="0" w:noVBand="1"/>
      </w:tblPr>
      <w:tblGrid>
        <w:gridCol w:w="2841"/>
        <w:gridCol w:w="10479"/>
      </w:tblGrid>
      <w:tr w:rsidR="00904921">
        <w:trPr>
          <w:trHeight w:val="136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4921" w:rsidRDefault="00904921" w:rsidP="0090492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4921" w:rsidRPr="00827BA8" w:rsidRDefault="00904921" w:rsidP="00904921">
            <w:pPr>
              <w:jc w:val="both"/>
            </w:pPr>
            <w:r>
              <w:t xml:space="preserve"> дослідження MS200662_0001, версія 12.0 від 14 грудня 2021 року, англійською мовою</w:t>
            </w:r>
            <w:r w:rsidRPr="00827BA8">
              <w:t xml:space="preserve">; </w:t>
            </w:r>
            <w:r>
              <w:t>Зміна назви клінічного випробування</w:t>
            </w:r>
            <w:r w:rsidRPr="00827BA8">
              <w:t>:</w:t>
            </w:r>
          </w:p>
          <w:tbl>
            <w:tblPr>
              <w:tblStyle w:val="a6"/>
              <w:tblW w:w="10223" w:type="dxa"/>
              <w:tblInd w:w="0" w:type="dxa"/>
              <w:tblLayout w:type="fixed"/>
              <w:tblLook w:val="04A0" w:firstRow="1" w:lastRow="0" w:firstColumn="1" w:lastColumn="0" w:noHBand="0" w:noVBand="1"/>
            </w:tblPr>
            <w:tblGrid>
              <w:gridCol w:w="5126"/>
              <w:gridCol w:w="5097"/>
            </w:tblGrid>
            <w:tr w:rsidR="00904921" w:rsidTr="008325E3">
              <w:tc>
                <w:tcPr>
                  <w:tcW w:w="5126" w:type="dxa"/>
                </w:tcPr>
                <w:p w:rsidR="00904921" w:rsidRPr="00827BA8" w:rsidRDefault="00904921" w:rsidP="00827BA8">
                  <w:pPr>
                    <w:pStyle w:val="cs2e86d3a6"/>
                    <w:rPr>
                      <w:b/>
                    </w:rPr>
                  </w:pPr>
                  <w:r w:rsidRPr="00827BA8">
                    <w:rPr>
                      <w:rStyle w:val="cs9b006262"/>
                      <w:rFonts w:ascii="Times New Roman" w:hAnsi="Times New Roman" w:cs="Times New Roman"/>
                      <w:b w:val="0"/>
                      <w:sz w:val="24"/>
                      <w:szCs w:val="24"/>
                    </w:rPr>
                    <w:t>БУЛО</w:t>
                  </w:r>
                </w:p>
              </w:tc>
              <w:tc>
                <w:tcPr>
                  <w:tcW w:w="5097" w:type="dxa"/>
                </w:tcPr>
                <w:p w:rsidR="00904921" w:rsidRPr="00827BA8" w:rsidRDefault="00904921" w:rsidP="00827BA8">
                  <w:pPr>
                    <w:pStyle w:val="cs2e86d3a6"/>
                    <w:rPr>
                      <w:b/>
                    </w:rPr>
                  </w:pPr>
                  <w:r w:rsidRPr="00827BA8">
                    <w:rPr>
                      <w:rStyle w:val="cs9b006262"/>
                      <w:rFonts w:ascii="Times New Roman" w:hAnsi="Times New Roman" w:cs="Times New Roman"/>
                      <w:b w:val="0"/>
                      <w:sz w:val="24"/>
                      <w:szCs w:val="24"/>
                    </w:rPr>
                    <w:t>СТАЛО</w:t>
                  </w:r>
                </w:p>
              </w:tc>
            </w:tr>
            <w:tr w:rsidR="00904921" w:rsidTr="008325E3">
              <w:tc>
                <w:tcPr>
                  <w:tcW w:w="5126" w:type="dxa"/>
                </w:tcPr>
                <w:p w:rsidR="00904921" w:rsidRPr="00827BA8" w:rsidRDefault="00904921" w:rsidP="00827BA8">
                  <w:pPr>
                    <w:pStyle w:val="cs80d9435b"/>
                    <w:rPr>
                      <w:lang w:val="ru-RU"/>
                    </w:rPr>
                  </w:pPr>
                  <w:r w:rsidRPr="00827BA8">
                    <w:rPr>
                      <w:rStyle w:val="cs9f0a40402"/>
                      <w:rFonts w:ascii="Times New Roman" w:hAnsi="Times New Roman" w:cs="Times New Roman"/>
                      <w:sz w:val="24"/>
                      <w:szCs w:val="24"/>
                      <w:lang w:val="ru-RU"/>
                    </w:rPr>
                    <w:t xml:space="preserve">«Фаза </w:t>
                  </w:r>
                  <w:r w:rsidRPr="00827BA8">
                    <w:rPr>
                      <w:rStyle w:val="cs9f0a40402"/>
                      <w:rFonts w:ascii="Times New Roman" w:hAnsi="Times New Roman" w:cs="Times New Roman"/>
                      <w:sz w:val="24"/>
                      <w:szCs w:val="24"/>
                    </w:rPr>
                    <w:t>I</w:t>
                  </w:r>
                  <w:r w:rsidRPr="00827BA8">
                    <w:rPr>
                      <w:rStyle w:val="cs9f0a40402"/>
                      <w:rFonts w:ascii="Times New Roman" w:hAnsi="Times New Roman" w:cs="Times New Roman"/>
                      <w:sz w:val="24"/>
                      <w:szCs w:val="24"/>
                      <w:lang w:val="ru-RU"/>
                    </w:rPr>
                    <w:t>/</w:t>
                  </w:r>
                  <w:r w:rsidRPr="00827BA8">
                    <w:rPr>
                      <w:rStyle w:val="cs9f0a40402"/>
                      <w:rFonts w:ascii="Times New Roman" w:hAnsi="Times New Roman" w:cs="Times New Roman"/>
                      <w:sz w:val="24"/>
                      <w:szCs w:val="24"/>
                    </w:rPr>
                    <w:t>II</w:t>
                  </w:r>
                  <w:r w:rsidRPr="00827BA8">
                    <w:rPr>
                      <w:rStyle w:val="cs9f0a40402"/>
                      <w:rFonts w:ascii="Times New Roman" w:hAnsi="Times New Roman" w:cs="Times New Roman"/>
                      <w:sz w:val="24"/>
                      <w:szCs w:val="24"/>
                      <w:lang w:val="ru-RU"/>
                    </w:rPr>
                    <w:t xml:space="preserve">, дослідження першого застосування у людей препарату </w:t>
                  </w:r>
                  <w:r w:rsidRPr="00827BA8">
                    <w:rPr>
                      <w:rStyle w:val="cs9f0a40402"/>
                      <w:rFonts w:ascii="Times New Roman" w:hAnsi="Times New Roman" w:cs="Times New Roman"/>
                      <w:sz w:val="24"/>
                      <w:szCs w:val="24"/>
                    </w:rPr>
                    <w:t>TL</w:t>
                  </w:r>
                  <w:r w:rsidRPr="00827BA8">
                    <w:rPr>
                      <w:rStyle w:val="cs9f0a40402"/>
                      <w:rFonts w:ascii="Times New Roman" w:hAnsi="Times New Roman" w:cs="Times New Roman"/>
                      <w:sz w:val="24"/>
                      <w:szCs w:val="24"/>
                      <w:lang w:val="ru-RU"/>
                    </w:rPr>
                    <w:t xml:space="preserve">-895 з ескалацією дози у пацієнтів з рецидивними/рефрактерними </w:t>
                  </w:r>
                  <w:r w:rsidRPr="00827BA8">
                    <w:rPr>
                      <w:rStyle w:val="cs9f0a40402"/>
                      <w:rFonts w:ascii="Times New Roman" w:hAnsi="Times New Roman" w:cs="Times New Roman"/>
                      <w:sz w:val="24"/>
                      <w:szCs w:val="24"/>
                    </w:rPr>
                    <w:t>B</w:t>
                  </w:r>
                  <w:r w:rsidRPr="00827BA8">
                    <w:rPr>
                      <w:rStyle w:val="cs9f0a40402"/>
                      <w:rFonts w:ascii="Times New Roman" w:hAnsi="Times New Roman" w:cs="Times New Roman"/>
                      <w:sz w:val="24"/>
                      <w:szCs w:val="24"/>
                      <w:lang w:val="ru-RU"/>
                    </w:rPr>
                    <w:t>-клітинними злоякісними захворюваннями та із подальшим застосуванням у пацієнтів з рецидивним/рефрактерним хронічним лімфоцитарним лейкозом або рецидивною/</w:t>
                  </w:r>
                  <w:r w:rsidRPr="00827BA8">
                    <w:rPr>
                      <w:rStyle w:val="cs9f0a40402"/>
                      <w:rFonts w:ascii="Times New Roman" w:hAnsi="Times New Roman" w:cs="Times New Roman"/>
                      <w:sz w:val="24"/>
                      <w:szCs w:val="24"/>
                      <w:lang w:val="uk-UA"/>
                    </w:rPr>
                    <w:t xml:space="preserve"> </w:t>
                  </w:r>
                  <w:r w:rsidRPr="00827BA8">
                    <w:rPr>
                      <w:rStyle w:val="cs9f0a40402"/>
                      <w:rFonts w:ascii="Times New Roman" w:hAnsi="Times New Roman" w:cs="Times New Roman"/>
                      <w:sz w:val="24"/>
                      <w:szCs w:val="24"/>
                      <w:lang w:val="ru-RU"/>
                    </w:rPr>
                    <w:t>рефрактерною дрібноклітинною лімфоцитарною лімфомою»</w:t>
                  </w:r>
                  <w:r w:rsidRPr="00827BA8">
                    <w:rPr>
                      <w:rStyle w:val="cs9b006262"/>
                      <w:rFonts w:ascii="Times New Roman" w:hAnsi="Times New Roman" w:cs="Times New Roman"/>
                      <w:sz w:val="24"/>
                      <w:szCs w:val="24"/>
                      <w:lang w:val="ru-RU"/>
                    </w:rPr>
                    <w:t xml:space="preserve"> </w:t>
                  </w:r>
                </w:p>
              </w:tc>
              <w:tc>
                <w:tcPr>
                  <w:tcW w:w="5097" w:type="dxa"/>
                </w:tcPr>
                <w:p w:rsidR="00904921" w:rsidRPr="00827BA8" w:rsidRDefault="00904921" w:rsidP="00827BA8">
                  <w:pPr>
                    <w:pStyle w:val="cs80d9435b"/>
                    <w:rPr>
                      <w:lang w:val="ru-RU"/>
                    </w:rPr>
                  </w:pPr>
                  <w:r w:rsidRPr="00827BA8">
                    <w:rPr>
                      <w:rStyle w:val="cs9f0a40402"/>
                      <w:rFonts w:ascii="Times New Roman" w:hAnsi="Times New Roman" w:cs="Times New Roman"/>
                      <w:sz w:val="24"/>
                      <w:szCs w:val="24"/>
                      <w:lang w:val="ru-RU"/>
                    </w:rPr>
                    <w:t xml:space="preserve">«Фаза </w:t>
                  </w:r>
                  <w:r w:rsidRPr="00827BA8">
                    <w:rPr>
                      <w:rStyle w:val="cs9f0a40402"/>
                      <w:rFonts w:ascii="Times New Roman" w:hAnsi="Times New Roman" w:cs="Times New Roman"/>
                      <w:sz w:val="24"/>
                      <w:szCs w:val="24"/>
                    </w:rPr>
                    <w:t>I</w:t>
                  </w:r>
                  <w:r w:rsidRPr="00827BA8">
                    <w:rPr>
                      <w:rStyle w:val="cs9f0a40402"/>
                      <w:rFonts w:ascii="Times New Roman" w:hAnsi="Times New Roman" w:cs="Times New Roman"/>
                      <w:sz w:val="24"/>
                      <w:szCs w:val="24"/>
                      <w:lang w:val="ru-RU"/>
                    </w:rPr>
                    <w:t>/</w:t>
                  </w:r>
                  <w:r w:rsidRPr="00827BA8">
                    <w:rPr>
                      <w:rStyle w:val="cs9f0a40402"/>
                      <w:rFonts w:ascii="Times New Roman" w:hAnsi="Times New Roman" w:cs="Times New Roman"/>
                      <w:sz w:val="24"/>
                      <w:szCs w:val="24"/>
                    </w:rPr>
                    <w:t>II</w:t>
                  </w:r>
                  <w:r w:rsidRPr="00827BA8">
                    <w:rPr>
                      <w:rStyle w:val="cs9f0a40402"/>
                      <w:rFonts w:ascii="Times New Roman" w:hAnsi="Times New Roman" w:cs="Times New Roman"/>
                      <w:sz w:val="24"/>
                      <w:szCs w:val="24"/>
                      <w:lang w:val="ru-RU"/>
                    </w:rPr>
                    <w:t xml:space="preserve">, дослідження першого застосування у людей препарату </w:t>
                  </w:r>
                  <w:r w:rsidRPr="00827BA8">
                    <w:rPr>
                      <w:rStyle w:val="cs9f0a40402"/>
                      <w:rFonts w:ascii="Times New Roman" w:hAnsi="Times New Roman" w:cs="Times New Roman"/>
                      <w:sz w:val="24"/>
                      <w:szCs w:val="24"/>
                    </w:rPr>
                    <w:t>TL</w:t>
                  </w:r>
                  <w:r w:rsidRPr="00827BA8">
                    <w:rPr>
                      <w:rStyle w:val="cs9f0a40402"/>
                      <w:rFonts w:ascii="Times New Roman" w:hAnsi="Times New Roman" w:cs="Times New Roman"/>
                      <w:sz w:val="24"/>
                      <w:szCs w:val="24"/>
                      <w:lang w:val="ru-RU"/>
                    </w:rPr>
                    <w:t xml:space="preserve">-895 з ескалацією дози у пацієнтів з рецидивними/рефрактерними </w:t>
                  </w:r>
                  <w:r w:rsidRPr="00827BA8">
                    <w:rPr>
                      <w:rStyle w:val="cs9f0a40402"/>
                      <w:rFonts w:ascii="Times New Roman" w:hAnsi="Times New Roman" w:cs="Times New Roman"/>
                      <w:sz w:val="24"/>
                      <w:szCs w:val="24"/>
                    </w:rPr>
                    <w:t>B</w:t>
                  </w:r>
                  <w:r w:rsidRPr="00827BA8">
                    <w:rPr>
                      <w:rStyle w:val="cs9f0a40402"/>
                      <w:rFonts w:ascii="Times New Roman" w:hAnsi="Times New Roman" w:cs="Times New Roman"/>
                      <w:sz w:val="24"/>
                      <w:szCs w:val="24"/>
                      <w:lang w:val="ru-RU"/>
                    </w:rPr>
                    <w:t>-клітинними злоякісними захворюваннями та із подальшим застосуванням у пацієнтів з хронічним лімфоцитарним лейкозом або дрібноклітинною лімфоцитарною лімфомою, які раніше не отримували лікування,</w:t>
                  </w:r>
                  <w:r w:rsidRPr="00827BA8">
                    <w:rPr>
                      <w:rStyle w:val="cs9b006262"/>
                      <w:rFonts w:ascii="Times New Roman" w:hAnsi="Times New Roman" w:cs="Times New Roman"/>
                      <w:sz w:val="24"/>
                      <w:szCs w:val="24"/>
                      <w:lang w:val="ru-RU"/>
                    </w:rPr>
                    <w:t xml:space="preserve"> </w:t>
                  </w:r>
                  <w:r w:rsidRPr="00827BA8">
                    <w:rPr>
                      <w:rStyle w:val="cs9b006262"/>
                      <w:rFonts w:ascii="Times New Roman" w:hAnsi="Times New Roman" w:cs="Times New Roman"/>
                      <w:b w:val="0"/>
                      <w:sz w:val="24"/>
                      <w:szCs w:val="24"/>
                      <w:lang w:val="ru-RU"/>
                    </w:rPr>
                    <w:t>та</w:t>
                  </w:r>
                  <w:r w:rsidRPr="00827BA8">
                    <w:rPr>
                      <w:rStyle w:val="cs9b006262"/>
                      <w:rFonts w:ascii="Times New Roman" w:hAnsi="Times New Roman" w:cs="Times New Roman"/>
                      <w:sz w:val="24"/>
                      <w:szCs w:val="24"/>
                      <w:lang w:val="ru-RU"/>
                    </w:rPr>
                    <w:t xml:space="preserve"> </w:t>
                  </w:r>
                  <w:r w:rsidRPr="00827BA8">
                    <w:rPr>
                      <w:rStyle w:val="cs9b006262"/>
                      <w:rFonts w:ascii="Times New Roman" w:hAnsi="Times New Roman" w:cs="Times New Roman"/>
                      <w:b w:val="0"/>
                      <w:sz w:val="24"/>
                      <w:szCs w:val="24"/>
                      <w:lang w:val="ru-RU"/>
                    </w:rPr>
                    <w:t>пацієнтів з рецидивним/рефрактерним хронічним лімфоцитарним лейкозом або рецидивною/рефрактерною дрібноклітинною лімфоцитарною лімфомою»</w:t>
                  </w:r>
                </w:p>
              </w:tc>
            </w:tr>
          </w:tbl>
          <w:p w:rsidR="00904921" w:rsidRDefault="00904921" w:rsidP="00904921">
            <w:pPr>
              <w:jc w:val="both"/>
            </w:pP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1012 від 24.05.2021</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«Фаза I/II, дослідження першого застосування у людей препарату TL-895 з ескалацією дози у пацієнтів з рецидивними/рефрактерними B-клітинними злоякісними захворюваннями та із подальшим застосуванням у пацієнтів з рецидивним/рефрактерним хронічним лімфоцитарним лейкозом або рецидивною/рефрактерною дрібноклітинною лімфоцитарною лімфомою», MS200662_0001, версія 11.0 від 27 травня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«МЕДПЕЙС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«Теліос Фарма, Інк» [Telios Pharma, Inc.], США</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3</w:t>
      </w:r>
    </w:p>
    <w:p w:rsidR="00682870"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A46798" w:rsidRDefault="00A46798" w:rsidP="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 xml:space="preserve">Оновлений протокол клінічного випробування МК-3475-В15 з інкорпорованою поправкою 02 від </w:t>
            </w:r>
            <w:r w:rsidR="00827BA8" w:rsidRPr="00827BA8">
              <w:t xml:space="preserve">                 </w:t>
            </w:r>
            <w:r>
              <w:t>04 квітня 2022 року; Брошура дослідника енфортумаб ведотин (Enfortumab Vedotin; ASG-22CE), видання 11.1 від 28 березня 2022</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516 від 22.03.2021</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відкрите дослідження III фази для оцінки періопераційного застосування енфортумабу ведотину у комбінації з пембролізумабом (MK-3475)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(KEYNOTE-B15 / EV-304)», MK-3475-B15, з інкорпорованою поправкою 01 від 14 травня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«Мерк Шарп Енд Доум Корп.», дочірнє підприємство «Мерк Енд Ко., Інк.», США (Merck Sharp &amp; Dohme Corp., a subsidiary of Merck &amp; Co., Inc., USA)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4</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A46798" w:rsidRDefault="00A46798" w:rsidP="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Україна, MK-3475-826, Інформація та документ про інформовану згоду для пацієнта, версія 3.01 від 20 квітня 2022 р., українською мовою; Україна, MK-3475-826, Інформація та документ про інформовану згоду для пацієнта, версія 3.01 від 20 квітня 2022 р., російською мовою</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2313 від 12.12.2018</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«Рандомізоване, подвійне сліпе, плацебо-контрольоване дослідження ІІІ фази порівняння пембролізумабу (MK-3475) з хіміотерапією та хіміотерапією з плацебо для терапії першої лінії при персистуючому, рецидивному або метастатичному раку шийки матки (KEYNOTE-826)», </w:t>
            </w:r>
            <w:r w:rsidR="00827BA8" w:rsidRPr="00827BA8">
              <w:t xml:space="preserve">                </w:t>
            </w:r>
            <w:r>
              <w:t>MK-3475-826, з інкорпорованою поправкою 07 від 05 січня 2022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«Мерк Шарп Енд Доум Корп.», дочірнє підприємство «Мерк Енд Ко., Інк.», США (Merck Sharp &amp; Dohme Corp., a subsidiary of Merck &amp; Co., Inc., USA)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sidRPr="008325E3">
        <w:t>5</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rsidRPr="00A4679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Pr="00827BA8" w:rsidRDefault="00865A94">
            <w:pPr>
              <w:jc w:val="both"/>
              <w:rPr>
                <w:lang w:val="en-US"/>
              </w:rPr>
            </w:pPr>
            <w:r>
              <w:t>Оновлений протокол клінічного випробування поправка 6, версія 7.0 від 10 березня 2022 року англійською мовою;</w:t>
            </w:r>
            <w:r w:rsidR="00827BA8" w:rsidRPr="00827BA8">
              <w:t xml:space="preserve"> </w:t>
            </w:r>
            <w:r>
              <w:t>Інформація про дослідження та форма згоди для дорослих локальна версія номер 3.0 для України українською мовою, дата версії 04 травня 2022 року на основі мастер версії номер 9.0 від 26 квітня 2022 року; Інформація та форма згоди на надання даних вагітної партнерки дорослого учасника дослідження локальна версія номер 3.0 для України українською мовою, дата версії 04 травня 2022 року на основі Mастер версії номер 3.0 від 16 березня 2022 року;</w:t>
            </w:r>
            <w:r w:rsidR="008325E3">
              <w:rPr>
                <w:lang w:val="uk-UA"/>
              </w:rPr>
              <w:t xml:space="preserve"> </w:t>
            </w:r>
            <w:r>
              <w:t>Буклет «Посібник для пацієнтів», локальна версія 2.0 від 31.03.2022р. українською мовою на основі базової версії 2.0 від 03.03.2022р.;</w:t>
            </w:r>
            <w:r w:rsidR="00827BA8" w:rsidRPr="00827BA8">
              <w:t xml:space="preserve"> </w:t>
            </w:r>
            <w:r>
              <w:t xml:space="preserve">Інтерактивний «Посібник для пацієнтів», локальна версія 2.0 від 31.03.2022р. українською мовою на основі базової версії 2.0 від 03.03.2022р.; Частина 2.1.P Досьє досліджуваного лікарського засобу. Медичний препарат (Бразикумаб), версія 10.0 від 21 березня 2022р.; Частина 2.1.S Досьє досліджуваного лікарського засобу. Лікарська речовина (Бразикумаб), версія 7.0 від 21 березня 2022р.; Частина 2.1.P Досьє досліджуваного лікарського засобу. Препарат плацебо (Бразикумаб), версія 9.0 від 21 березня 2022р.; Залучення нової форми випуску плацебо </w:t>
            </w:r>
            <w:proofErr w:type="gramStart"/>
            <w:r>
              <w:t>у флаконах</w:t>
            </w:r>
            <w:proofErr w:type="gramEnd"/>
            <w:r>
              <w:t xml:space="preserve"> 6мл до досліджуваного лікарського засобу Бразикумаб, розчин для внутрішньовенних ін’єкцій, 720 мг у флаконі 6 мл, виробники: Vetter Pharma-Fertigung GmbH &amp; Co. </w:t>
            </w:r>
            <w:r w:rsidRPr="00827BA8">
              <w:rPr>
                <w:lang w:val="en-US"/>
              </w:rPr>
              <w:t>KG, Eisenbahnstr. 2-4, Langenargen, Baden-Wuerttemberg, 88085 Germany;</w:t>
            </w:r>
            <w:r w:rsidR="00827BA8">
              <w:rPr>
                <w:lang w:val="en-US"/>
              </w:rPr>
              <w:t xml:space="preserve"> </w:t>
            </w:r>
            <w:r w:rsidRPr="00827BA8">
              <w:rPr>
                <w:lang w:val="en-US"/>
              </w:rPr>
              <w:t>FISHER CLINICAL SERVICES UK LIMITED, LANGHURSTWOOD ROAD, HORSHAM, RH12 4QD, UNITED KINGDOM; Fisher Clinical Services GmbH, Steinbuhlweg 69, Allschwil, 4123, Switzerland; Fisher Clinical Services Inc., 7554 Schantz Rd, Allentown, Pennsylvania (PA) 18106-9032, United States (USA); Fisher Clinical Services PTE LTD, 10 Toh Guan Road #03-11/12, Singapore 608838; MedImmune Ltd (Part of the ASTRAZENECA GROUP), Aaron Klug Building, Granta Park, Great Abington, Cambridge, CB21 6ET, United Kingdom; AstraZeneca, Charter Way, Silk Road Business Park, Macclesfield, SK10 2NA, United Kingdom</w:t>
            </w:r>
            <w:r w:rsidRPr="00827BA8">
              <w:rPr>
                <w:rFonts w:cstheme="minorBidi"/>
                <w:lang w:val="en-US"/>
              </w:rPr>
              <w:t xml:space="preserve"> </w:t>
            </w:r>
          </w:p>
        </w:tc>
      </w:tr>
      <w:tr w:rsidR="00070F51" w:rsidRPr="00827BA8">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Pr="008325E3" w:rsidRDefault="00865A94">
            <w:pPr>
              <w:rPr>
                <w:szCs w:val="24"/>
              </w:rPr>
            </w:pPr>
            <w:r>
              <w:rPr>
                <w:szCs w:val="24"/>
              </w:rPr>
              <w:t>Номер</w:t>
            </w:r>
            <w:r w:rsidRPr="008325E3">
              <w:rPr>
                <w:szCs w:val="24"/>
              </w:rPr>
              <w:t xml:space="preserve"> </w:t>
            </w:r>
            <w:r>
              <w:rPr>
                <w:szCs w:val="24"/>
              </w:rPr>
              <w:t>та</w:t>
            </w:r>
            <w:r w:rsidRPr="008325E3">
              <w:rPr>
                <w:szCs w:val="24"/>
              </w:rPr>
              <w:t xml:space="preserve"> </w:t>
            </w:r>
            <w:r>
              <w:rPr>
                <w:szCs w:val="24"/>
              </w:rPr>
              <w:t>дата</w:t>
            </w:r>
            <w:r w:rsidRPr="008325E3">
              <w:rPr>
                <w:szCs w:val="24"/>
              </w:rPr>
              <w:t xml:space="preserve"> </w:t>
            </w:r>
            <w:r>
              <w:rPr>
                <w:szCs w:val="24"/>
              </w:rPr>
              <w:t>наказу</w:t>
            </w:r>
            <w:r w:rsidRPr="008325E3">
              <w:rPr>
                <w:szCs w:val="24"/>
              </w:rPr>
              <w:t xml:space="preserve"> </w:t>
            </w:r>
            <w:r>
              <w:rPr>
                <w:szCs w:val="24"/>
              </w:rPr>
              <w:t>МОЗ</w:t>
            </w:r>
            <w:r w:rsidRPr="008325E3">
              <w:rPr>
                <w:szCs w:val="24"/>
              </w:rPr>
              <w:t xml:space="preserve"> </w:t>
            </w:r>
            <w:r>
              <w:rPr>
                <w:szCs w:val="24"/>
              </w:rPr>
              <w:t>щодо</w:t>
            </w:r>
            <w:r w:rsidRPr="008325E3">
              <w:rPr>
                <w:szCs w:val="24"/>
              </w:rPr>
              <w:t xml:space="preserve"> </w:t>
            </w:r>
            <w:r>
              <w:rPr>
                <w:szCs w:val="24"/>
              </w:rPr>
              <w:t>затвердження</w:t>
            </w:r>
            <w:r w:rsidRPr="008325E3">
              <w:rPr>
                <w:szCs w:val="24"/>
              </w:rPr>
              <w:t xml:space="preserve"> </w:t>
            </w:r>
            <w:r>
              <w:rPr>
                <w:szCs w:val="24"/>
              </w:rPr>
              <w:t>клінічного</w:t>
            </w:r>
            <w:r w:rsidRPr="008325E3">
              <w:rPr>
                <w:szCs w:val="24"/>
              </w:rPr>
              <w:t xml:space="preserve"> </w:t>
            </w:r>
            <w:r>
              <w:rPr>
                <w:szCs w:val="24"/>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Pr="00827BA8" w:rsidRDefault="00865A94">
            <w:pPr>
              <w:jc w:val="both"/>
              <w:rPr>
                <w:lang w:val="en-US"/>
              </w:rPr>
            </w:pPr>
            <w:r w:rsidRPr="00827BA8">
              <w:rPr>
                <w:lang w:val="en-US"/>
              </w:rPr>
              <w:t xml:space="preserve">№ 2707 </w:t>
            </w:r>
            <w:r>
              <w:t>від</w:t>
            </w:r>
            <w:r w:rsidRPr="00827BA8">
              <w:rPr>
                <w:lang w:val="en-US"/>
              </w:rPr>
              <w:t xml:space="preserve"> 28.12.2019</w:t>
            </w:r>
          </w:p>
        </w:tc>
      </w:tr>
    </w:tbl>
    <w:p w:rsidR="00F23E58" w:rsidRDefault="00904921" w:rsidP="00F23E58">
      <w:pPr>
        <w:rPr>
          <w:lang w:val="uk-UA"/>
        </w:rPr>
      </w:pPr>
      <w:r>
        <w:br w:type="page"/>
      </w:r>
      <w:r w:rsidR="00F23E58">
        <w:rPr>
          <w:lang w:val="uk-UA"/>
        </w:rPr>
        <w:lastRenderedPageBreak/>
        <w:t xml:space="preserve">                                                                                                             2                                                                      продовження додатка 5</w:t>
      </w:r>
    </w:p>
    <w:p w:rsidR="00F23E58" w:rsidRPr="00F23E58" w:rsidRDefault="00F23E58" w:rsidP="00F23E58">
      <w:pPr>
        <w:rPr>
          <w:lang w:val="uk-UA"/>
        </w:rPr>
      </w:pPr>
    </w:p>
    <w:p w:rsidR="00904921" w:rsidRDefault="00904921"/>
    <w:tbl>
      <w:tblPr>
        <w:tblStyle w:val="a6"/>
        <w:tblW w:w="0" w:type="auto"/>
        <w:tblInd w:w="0" w:type="dxa"/>
        <w:tblLayout w:type="fixed"/>
        <w:tblLook w:val="04A0" w:firstRow="1" w:lastRow="0" w:firstColumn="1" w:lastColumn="0" w:noHBand="0" w:noVBand="1"/>
      </w:tblPr>
      <w:tblGrid>
        <w:gridCol w:w="2841"/>
        <w:gridCol w:w="10479"/>
      </w:tblGrid>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w:t>
            </w:r>
            <w:r w:rsidRPr="008325E3">
              <w:rPr>
                <w:szCs w:val="24"/>
              </w:rPr>
              <w:t xml:space="preserve"> </w:t>
            </w:r>
            <w:r>
              <w:rPr>
                <w:szCs w:val="24"/>
              </w:rPr>
              <w:t>клінічного</w:t>
            </w:r>
            <w:r w:rsidRPr="008325E3">
              <w:rPr>
                <w:szCs w:val="24"/>
              </w:rPr>
              <w:t xml:space="preserve"> </w:t>
            </w:r>
            <w:r>
              <w:rPr>
                <w:szCs w:val="24"/>
              </w:rPr>
              <w:t>випробування</w:t>
            </w:r>
            <w:r w:rsidRPr="008325E3">
              <w:rPr>
                <w:szCs w:val="24"/>
              </w:rPr>
              <w:t xml:space="preserve">, </w:t>
            </w:r>
            <w:r>
              <w:rPr>
                <w:szCs w:val="24"/>
              </w:rPr>
              <w:t>код</w:t>
            </w:r>
            <w:r w:rsidRPr="008325E3">
              <w:rPr>
                <w:szCs w:val="24"/>
              </w:rPr>
              <w:t xml:space="preserve">, </w:t>
            </w:r>
            <w:r>
              <w:rPr>
                <w:szCs w:val="24"/>
              </w:rPr>
              <w:t>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«54-тижневе, багатоцентрове, рандомізоване, подвійне сліпе, плацебо-контрольоване дослідження фази 2 в паралельних групах для оцінки ефективності та безпеки Бразикумабу у пацієнтів з виразковим колітом від середнього до важкого ступеня активності (Expedition Lead-in)», D5272C00001 (Попередній код 3151-201-008), поправка 5, версія 6.0 від 26 березня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«АСТРАЗЕНЕКА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AstraZeneca AB, Sweden</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6</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Брошура дослідника: Інжектафер® (ін’єкція карбоксимальтози заліза), видання 1 від 12 листопада 2021 року; Оновлена Інформація і форма інформованої згоди для учасників клінічного дослідження, версія 4.0 від 05 квітня 2022 р. для України українською мовою, на основі англійської майстер-версії 3.0 від 29 березня 2022р.; Оновлена Інформація і форма інформованої згоди для учасників клінічного дослідження, версія 4.0 від 05 квітня 2022 р. для України російською мовою, на основі англійської майстер-версії 3.0 від 29 березня 2022р.; Зміна назви місця проведення клінічного дослідження</w:t>
            </w:r>
            <w:r w:rsidR="00827BA8" w:rsidRPr="00827BA8">
              <w:t>:</w:t>
            </w:r>
            <w:r>
              <w:rPr>
                <w:rFonts w:cstheme="minorBidi"/>
              </w:rPr>
              <w:t xml:space="preserve"> </w:t>
            </w:r>
          </w:p>
          <w:tbl>
            <w:tblPr>
              <w:tblStyle w:val="a6"/>
              <w:tblW w:w="10223" w:type="dxa"/>
              <w:tblInd w:w="0" w:type="dxa"/>
              <w:tblLayout w:type="fixed"/>
              <w:tblLook w:val="04A0" w:firstRow="1" w:lastRow="0" w:firstColumn="1" w:lastColumn="0" w:noHBand="0" w:noVBand="1"/>
            </w:tblPr>
            <w:tblGrid>
              <w:gridCol w:w="5019"/>
              <w:gridCol w:w="5204"/>
            </w:tblGrid>
            <w:tr w:rsidR="00E83A94" w:rsidTr="00E83A94">
              <w:trPr>
                <w:trHeight w:hRule="exact" w:val="353"/>
              </w:trPr>
              <w:tc>
                <w:tcPr>
                  <w:tcW w:w="5019" w:type="dxa"/>
                  <w:tcBorders>
                    <w:top w:val="single" w:sz="4" w:space="0" w:color="auto"/>
                    <w:left w:val="single" w:sz="4" w:space="0" w:color="auto"/>
                    <w:bottom w:val="single" w:sz="4" w:space="0" w:color="auto"/>
                    <w:right w:val="single" w:sz="4" w:space="0" w:color="auto"/>
                  </w:tcBorders>
                </w:tcPr>
                <w:p w:rsidR="00E83A94" w:rsidRPr="00827BA8" w:rsidRDefault="00E83A94" w:rsidP="00827BA8">
                  <w:pPr>
                    <w:pStyle w:val="cs2e86d3a6"/>
                  </w:pPr>
                  <w:r w:rsidRPr="00827BA8">
                    <w:rPr>
                      <w:rStyle w:val="cs9f0a40406"/>
                      <w:rFonts w:ascii="Times New Roman" w:hAnsi="Times New Roman" w:cs="Times New Roman"/>
                      <w:sz w:val="24"/>
                      <w:szCs w:val="24"/>
                    </w:rPr>
                    <w:t>БУЛО</w:t>
                  </w:r>
                </w:p>
              </w:tc>
              <w:tc>
                <w:tcPr>
                  <w:tcW w:w="5204" w:type="dxa"/>
                  <w:tcBorders>
                    <w:top w:val="single" w:sz="4" w:space="0" w:color="auto"/>
                    <w:left w:val="single" w:sz="4" w:space="0" w:color="auto"/>
                    <w:bottom w:val="single" w:sz="4" w:space="0" w:color="auto"/>
                    <w:right w:val="single" w:sz="4" w:space="0" w:color="auto"/>
                  </w:tcBorders>
                </w:tcPr>
                <w:p w:rsidR="00E83A94" w:rsidRPr="00827BA8" w:rsidRDefault="00E83A94" w:rsidP="00827BA8">
                  <w:pPr>
                    <w:pStyle w:val="cs2e86d3a6"/>
                  </w:pPr>
                  <w:r w:rsidRPr="00827BA8">
                    <w:rPr>
                      <w:rStyle w:val="cs9f0a40406"/>
                      <w:rFonts w:ascii="Times New Roman" w:hAnsi="Times New Roman" w:cs="Times New Roman"/>
                      <w:sz w:val="24"/>
                      <w:szCs w:val="24"/>
                    </w:rPr>
                    <w:t>СТАЛО</w:t>
                  </w:r>
                </w:p>
              </w:tc>
            </w:tr>
            <w:tr w:rsidR="00E83A94" w:rsidTr="00E83A94">
              <w:trPr>
                <w:trHeight w:val="352"/>
              </w:trPr>
              <w:tc>
                <w:tcPr>
                  <w:tcW w:w="5019" w:type="dxa"/>
                  <w:tcBorders>
                    <w:top w:val="single" w:sz="4" w:space="0" w:color="auto"/>
                    <w:left w:val="single" w:sz="4" w:space="0" w:color="auto"/>
                    <w:bottom w:val="single" w:sz="4" w:space="0" w:color="auto"/>
                    <w:right w:val="single" w:sz="4" w:space="0" w:color="auto"/>
                  </w:tcBorders>
                </w:tcPr>
                <w:p w:rsidR="00E83A94" w:rsidRPr="00827BA8" w:rsidRDefault="00E83A94" w:rsidP="00827BA8">
                  <w:pPr>
                    <w:pStyle w:val="cs80d9435b"/>
                    <w:rPr>
                      <w:lang w:val="ru-RU"/>
                    </w:rPr>
                  </w:pPr>
                  <w:r w:rsidRPr="00827BA8">
                    <w:rPr>
                      <w:rStyle w:val="cs9f0a40406"/>
                      <w:rFonts w:ascii="Times New Roman" w:hAnsi="Times New Roman" w:cs="Times New Roman"/>
                      <w:sz w:val="24"/>
                      <w:szCs w:val="24"/>
                      <w:lang w:val="ru-RU"/>
                    </w:rPr>
                    <w:t xml:space="preserve">зав. від. Руденко Л.В. </w:t>
                  </w:r>
                </w:p>
                <w:p w:rsidR="00E83A94" w:rsidRPr="00827BA8" w:rsidRDefault="00E83A94" w:rsidP="00827BA8">
                  <w:pPr>
                    <w:pStyle w:val="cs80d9435b"/>
                    <w:rPr>
                      <w:b/>
                      <w:lang w:val="ru-RU"/>
                    </w:rPr>
                  </w:pPr>
                  <w:r w:rsidRPr="00827BA8">
                    <w:rPr>
                      <w:rStyle w:val="cs9b006266"/>
                      <w:rFonts w:ascii="Times New Roman" w:hAnsi="Times New Roman" w:cs="Times New Roman"/>
                      <w:b w:val="0"/>
                      <w:sz w:val="24"/>
                      <w:szCs w:val="24"/>
                      <w:lang w:val="ru-RU"/>
                    </w:rPr>
                    <w:t>Київська міська клінічна лікарня швидкої медичної допомоги, кардіологічне відділення, м. Київ</w:t>
                  </w:r>
                </w:p>
              </w:tc>
              <w:tc>
                <w:tcPr>
                  <w:tcW w:w="5204" w:type="dxa"/>
                  <w:tcBorders>
                    <w:top w:val="single" w:sz="4" w:space="0" w:color="auto"/>
                    <w:left w:val="single" w:sz="4" w:space="0" w:color="auto"/>
                    <w:bottom w:val="single" w:sz="4" w:space="0" w:color="auto"/>
                    <w:right w:val="single" w:sz="4" w:space="0" w:color="auto"/>
                  </w:tcBorders>
                </w:tcPr>
                <w:p w:rsidR="00E83A94" w:rsidRPr="00827BA8" w:rsidRDefault="00E83A94" w:rsidP="00827BA8">
                  <w:pPr>
                    <w:pStyle w:val="csf06cd379"/>
                    <w:rPr>
                      <w:lang w:val="ru-RU"/>
                    </w:rPr>
                  </w:pPr>
                  <w:r w:rsidRPr="00827BA8">
                    <w:rPr>
                      <w:rStyle w:val="cs9f0a40406"/>
                      <w:rFonts w:ascii="Times New Roman" w:hAnsi="Times New Roman" w:cs="Times New Roman"/>
                      <w:sz w:val="24"/>
                      <w:szCs w:val="24"/>
                      <w:lang w:val="ru-RU"/>
                    </w:rPr>
                    <w:t xml:space="preserve">зав. від. Руденко Л.В. </w:t>
                  </w:r>
                </w:p>
                <w:p w:rsidR="00E83A94" w:rsidRPr="00827BA8" w:rsidRDefault="00E83A94" w:rsidP="00827BA8">
                  <w:pPr>
                    <w:pStyle w:val="cs80d9435b"/>
                    <w:rPr>
                      <w:lang w:val="ru-RU"/>
                    </w:rPr>
                  </w:pPr>
                  <w:r w:rsidRPr="00827BA8">
                    <w:rPr>
                      <w:rStyle w:val="cs9b006266"/>
                      <w:rFonts w:ascii="Times New Roman" w:hAnsi="Times New Roman" w:cs="Times New Roman"/>
                      <w:b w:val="0"/>
                      <w:sz w:val="24"/>
                      <w:szCs w:val="24"/>
                      <w:lang w:val="ru-RU"/>
                    </w:rPr>
                    <w:t>Комунальне некомерційне підприємство</w:t>
                  </w:r>
                  <w:r w:rsidRPr="00827BA8">
                    <w:rPr>
                      <w:rStyle w:val="cs9b006266"/>
                      <w:rFonts w:ascii="Times New Roman" w:hAnsi="Times New Roman" w:cs="Times New Roman"/>
                      <w:sz w:val="24"/>
                      <w:szCs w:val="24"/>
                      <w:lang w:val="ru-RU"/>
                    </w:rPr>
                    <w:t xml:space="preserve"> </w:t>
                  </w:r>
                  <w:r w:rsidRPr="00827BA8">
                    <w:rPr>
                      <w:rStyle w:val="cs9b006266"/>
                      <w:rFonts w:ascii="Times New Roman" w:hAnsi="Times New Roman" w:cs="Times New Roman"/>
                      <w:b w:val="0"/>
                      <w:sz w:val="24"/>
                      <w:szCs w:val="24"/>
                      <w:lang w:val="ru-RU"/>
                    </w:rPr>
                    <w:t xml:space="preserve">«Київська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w:t>
                  </w:r>
                  <w:r>
                    <w:rPr>
                      <w:rStyle w:val="cs9b006266"/>
                      <w:rFonts w:ascii="Times New Roman" w:hAnsi="Times New Roman" w:cs="Times New Roman"/>
                      <w:b w:val="0"/>
                      <w:sz w:val="24"/>
                      <w:szCs w:val="24"/>
                      <w:lang w:val="ru-RU"/>
                    </w:rPr>
                    <w:t xml:space="preserve">     </w:t>
                  </w:r>
                  <w:r w:rsidRPr="00827BA8">
                    <w:rPr>
                      <w:rStyle w:val="cs9b006266"/>
                      <w:rFonts w:ascii="Times New Roman" w:hAnsi="Times New Roman" w:cs="Times New Roman"/>
                      <w:b w:val="0"/>
                      <w:sz w:val="24"/>
                      <w:szCs w:val="24"/>
                      <w:lang w:val="ru-RU"/>
                    </w:rPr>
                    <w:t>м. Київ</w:t>
                  </w:r>
                </w:p>
              </w:tc>
            </w:tr>
          </w:tbl>
          <w:p w:rsidR="00070F51" w:rsidRDefault="00070F51">
            <w:pPr>
              <w:rPr>
                <w:rFonts w:asciiTheme="minorHAnsi" w:hAnsiTheme="minorHAnsi"/>
                <w:sz w:val="22"/>
              </w:rPr>
            </w:pP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38 від 11.01.2020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подвійне сліпе, плацебо-контрольоване дослідження для вивчення ефективності та безпечності препарату Інжектафер® (Карбоксимальтоза заліза) для лікування серцевої недостатності при залізодефіцитних станах», 1VIT15043, фінальна версія 3 від 11 січня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«КЦР Україна»</w:t>
            </w:r>
          </w:p>
        </w:tc>
      </w:tr>
    </w:tbl>
    <w:p w:rsidR="00F23E58" w:rsidRDefault="00904921" w:rsidP="00F23E58">
      <w:pPr>
        <w:rPr>
          <w:lang w:val="uk-UA"/>
        </w:rPr>
      </w:pPr>
      <w:r>
        <w:br w:type="page"/>
      </w:r>
      <w:r w:rsidR="00F23E58">
        <w:rPr>
          <w:lang w:val="uk-UA"/>
        </w:rPr>
        <w:lastRenderedPageBreak/>
        <w:t xml:space="preserve">                                                                                                             2                                                                      продовження додатка 6</w:t>
      </w:r>
    </w:p>
    <w:p w:rsidR="00F23E58" w:rsidRPr="00F23E58" w:rsidRDefault="00F23E58" w:rsidP="00F23E58">
      <w:pPr>
        <w:rPr>
          <w:lang w:val="uk-UA"/>
        </w:rPr>
      </w:pPr>
    </w:p>
    <w:p w:rsidR="00904921" w:rsidRDefault="00904921"/>
    <w:tbl>
      <w:tblPr>
        <w:tblStyle w:val="a6"/>
        <w:tblW w:w="0" w:type="auto"/>
        <w:tblInd w:w="0" w:type="dxa"/>
        <w:tblLayout w:type="fixed"/>
        <w:tblLook w:val="04A0" w:firstRow="1" w:lastRow="0" w:firstColumn="1" w:lastColumn="0" w:noHBand="0" w:noVBand="1"/>
      </w:tblPr>
      <w:tblGrid>
        <w:gridCol w:w="2841"/>
        <w:gridCol w:w="10479"/>
      </w:tblGrid>
      <w:tr w:rsidR="00070F51" w:rsidRPr="00A46798">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Pr="00827BA8" w:rsidRDefault="00865A94">
            <w:pPr>
              <w:jc w:val="both"/>
              <w:rPr>
                <w:lang w:val="en-US"/>
              </w:rPr>
            </w:pPr>
            <w:r w:rsidRPr="00827BA8">
              <w:rPr>
                <w:lang w:val="en-US"/>
              </w:rPr>
              <w:t>«</w:t>
            </w:r>
            <w:r>
              <w:t>Амерікан</w:t>
            </w:r>
            <w:r w:rsidRPr="00827BA8">
              <w:rPr>
                <w:lang w:val="en-US"/>
              </w:rPr>
              <w:t xml:space="preserve"> </w:t>
            </w:r>
            <w:r>
              <w:t>Реджент</w:t>
            </w:r>
            <w:r w:rsidRPr="00827BA8">
              <w:rPr>
                <w:lang w:val="en-US"/>
              </w:rPr>
              <w:t xml:space="preserve">, </w:t>
            </w:r>
            <w:r>
              <w:t>Інк</w:t>
            </w:r>
            <w:r w:rsidRPr="00827BA8">
              <w:rPr>
                <w:lang w:val="en-US"/>
              </w:rPr>
              <w:t xml:space="preserve">.», </w:t>
            </w:r>
            <w:r>
              <w:t>США</w:t>
            </w:r>
            <w:r w:rsidRPr="00827BA8">
              <w:rPr>
                <w:lang w:val="en-US"/>
              </w:rPr>
              <w:t xml:space="preserve"> (American Regent, Inc., USA)</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7</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Брошура Дослідника версія 7.0 від 04 березня 2022</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2777 від 02.12.2020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«Відкрите, одногрупове, додаткове дослідження для забезпечення продовження лікування даролутамідом пацієнтів, які були включені у попередні дослідження компанії Байєр.», </w:t>
            </w:r>
            <w:r w:rsidR="00827BA8" w:rsidRPr="00827BA8">
              <w:t xml:space="preserve">                         </w:t>
            </w:r>
            <w:r>
              <w:t>BAY 1841788/ 20321, від 02 січня 2020</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«Байєр»,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Байєр Консьюмер Кер АГ, Швейцарія</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8</w:t>
      </w:r>
    </w:p>
    <w:p w:rsidR="00682870"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клінічного випробування МК-7684A-003 з інкорпорованою поправкою 03 від 21 березня 2022 року, англійською мовою; Залучення скороченої назви протоколу клінічного дослідження - KEYVIBE-003; Україна, MK-7684A-003, Інформація та документ про інформовану згоду для пацієнта, версія 1.00 від 18 квітня 2022 р. українською мовою; Україна, MK-7684A-003, Інформаційний листок і документ про інформовану згоду на майбутнє біомедичне дослідження, версія 01 від 18 квітня 2022 р. українською мовою; MK-7684A-003_брошура для пацієнта_українською мовою_для України_12 серпня 2020 р._v2; Оновлене досьє досліджуваного лікарського засобу MK-7684A, ID 0804BN, від 05 квітня 2022 року, англійською мовою; Зміна назви місця проведення клінічного випробування</w:t>
            </w:r>
            <w:r w:rsidR="00827BA8" w:rsidRPr="00827BA8">
              <w:t>:</w:t>
            </w:r>
            <w:r>
              <w:rPr>
                <w:rFonts w:cstheme="minorBidi"/>
              </w:rPr>
              <w:t xml:space="preserve"> </w:t>
            </w:r>
          </w:p>
          <w:tbl>
            <w:tblPr>
              <w:tblStyle w:val="a6"/>
              <w:tblW w:w="10224" w:type="dxa"/>
              <w:tblInd w:w="0" w:type="dxa"/>
              <w:tblLayout w:type="fixed"/>
              <w:tblLook w:val="04A0" w:firstRow="1" w:lastRow="0" w:firstColumn="1" w:lastColumn="0" w:noHBand="0" w:noVBand="1"/>
            </w:tblPr>
            <w:tblGrid>
              <w:gridCol w:w="5019"/>
              <w:gridCol w:w="5205"/>
            </w:tblGrid>
            <w:tr w:rsidR="00827BA8" w:rsidTr="00827BA8">
              <w:trPr>
                <w:trHeight w:hRule="exact" w:val="353"/>
              </w:trPr>
              <w:tc>
                <w:tcPr>
                  <w:tcW w:w="5019" w:type="dxa"/>
                  <w:tcBorders>
                    <w:top w:val="single" w:sz="4" w:space="0" w:color="auto"/>
                    <w:left w:val="single" w:sz="4" w:space="0" w:color="auto"/>
                    <w:bottom w:val="single" w:sz="4" w:space="0" w:color="auto"/>
                    <w:right w:val="single" w:sz="4" w:space="0" w:color="auto"/>
                  </w:tcBorders>
                </w:tcPr>
                <w:p w:rsidR="00827BA8" w:rsidRPr="00827BA8" w:rsidRDefault="00827BA8" w:rsidP="00827BA8">
                  <w:pPr>
                    <w:pStyle w:val="cs2e86d3a6"/>
                    <w:rPr>
                      <w:b/>
                    </w:rPr>
                  </w:pPr>
                  <w:r w:rsidRPr="00827BA8">
                    <w:rPr>
                      <w:rStyle w:val="cs9b006268"/>
                      <w:rFonts w:ascii="Times New Roman" w:hAnsi="Times New Roman" w:cs="Times New Roman"/>
                      <w:b w:val="0"/>
                      <w:sz w:val="24"/>
                      <w:szCs w:val="24"/>
                    </w:rPr>
                    <w:t>БУЛО</w:t>
                  </w:r>
                </w:p>
              </w:tc>
              <w:tc>
                <w:tcPr>
                  <w:tcW w:w="5205" w:type="dxa"/>
                  <w:tcBorders>
                    <w:top w:val="single" w:sz="4" w:space="0" w:color="auto"/>
                    <w:left w:val="single" w:sz="4" w:space="0" w:color="auto"/>
                    <w:bottom w:val="single" w:sz="4" w:space="0" w:color="auto"/>
                    <w:right w:val="single" w:sz="4" w:space="0" w:color="auto"/>
                  </w:tcBorders>
                </w:tcPr>
                <w:p w:rsidR="00827BA8" w:rsidRPr="00827BA8" w:rsidRDefault="00827BA8" w:rsidP="00827BA8">
                  <w:pPr>
                    <w:pStyle w:val="cs2e86d3a6"/>
                    <w:rPr>
                      <w:b/>
                    </w:rPr>
                  </w:pPr>
                  <w:r w:rsidRPr="00827BA8">
                    <w:rPr>
                      <w:rStyle w:val="cs9b006268"/>
                      <w:rFonts w:ascii="Times New Roman" w:hAnsi="Times New Roman" w:cs="Times New Roman"/>
                      <w:b w:val="0"/>
                      <w:sz w:val="24"/>
                      <w:szCs w:val="24"/>
                    </w:rPr>
                    <w:t>СТАЛО</w:t>
                  </w:r>
                </w:p>
              </w:tc>
            </w:tr>
            <w:tr w:rsidR="00827BA8" w:rsidTr="00827BA8">
              <w:trPr>
                <w:trHeight w:val="352"/>
              </w:trPr>
              <w:tc>
                <w:tcPr>
                  <w:tcW w:w="5019" w:type="dxa"/>
                  <w:tcBorders>
                    <w:top w:val="single" w:sz="4" w:space="0" w:color="auto"/>
                    <w:left w:val="single" w:sz="4" w:space="0" w:color="auto"/>
                    <w:bottom w:val="single" w:sz="4" w:space="0" w:color="auto"/>
                    <w:right w:val="single" w:sz="4" w:space="0" w:color="auto"/>
                  </w:tcBorders>
                </w:tcPr>
                <w:p w:rsidR="00827BA8" w:rsidRPr="00827BA8" w:rsidRDefault="00827BA8" w:rsidP="00827BA8">
                  <w:pPr>
                    <w:pStyle w:val="cs80d9435b"/>
                    <w:rPr>
                      <w:lang w:val="ru-RU"/>
                    </w:rPr>
                  </w:pPr>
                  <w:r w:rsidRPr="00827BA8">
                    <w:rPr>
                      <w:rStyle w:val="cs9f0a40408"/>
                      <w:rFonts w:ascii="Times New Roman" w:hAnsi="Times New Roman" w:cs="Times New Roman"/>
                      <w:sz w:val="24"/>
                      <w:szCs w:val="24"/>
                      <w:lang w:val="ru-RU"/>
                    </w:rPr>
                    <w:t xml:space="preserve">д.м.н., проф. Дудніченко О. С. </w:t>
                  </w:r>
                </w:p>
                <w:p w:rsidR="00827BA8" w:rsidRPr="00827BA8" w:rsidRDefault="00827BA8" w:rsidP="00827BA8">
                  <w:pPr>
                    <w:pStyle w:val="cs80d9435b"/>
                    <w:rPr>
                      <w:lang w:val="ru-RU"/>
                    </w:rPr>
                  </w:pPr>
                  <w:r w:rsidRPr="00827BA8">
                    <w:rPr>
                      <w:rStyle w:val="cs9f0a40408"/>
                      <w:rFonts w:ascii="Times New Roman" w:hAnsi="Times New Roman" w:cs="Times New Roman"/>
                      <w:sz w:val="24"/>
                      <w:szCs w:val="24"/>
                      <w:lang w:val="ru-RU"/>
                    </w:rPr>
                    <w:t>Державна установа «Інститут загальної та невідкладної хірургії імені В.Т. Зайцева Національної академії медичних наук України»,</w:t>
                  </w:r>
                  <w:r w:rsidRPr="00827BA8">
                    <w:rPr>
                      <w:rStyle w:val="cs9b006268"/>
                      <w:rFonts w:ascii="Times New Roman" w:hAnsi="Times New Roman" w:cs="Times New Roman"/>
                      <w:sz w:val="24"/>
                      <w:szCs w:val="24"/>
                      <w:lang w:val="ru-RU"/>
                    </w:rPr>
                    <w:t xml:space="preserve"> </w:t>
                  </w:r>
                  <w:r w:rsidRPr="00827BA8">
                    <w:rPr>
                      <w:rStyle w:val="cs9b006268"/>
                      <w:rFonts w:ascii="Times New Roman" w:hAnsi="Times New Roman" w:cs="Times New Roman"/>
                      <w:b w:val="0"/>
                      <w:sz w:val="24"/>
                      <w:szCs w:val="24"/>
                      <w:lang w:val="ru-RU"/>
                    </w:rPr>
                    <w:t>відділення гнійної хірургії</w:t>
                  </w:r>
                  <w:r w:rsidRPr="00827BA8">
                    <w:rPr>
                      <w:rStyle w:val="cs9b006268"/>
                      <w:rFonts w:ascii="Times New Roman" w:hAnsi="Times New Roman" w:cs="Times New Roman"/>
                      <w:sz w:val="24"/>
                      <w:szCs w:val="24"/>
                      <w:lang w:val="ru-RU"/>
                    </w:rPr>
                    <w:t xml:space="preserve"> </w:t>
                  </w:r>
                  <w:r w:rsidRPr="00827BA8">
                    <w:rPr>
                      <w:rStyle w:val="cs9f0a40408"/>
                      <w:rFonts w:ascii="Times New Roman" w:hAnsi="Times New Roman" w:cs="Times New Roman"/>
                      <w:sz w:val="24"/>
                      <w:szCs w:val="24"/>
                      <w:lang w:val="ru-RU"/>
                    </w:rPr>
                    <w:t>на 25 ліжок з палатою інтенсивної терапії на 6 ліжок, Харк</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вська медична академ</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я п</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слядипломної осв</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ти, кафедра онкології та дитячої онкології, м. Харків</w:t>
                  </w:r>
                </w:p>
              </w:tc>
              <w:tc>
                <w:tcPr>
                  <w:tcW w:w="5205" w:type="dxa"/>
                  <w:tcBorders>
                    <w:top w:val="single" w:sz="4" w:space="0" w:color="auto"/>
                    <w:left w:val="single" w:sz="4" w:space="0" w:color="auto"/>
                    <w:bottom w:val="single" w:sz="4" w:space="0" w:color="auto"/>
                    <w:right w:val="single" w:sz="4" w:space="0" w:color="auto"/>
                  </w:tcBorders>
                </w:tcPr>
                <w:p w:rsidR="00827BA8" w:rsidRPr="00827BA8" w:rsidRDefault="00827BA8" w:rsidP="00827BA8">
                  <w:pPr>
                    <w:pStyle w:val="csf06cd379"/>
                    <w:rPr>
                      <w:lang w:val="ru-RU"/>
                    </w:rPr>
                  </w:pPr>
                  <w:r w:rsidRPr="00827BA8">
                    <w:rPr>
                      <w:rStyle w:val="cs9f0a40408"/>
                      <w:rFonts w:ascii="Times New Roman" w:hAnsi="Times New Roman" w:cs="Times New Roman"/>
                      <w:sz w:val="24"/>
                      <w:szCs w:val="24"/>
                      <w:lang w:val="ru-RU"/>
                    </w:rPr>
                    <w:t>д.м.н., проф. Дудніченко О. С.</w:t>
                  </w:r>
                  <w:r w:rsidRPr="00827BA8">
                    <w:rPr>
                      <w:rStyle w:val="cs9b006268"/>
                      <w:rFonts w:ascii="Times New Roman" w:hAnsi="Times New Roman" w:cs="Times New Roman"/>
                      <w:sz w:val="24"/>
                      <w:szCs w:val="24"/>
                      <w:lang w:val="ru-RU"/>
                    </w:rPr>
                    <w:t xml:space="preserve"> </w:t>
                  </w:r>
                </w:p>
                <w:p w:rsidR="00827BA8" w:rsidRPr="00827BA8" w:rsidRDefault="00827BA8" w:rsidP="00827BA8">
                  <w:pPr>
                    <w:pStyle w:val="cs80d9435b"/>
                    <w:rPr>
                      <w:lang w:val="ru-RU"/>
                    </w:rPr>
                  </w:pPr>
                  <w:r w:rsidRPr="00827BA8">
                    <w:rPr>
                      <w:rStyle w:val="cs9f0a40408"/>
                      <w:rFonts w:ascii="Times New Roman" w:hAnsi="Times New Roman" w:cs="Times New Roman"/>
                      <w:sz w:val="24"/>
                      <w:szCs w:val="24"/>
                      <w:lang w:val="ru-RU"/>
                    </w:rPr>
                    <w:t>Державна установа «Інститут загальної та невідкладної хірургії імені В.Т. Зайцева Національної академії медичних наук України»,</w:t>
                  </w:r>
                  <w:r w:rsidRPr="00827BA8">
                    <w:rPr>
                      <w:rStyle w:val="cs9b006268"/>
                      <w:rFonts w:ascii="Times New Roman" w:hAnsi="Times New Roman" w:cs="Times New Roman"/>
                      <w:sz w:val="24"/>
                      <w:szCs w:val="24"/>
                      <w:lang w:val="ru-RU"/>
                    </w:rPr>
                    <w:t xml:space="preserve"> </w:t>
                  </w:r>
                  <w:r w:rsidRPr="00827BA8">
                    <w:rPr>
                      <w:rStyle w:val="cs9b006268"/>
                      <w:rFonts w:ascii="Times New Roman" w:hAnsi="Times New Roman" w:cs="Times New Roman"/>
                      <w:b w:val="0"/>
                      <w:sz w:val="24"/>
                      <w:szCs w:val="24"/>
                      <w:lang w:val="ru-RU"/>
                    </w:rPr>
                    <w:t>відділення хірургічних інфекцій та ускладненої онкологічної патології</w:t>
                  </w:r>
                  <w:r w:rsidRPr="00827BA8">
                    <w:rPr>
                      <w:rStyle w:val="cs9b006268"/>
                      <w:rFonts w:ascii="Times New Roman" w:hAnsi="Times New Roman" w:cs="Times New Roman"/>
                      <w:sz w:val="24"/>
                      <w:szCs w:val="24"/>
                      <w:lang w:val="ru-RU"/>
                    </w:rPr>
                    <w:t xml:space="preserve"> </w:t>
                  </w:r>
                  <w:r w:rsidRPr="00827BA8">
                    <w:rPr>
                      <w:rStyle w:val="cs9f0a40408"/>
                      <w:rFonts w:ascii="Times New Roman" w:hAnsi="Times New Roman" w:cs="Times New Roman"/>
                      <w:sz w:val="24"/>
                      <w:szCs w:val="24"/>
                      <w:lang w:val="ru-RU"/>
                    </w:rPr>
                    <w:t>на 25 ліжок з палатою інтенсивної терапії на 6 ліжок, Харк</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вська медична академ</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я п</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слядипломної осв</w:t>
                  </w:r>
                  <w:r w:rsidRPr="00827BA8">
                    <w:rPr>
                      <w:rStyle w:val="cs9f0a40408"/>
                      <w:rFonts w:ascii="Times New Roman" w:hAnsi="Times New Roman" w:cs="Times New Roman"/>
                      <w:sz w:val="24"/>
                      <w:szCs w:val="24"/>
                    </w:rPr>
                    <w:t>i</w:t>
                  </w:r>
                  <w:r w:rsidRPr="00827BA8">
                    <w:rPr>
                      <w:rStyle w:val="cs9f0a40408"/>
                      <w:rFonts w:ascii="Times New Roman" w:hAnsi="Times New Roman" w:cs="Times New Roman"/>
                      <w:sz w:val="24"/>
                      <w:szCs w:val="24"/>
                      <w:lang w:val="ru-RU"/>
                    </w:rPr>
                    <w:t>ти, кафедра онкології та дитячої онкології,                       м. Харків</w:t>
                  </w:r>
                </w:p>
              </w:tc>
            </w:tr>
          </w:tbl>
          <w:p w:rsidR="00070F51" w:rsidRDefault="00070F51">
            <w:pPr>
              <w:rPr>
                <w:rFonts w:asciiTheme="minorHAnsi" w:hAnsiTheme="minorHAnsi"/>
                <w:sz w:val="22"/>
              </w:rPr>
            </w:pP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762 від 20.04.2021</w:t>
            </w:r>
          </w:p>
        </w:tc>
      </w:tr>
    </w:tbl>
    <w:p w:rsidR="00F23E58" w:rsidRDefault="00904921" w:rsidP="00F23E58">
      <w:pPr>
        <w:rPr>
          <w:lang w:val="uk-UA"/>
        </w:rPr>
      </w:pPr>
      <w:r>
        <w:br w:type="page"/>
      </w:r>
      <w:r w:rsidR="00F23E58">
        <w:rPr>
          <w:lang w:val="uk-UA"/>
        </w:rPr>
        <w:lastRenderedPageBreak/>
        <w:t xml:space="preserve">                                                                                                             2                                                                      продовження додатка 8</w:t>
      </w:r>
    </w:p>
    <w:p w:rsidR="00F23E58" w:rsidRPr="00F23E58" w:rsidRDefault="00F23E58" w:rsidP="00F23E58">
      <w:pPr>
        <w:rPr>
          <w:lang w:val="uk-UA"/>
        </w:rPr>
      </w:pPr>
    </w:p>
    <w:p w:rsidR="00904921" w:rsidRDefault="00904921"/>
    <w:tbl>
      <w:tblPr>
        <w:tblStyle w:val="a6"/>
        <w:tblW w:w="0" w:type="auto"/>
        <w:tblInd w:w="0" w:type="dxa"/>
        <w:tblLayout w:type="fixed"/>
        <w:tblLook w:val="04A0" w:firstRow="1" w:lastRow="0" w:firstColumn="1" w:lastColumn="0" w:noHBand="0" w:noVBand="1"/>
      </w:tblPr>
      <w:tblGrid>
        <w:gridCol w:w="2841"/>
        <w:gridCol w:w="10479"/>
      </w:tblGrid>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 </w:t>
            </w:r>
            <w:r w:rsidR="00827BA8" w:rsidRPr="00827BA8">
              <w:t xml:space="preserve">                 </w:t>
            </w:r>
            <w:r>
              <w:t>MK-7684A-003, з інкорпорованою поправкою 01 від 28 лютого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«Мерк Шарп енд Доум Корп.», дочірнє підприємство «Мерк енд Ко., Інк.», США (Merck Sharp &amp; Dohme Corp., a subsidiary of Merck &amp; Co., Inc., USA)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9</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rsidTr="00904921">
        <w:trPr>
          <w:trHeight w:val="502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rsidP="00904921">
            <w:pPr>
              <w:jc w:val="both"/>
              <w:rPr>
                <w:rFonts w:asciiTheme="minorHAnsi" w:hAnsiTheme="minorHAnsi"/>
                <w:sz w:val="22"/>
              </w:rPr>
            </w:pPr>
            <w:r>
              <w:t xml:space="preserve">Оновлений протокол клінічного дослідження з поправкою 07, версія 1 від 21 грудня 2021р., англійською мовою; Основна інформація про дослідження і форма інформованої згоди, версія 7 від 12 січня 2022р., англійською мовою; Інформація для пацієнта та форма інформованої згоди, версія для України №7 від 19 січня 2022 р. (на основі Основної інформації про дослідження і форми інформованої згоди версії 7 від 12 січня 2022 р.) англійською мовою; Інформація для пацієнта та форма інформованої згоди, версія № 7 для України від 19 січня 2022 р. (на основі Основної інформації про дослідження і форми інформованої згоди, версії 7 від 12 січня 2022р.) українською мовою; Інформація для пацієнта та форма інформованої згоди, версія № 7 для України від 19 січня 2022р. (на основі Основної інформації про дослідження і форми інформованої згоди, версія 7 від </w:t>
            </w:r>
            <w:r w:rsidR="00617D46">
              <w:rPr>
                <w:lang w:val="uk-UA"/>
              </w:rPr>
              <w:t xml:space="preserve">    </w:t>
            </w:r>
            <w:r>
              <w:t>12 січня 2022р.) російською мовою; Скріншоти додатку дослідження EFC16035 на мобільний пристрій (IRB Screens), версія від 27 липня 2021 року, українською мовою; Скріншоти додатку дослідження EFC16035 на мобільний пристрій (IRB Screens), версія від 24 лютого 2022 року, російською мовою; Знімки екрану з планшета (еСОА) EFC16033/16034/16035/16645: 9HPT eCOA Tablet Screenshots_ 9-HPT Scores, версія 1.00 від 29 квітня 2022, англійською мовою; Знімки екрану з планшета (еСОА) EFC16033/16034/16035/16645: CVLTII eCOA Tablet Screenshots_ CVLT-II Scores, версія 1.00 від 29 квітня 2022, англійською мовою; Знімки екрану з планшета (еСОА) EFC16033/16034/16035/16645: SDMT eCOA Tablet Screenshots_ SDMT Scores, версія 1.00 від 29 квітня 2022, англійською мовою; Знімки екрану з планшета (еСОА) EFC16033/16034/16035/16645:</w:t>
            </w:r>
          </w:p>
        </w:tc>
      </w:tr>
    </w:tbl>
    <w:p w:rsidR="00F23E58" w:rsidRDefault="00904921" w:rsidP="00F23E58">
      <w:pPr>
        <w:rPr>
          <w:lang w:val="uk-UA"/>
        </w:rPr>
      </w:pPr>
      <w:r>
        <w:br w:type="page"/>
      </w:r>
      <w:r w:rsidR="00F23E58">
        <w:rPr>
          <w:lang w:val="uk-UA"/>
        </w:rPr>
        <w:lastRenderedPageBreak/>
        <w:t xml:space="preserve">                                                                                                             2                                                                      продовження додатка 9</w:t>
      </w:r>
    </w:p>
    <w:p w:rsidR="00F23E58" w:rsidRPr="00F23E58" w:rsidRDefault="00F23E58" w:rsidP="00F23E58">
      <w:pPr>
        <w:rPr>
          <w:lang w:val="uk-UA"/>
        </w:rPr>
      </w:pPr>
    </w:p>
    <w:p w:rsidR="00904921" w:rsidRDefault="00904921"/>
    <w:tbl>
      <w:tblPr>
        <w:tblStyle w:val="a6"/>
        <w:tblW w:w="0" w:type="auto"/>
        <w:tblInd w:w="0" w:type="dxa"/>
        <w:tblLayout w:type="fixed"/>
        <w:tblLook w:val="04A0" w:firstRow="1" w:lastRow="0" w:firstColumn="1" w:lastColumn="0" w:noHBand="0" w:noVBand="1"/>
      </w:tblPr>
      <w:tblGrid>
        <w:gridCol w:w="2841"/>
        <w:gridCol w:w="10479"/>
      </w:tblGrid>
      <w:tr w:rsidR="00904921">
        <w:trPr>
          <w:trHeight w:val="224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4921" w:rsidRDefault="00904921" w:rsidP="0090492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4921" w:rsidRDefault="00904921" w:rsidP="00904921">
            <w:pPr>
              <w:jc w:val="both"/>
              <w:rPr>
                <w:rFonts w:cstheme="minorBidi"/>
              </w:rPr>
            </w:pPr>
            <w:r>
              <w:t xml:space="preserve"> T25FW eCOA Tablet Screenshots_ T25FW Scores, версія 1.00 від 29 квітня 2022, англійською мовою; Зміна відповідального дослідника у місці проведення клінічного випробування</w:t>
            </w:r>
            <w:r w:rsidRPr="00827BA8">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1"/>
              <w:gridCol w:w="5112"/>
            </w:tblGrid>
            <w:tr w:rsidR="00904921" w:rsidTr="00617D46">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904921" w:rsidRPr="00827BA8" w:rsidRDefault="00904921" w:rsidP="00827BA8">
                  <w:pPr>
                    <w:pStyle w:val="cs2e86d3a6"/>
                    <w:rPr>
                      <w:b/>
                    </w:rPr>
                  </w:pPr>
                  <w:r w:rsidRPr="00827BA8">
                    <w:rPr>
                      <w:rStyle w:val="cs9b006269"/>
                      <w:rFonts w:ascii="Times New Roman" w:hAnsi="Times New Roman" w:cs="Times New Roman"/>
                      <w:b w:val="0"/>
                      <w:sz w:val="24"/>
                      <w:szCs w:val="24"/>
                    </w:rPr>
                    <w:t>БУЛО</w:t>
                  </w:r>
                </w:p>
              </w:tc>
              <w:tc>
                <w:tcPr>
                  <w:tcW w:w="5112" w:type="dxa"/>
                  <w:tcBorders>
                    <w:top w:val="single" w:sz="4" w:space="0" w:color="auto"/>
                    <w:left w:val="single" w:sz="4" w:space="0" w:color="auto"/>
                    <w:bottom w:val="single" w:sz="4" w:space="0" w:color="auto"/>
                    <w:right w:val="single" w:sz="4" w:space="0" w:color="auto"/>
                  </w:tcBorders>
                  <w:hideMark/>
                </w:tcPr>
                <w:p w:rsidR="00904921" w:rsidRPr="00827BA8" w:rsidRDefault="00904921" w:rsidP="00827BA8">
                  <w:pPr>
                    <w:pStyle w:val="cs2e86d3a6"/>
                    <w:rPr>
                      <w:b/>
                    </w:rPr>
                  </w:pPr>
                  <w:r w:rsidRPr="00827BA8">
                    <w:rPr>
                      <w:rStyle w:val="cs9b006269"/>
                      <w:rFonts w:ascii="Times New Roman" w:hAnsi="Times New Roman" w:cs="Times New Roman"/>
                      <w:b w:val="0"/>
                      <w:sz w:val="24"/>
                      <w:szCs w:val="24"/>
                    </w:rPr>
                    <w:t>СТАЛО</w:t>
                  </w:r>
                </w:p>
              </w:tc>
            </w:tr>
            <w:tr w:rsidR="00904921" w:rsidTr="00617D46">
              <w:trPr>
                <w:trHeight w:val="352"/>
              </w:trPr>
              <w:tc>
                <w:tcPr>
                  <w:tcW w:w="5111" w:type="dxa"/>
                  <w:tcBorders>
                    <w:top w:val="single" w:sz="4" w:space="0" w:color="auto"/>
                    <w:left w:val="single" w:sz="4" w:space="0" w:color="auto"/>
                    <w:bottom w:val="single" w:sz="4" w:space="0" w:color="auto"/>
                    <w:right w:val="single" w:sz="4" w:space="0" w:color="auto"/>
                  </w:tcBorders>
                  <w:hideMark/>
                </w:tcPr>
                <w:p w:rsidR="00904921" w:rsidRPr="00D12FCA" w:rsidRDefault="00904921" w:rsidP="00827BA8">
                  <w:pPr>
                    <w:pStyle w:val="cs80d9435b"/>
                    <w:rPr>
                      <w:rStyle w:val="cs9b006269"/>
                      <w:rFonts w:ascii="Times New Roman" w:hAnsi="Times New Roman" w:cs="Times New Roman"/>
                      <w:sz w:val="24"/>
                      <w:szCs w:val="24"/>
                      <w:lang w:val="ru-RU"/>
                    </w:rPr>
                  </w:pPr>
                  <w:r w:rsidRPr="00D12FCA">
                    <w:rPr>
                      <w:rStyle w:val="cs9f0a404010"/>
                      <w:rFonts w:ascii="Times New Roman" w:hAnsi="Times New Roman" w:cs="Times New Roman"/>
                      <w:sz w:val="24"/>
                      <w:szCs w:val="24"/>
                      <w:lang w:val="ru-RU"/>
                    </w:rPr>
                    <w:t>д.м.н., проф. Логановський К.М.</w:t>
                  </w:r>
                </w:p>
                <w:p w:rsidR="00904921" w:rsidRPr="00827BA8" w:rsidRDefault="00904921" w:rsidP="00827BA8">
                  <w:pPr>
                    <w:pStyle w:val="cs80d9435b"/>
                    <w:rPr>
                      <w:lang w:val="ru-RU"/>
                    </w:rPr>
                  </w:pPr>
                  <w:r w:rsidRPr="00827BA8">
                    <w:rPr>
                      <w:rStyle w:val="cs9b006269"/>
                      <w:rFonts w:ascii="Times New Roman" w:hAnsi="Times New Roman" w:cs="Times New Roman"/>
                      <w:b w:val="0"/>
                      <w:sz w:val="24"/>
                      <w:szCs w:val="24"/>
                      <w:lang w:val="ru-RU"/>
                    </w:rPr>
                    <w:t xml:space="preserve">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w:t>
                  </w:r>
                  <w:r w:rsidRPr="00827BA8">
                    <w:rPr>
                      <w:rStyle w:val="cs9b006269"/>
                      <w:rFonts w:ascii="Times New Roman" w:hAnsi="Times New Roman" w:cs="Times New Roman"/>
                      <w:b w:val="0"/>
                      <w:sz w:val="24"/>
                      <w:szCs w:val="24"/>
                    </w:rPr>
                    <w:t> </w:t>
                  </w:r>
                  <w:r w:rsidRPr="00827BA8">
                    <w:rPr>
                      <w:rStyle w:val="cs9b006269"/>
                      <w:rFonts w:ascii="Times New Roman" w:hAnsi="Times New Roman" w:cs="Times New Roman"/>
                      <w:b w:val="0"/>
                      <w:sz w:val="24"/>
                      <w:szCs w:val="24"/>
                      <w:lang w:val="ru-RU"/>
                    </w:rPr>
                    <w:t>м. Київ</w:t>
                  </w:r>
                </w:p>
              </w:tc>
              <w:tc>
                <w:tcPr>
                  <w:tcW w:w="5112" w:type="dxa"/>
                  <w:tcBorders>
                    <w:top w:val="single" w:sz="4" w:space="0" w:color="auto"/>
                    <w:left w:val="single" w:sz="4" w:space="0" w:color="auto"/>
                    <w:bottom w:val="single" w:sz="4" w:space="0" w:color="auto"/>
                    <w:right w:val="single" w:sz="4" w:space="0" w:color="auto"/>
                  </w:tcBorders>
                  <w:hideMark/>
                </w:tcPr>
                <w:p w:rsidR="00904921" w:rsidRPr="00827BA8" w:rsidRDefault="00904921" w:rsidP="00827BA8">
                  <w:pPr>
                    <w:pStyle w:val="cs80d9435b"/>
                    <w:rPr>
                      <w:lang w:val="ru-RU"/>
                    </w:rPr>
                  </w:pPr>
                  <w:r w:rsidRPr="00827BA8">
                    <w:rPr>
                      <w:rStyle w:val="cs9b006269"/>
                      <w:rFonts w:ascii="Times New Roman" w:hAnsi="Times New Roman" w:cs="Times New Roman"/>
                      <w:b w:val="0"/>
                      <w:sz w:val="24"/>
                      <w:szCs w:val="24"/>
                      <w:lang w:val="ru-RU"/>
                    </w:rPr>
                    <w:t xml:space="preserve">к.м.н. Перчук І.В. </w:t>
                  </w:r>
                </w:p>
                <w:p w:rsidR="00904921" w:rsidRPr="00827BA8" w:rsidRDefault="00904921" w:rsidP="00827BA8">
                  <w:pPr>
                    <w:pStyle w:val="cs80d9435b"/>
                    <w:rPr>
                      <w:lang w:val="ru-RU"/>
                    </w:rPr>
                  </w:pPr>
                  <w:r w:rsidRPr="00827BA8">
                    <w:rPr>
                      <w:rStyle w:val="cs9b006269"/>
                      <w:rFonts w:ascii="Times New Roman" w:hAnsi="Times New Roman" w:cs="Times New Roman"/>
                      <w:b w:val="0"/>
                      <w:sz w:val="24"/>
                      <w:szCs w:val="24"/>
                      <w:lang w:val="ru-RU"/>
                    </w:rPr>
                    <w:t xml:space="preserve">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w:t>
                  </w:r>
                  <w:r w:rsidRPr="00827BA8">
                    <w:rPr>
                      <w:rStyle w:val="cs9b006269"/>
                      <w:rFonts w:ascii="Times New Roman" w:hAnsi="Times New Roman" w:cs="Times New Roman"/>
                      <w:b w:val="0"/>
                      <w:sz w:val="24"/>
                      <w:szCs w:val="24"/>
                    </w:rPr>
                    <w:t> </w:t>
                  </w:r>
                  <w:r w:rsidRPr="00827BA8">
                    <w:rPr>
                      <w:rStyle w:val="cs9b006269"/>
                      <w:rFonts w:ascii="Times New Roman" w:hAnsi="Times New Roman" w:cs="Times New Roman"/>
                      <w:b w:val="0"/>
                      <w:sz w:val="24"/>
                      <w:szCs w:val="24"/>
                      <w:lang w:val="ru-RU"/>
                    </w:rPr>
                    <w:t>м. Київ</w:t>
                  </w:r>
                </w:p>
              </w:tc>
            </w:tr>
          </w:tbl>
          <w:p w:rsidR="00904921" w:rsidRDefault="00904921" w:rsidP="00904921"/>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2554 від 09.11.2020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 EFC16035, з поправкою 06, версія 1 від 04 жовтня 2021р.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«Санофі-Авентіс Україна»</w:t>
            </w:r>
          </w:p>
        </w:tc>
      </w:tr>
      <w:tr w:rsidR="00070F51" w:rsidRPr="00A46798">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Pr="00827BA8" w:rsidRDefault="00865A94">
            <w:pPr>
              <w:jc w:val="both"/>
              <w:rPr>
                <w:lang w:val="en-US"/>
              </w:rPr>
            </w:pPr>
            <w:r w:rsidRPr="00827BA8">
              <w:rPr>
                <w:lang w:val="en-US"/>
              </w:rPr>
              <w:t>Genzyme Corporation, USA (</w:t>
            </w:r>
            <w:r>
              <w:t>Джензайм</w:t>
            </w:r>
            <w:r w:rsidRPr="00827BA8">
              <w:rPr>
                <w:lang w:val="en-US"/>
              </w:rPr>
              <w:t xml:space="preserve"> </w:t>
            </w:r>
            <w:r>
              <w:t>Корпорейшн</w:t>
            </w:r>
            <w:r w:rsidRPr="00827BA8">
              <w:rPr>
                <w:lang w:val="en-US"/>
              </w:rPr>
              <w:t xml:space="preserve">, </w:t>
            </w:r>
            <w:r>
              <w:t>США</w:t>
            </w:r>
            <w:r w:rsidRPr="00827BA8">
              <w:rPr>
                <w:lang w:val="en-US"/>
              </w:rPr>
              <w:t xml:space="preserve">)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10</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 xml:space="preserve">Скріншоти додатку дослідження EFC16033 на мобільний пристрій (IRB Screens), версія від 27 липня 2021 року, українською мовою; Скріншоти додатку дослідження EFC16033 на мобільний пристрій (IRB Screens), версія від 24 лютого 2022 року, російською мовою; Знімки екрану з планшета (еСОА) EFC16033/16034/16035/16645: 9HPT eCOA Tablet Screenshots_ 9-HPT Scores, версія 1.00 від 29 квітня 2022, англійською мовою; Знімки екрану з планшета (еСОА) EFC16033/16034/16035/16645: CVLTII eCOA Tablet Screenshots_ CVLT-II Scores, версія 1.00 від 29 квітня 2022, англійською мовою; Знімки екрану з планшета (еСОА) EFC16033/16034/16035/16645: SDMT eCOA Tablet Screenshots_ SDMT Scores, версія 1.00 від 29 квітня 2022, англійською мовою; Знімки екрану з планшета (еСОА) EFC16033/16034/16035/16645: T25FW eCOA Tablet Screenshots_ T25FW Scores, версія 1.00 від </w:t>
            </w:r>
            <w:r w:rsidR="00D12FCA" w:rsidRPr="00D12FCA">
              <w:t xml:space="preserve">               </w:t>
            </w:r>
            <w:r>
              <w:t>29 квітня 2022, англійською мовою; Зміна відповідального дослідника у місці проведення клінічного випробування</w:t>
            </w:r>
            <w:r w:rsidR="00D12FCA" w:rsidRPr="00D12FCA">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1"/>
              <w:gridCol w:w="5112"/>
            </w:tblGrid>
            <w:tr w:rsidR="00D12FCA" w:rsidTr="00617D46">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2e86d3a6"/>
                  </w:pPr>
                  <w:r w:rsidRPr="00D12FCA">
                    <w:rPr>
                      <w:rStyle w:val="cs9f0a404010"/>
                      <w:rFonts w:ascii="Times New Roman" w:hAnsi="Times New Roman" w:cs="Times New Roman"/>
                      <w:sz w:val="24"/>
                      <w:szCs w:val="24"/>
                    </w:rPr>
                    <w:t>БУЛО</w:t>
                  </w:r>
                </w:p>
              </w:tc>
              <w:tc>
                <w:tcPr>
                  <w:tcW w:w="5112"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2e86d3a6"/>
                  </w:pPr>
                  <w:r w:rsidRPr="00D12FCA">
                    <w:rPr>
                      <w:rStyle w:val="cs9f0a404010"/>
                      <w:rFonts w:ascii="Times New Roman" w:hAnsi="Times New Roman" w:cs="Times New Roman"/>
                      <w:sz w:val="24"/>
                      <w:szCs w:val="24"/>
                    </w:rPr>
                    <w:t>СТАЛО</w:t>
                  </w:r>
                </w:p>
              </w:tc>
            </w:tr>
            <w:tr w:rsidR="00D12FCA" w:rsidTr="00617D46">
              <w:trPr>
                <w:trHeight w:val="352"/>
              </w:trPr>
              <w:tc>
                <w:tcPr>
                  <w:tcW w:w="5111"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80d9435b"/>
                    <w:rPr>
                      <w:rStyle w:val="cs9f0a404010"/>
                      <w:rFonts w:ascii="Times New Roman" w:hAnsi="Times New Roman" w:cs="Times New Roman"/>
                      <w:sz w:val="24"/>
                      <w:szCs w:val="24"/>
                      <w:lang w:val="ru-RU"/>
                    </w:rPr>
                  </w:pPr>
                  <w:r w:rsidRPr="00D12FCA">
                    <w:rPr>
                      <w:rStyle w:val="cs9f0a404010"/>
                      <w:rFonts w:ascii="Times New Roman" w:hAnsi="Times New Roman" w:cs="Times New Roman"/>
                      <w:sz w:val="24"/>
                      <w:szCs w:val="24"/>
                      <w:lang w:val="ru-RU"/>
                    </w:rPr>
                    <w:t>д.м.н., проф. Логановський К.М.</w:t>
                  </w:r>
                </w:p>
                <w:p w:rsidR="00D12FCA" w:rsidRPr="00D12FCA" w:rsidRDefault="00D12FCA" w:rsidP="00D12FCA">
                  <w:pPr>
                    <w:pStyle w:val="cs80d9435b"/>
                    <w:rPr>
                      <w:lang w:val="ru-RU"/>
                    </w:rPr>
                  </w:pPr>
                  <w:r w:rsidRPr="00D12FCA">
                    <w:rPr>
                      <w:rStyle w:val="cs9f0a404010"/>
                      <w:rFonts w:ascii="Times New Roman" w:hAnsi="Times New Roman" w:cs="Times New Roman"/>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c>
                <w:tcPr>
                  <w:tcW w:w="5112"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feeeeb43"/>
                    <w:rPr>
                      <w:lang w:val="ru-RU"/>
                    </w:rPr>
                  </w:pPr>
                  <w:r w:rsidRPr="00D12FCA">
                    <w:rPr>
                      <w:rStyle w:val="cs9f0a404010"/>
                      <w:rFonts w:ascii="Times New Roman" w:hAnsi="Times New Roman" w:cs="Times New Roman"/>
                      <w:sz w:val="24"/>
                      <w:szCs w:val="24"/>
                      <w:lang w:val="ru-RU"/>
                    </w:rPr>
                    <w:t>к.м.н. Перчук І.В.</w:t>
                  </w:r>
                </w:p>
                <w:p w:rsidR="00D12FCA" w:rsidRPr="00D12FCA" w:rsidRDefault="00D12FCA" w:rsidP="00D12FCA">
                  <w:pPr>
                    <w:pStyle w:val="cs80d9435b"/>
                    <w:rPr>
                      <w:lang w:val="ru-RU"/>
                    </w:rPr>
                  </w:pPr>
                  <w:r w:rsidRPr="00D12FCA">
                    <w:rPr>
                      <w:rStyle w:val="cs9f0a404010"/>
                      <w:rFonts w:ascii="Times New Roman" w:hAnsi="Times New Roman" w:cs="Times New Roman"/>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r>
          </w:tbl>
          <w:p w:rsidR="00070F51" w:rsidRDefault="00070F51">
            <w:pPr>
              <w:rPr>
                <w:rFonts w:asciiTheme="minorHAnsi" w:hAnsiTheme="minorHAnsi"/>
                <w:sz w:val="22"/>
              </w:rPr>
            </w:pP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2243 від 05.10.2020</w:t>
            </w:r>
          </w:p>
        </w:tc>
      </w:tr>
    </w:tbl>
    <w:p w:rsidR="00F23E58" w:rsidRDefault="00904921" w:rsidP="00F23E58">
      <w:pPr>
        <w:rPr>
          <w:lang w:val="uk-UA"/>
        </w:rPr>
      </w:pPr>
      <w:r>
        <w:br w:type="page"/>
      </w:r>
      <w:r w:rsidR="00F23E58">
        <w:rPr>
          <w:lang w:val="uk-UA"/>
        </w:rPr>
        <w:lastRenderedPageBreak/>
        <w:t xml:space="preserve">                                                                                                             2                                                                      продовження додатка 10</w:t>
      </w:r>
    </w:p>
    <w:p w:rsidR="00F23E58" w:rsidRPr="00F23E58" w:rsidRDefault="00F23E58" w:rsidP="00F23E58">
      <w:pPr>
        <w:rPr>
          <w:lang w:val="uk-UA"/>
        </w:rPr>
      </w:pPr>
    </w:p>
    <w:p w:rsidR="00904921" w:rsidRDefault="00904921"/>
    <w:tbl>
      <w:tblPr>
        <w:tblStyle w:val="a6"/>
        <w:tblW w:w="0" w:type="auto"/>
        <w:tblInd w:w="0" w:type="dxa"/>
        <w:tblLayout w:type="fixed"/>
        <w:tblLook w:val="04A0" w:firstRow="1" w:lastRow="0" w:firstColumn="1" w:lastColumn="0" w:noHBand="0" w:noVBand="1"/>
      </w:tblPr>
      <w:tblGrid>
        <w:gridCol w:w="2841"/>
        <w:gridCol w:w="10479"/>
      </w:tblGrid>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1)», EFC16033, з поправкою 05, версія 1 від 18 листопада 2021р.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«Санофі-Авентіс Україна»</w:t>
            </w:r>
          </w:p>
        </w:tc>
      </w:tr>
      <w:tr w:rsidR="00070F51" w:rsidRPr="00A46798">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Pr="00827BA8" w:rsidRDefault="00865A94">
            <w:pPr>
              <w:jc w:val="both"/>
              <w:rPr>
                <w:lang w:val="en-US"/>
              </w:rPr>
            </w:pPr>
            <w:r w:rsidRPr="00827BA8">
              <w:rPr>
                <w:lang w:val="en-US"/>
              </w:rPr>
              <w:t>Genzyme Corporation, USA (</w:t>
            </w:r>
            <w:r>
              <w:t>Джензайм</w:t>
            </w:r>
            <w:r w:rsidRPr="00827BA8">
              <w:rPr>
                <w:lang w:val="en-US"/>
              </w:rPr>
              <w:t xml:space="preserve"> </w:t>
            </w:r>
            <w:r>
              <w:t>Корпорейшн</w:t>
            </w:r>
            <w:r w:rsidRPr="00827BA8">
              <w:rPr>
                <w:lang w:val="en-US"/>
              </w:rPr>
              <w:t xml:space="preserve">, </w:t>
            </w:r>
            <w:r>
              <w:t>США</w:t>
            </w:r>
            <w:r w:rsidRPr="00827BA8">
              <w:rPr>
                <w:lang w:val="en-US"/>
              </w:rPr>
              <w:t xml:space="preserve">)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11</w:t>
      </w:r>
    </w:p>
    <w:p w:rsidR="00A46798"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Україна, MK-7339-003, Інформація та документ про інформовану згоду для пацієнта, версія 1.01 від 06 травня 2022 р. українською мовою; Україна, MK-7339-003, Інформація та документ про інформовану згоду для пацієнта, версія 1.01 від 06 травня 2022 р. російською мовою</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1924 від 21.08.2020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відкрите дослідження 3 фази для оцінки ефективності та безпечності монотерапії олапарибом або у комбінації з бевацизумабом, у порівнянні із застосуванням бевацизумабу із фторпіримідинами у пацієнтів з неоперабельним або метастатичним колоректальним раком без ознак прогресування хвороби після індукційної терапії першої лінії (LYNK-003)», MK-7339-003, з інкорпорованою поправкою 04 від 29 листопада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«Мерк Шарп Енд Доум Корп.», дочірнє підприємство «Мерк Енд Ко., Інк.», США (Merck Sharp &amp; Dohme Corp., a subsidiary of Merck &amp; Co., Inc., USA)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12</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rsidTr="00D12FCA">
        <w:trPr>
          <w:trHeight w:val="245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Pr="00827BA8" w:rsidRDefault="00865A94">
            <w:pPr>
              <w:jc w:val="both"/>
            </w:pPr>
            <w:r>
              <w:t>Залучення додаткового місця проведення клінічного випробування</w:t>
            </w:r>
            <w:r w:rsidR="00D12FCA" w:rsidRPr="00D12FCA">
              <w:t>:</w:t>
            </w:r>
            <w:r>
              <w:t xml:space="preserve"> </w:t>
            </w:r>
          </w:p>
          <w:tbl>
            <w:tblPr>
              <w:tblStyle w:val="a6"/>
              <w:tblW w:w="0" w:type="auto"/>
              <w:tblInd w:w="0" w:type="dxa"/>
              <w:tblLayout w:type="fixed"/>
              <w:tblLook w:val="04A0" w:firstRow="1" w:lastRow="0" w:firstColumn="1" w:lastColumn="0" w:noHBand="0" w:noVBand="1"/>
            </w:tblPr>
            <w:tblGrid>
              <w:gridCol w:w="643"/>
              <w:gridCol w:w="9580"/>
            </w:tblGrid>
            <w:tr w:rsidR="00070F51" w:rsidTr="00B0068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070F51" w:rsidRDefault="00865A94">
                  <w:pPr>
                    <w:jc w:val="center"/>
                  </w:pPr>
                  <w:r>
                    <w:t>№ п</w:t>
                  </w:r>
                  <w:r>
                    <w:rPr>
                      <w:lang w:val="en-US"/>
                    </w:rPr>
                    <w:t>/</w:t>
                  </w:r>
                  <w:r>
                    <w:t>п</w:t>
                  </w:r>
                </w:p>
              </w:tc>
              <w:tc>
                <w:tcPr>
                  <w:tcW w:w="9580" w:type="dxa"/>
                  <w:tcBorders>
                    <w:top w:val="single" w:sz="4" w:space="0" w:color="auto"/>
                    <w:left w:val="single" w:sz="4" w:space="0" w:color="auto"/>
                    <w:bottom w:val="single" w:sz="4" w:space="0" w:color="auto"/>
                    <w:right w:val="single" w:sz="4" w:space="0" w:color="auto"/>
                  </w:tcBorders>
                  <w:hideMark/>
                </w:tcPr>
                <w:p w:rsidR="00070F51" w:rsidRDefault="00865A94">
                  <w:pPr>
                    <w:jc w:val="center"/>
                    <w:rPr>
                      <w:rFonts w:ascii="Bookman Old Style" w:hAnsi="Bookman Old Style" w:cs="Bookman Old Style"/>
                    </w:rPr>
                  </w:pPr>
                  <w:r>
                    <w:rPr>
                      <w:rFonts w:cs="Bookman Old Style"/>
                    </w:rPr>
                    <w:t>П.І.Б. відповідального дослідника</w:t>
                  </w:r>
                </w:p>
                <w:p w:rsidR="00070F51" w:rsidRDefault="00865A94">
                  <w:pPr>
                    <w:jc w:val="center"/>
                  </w:pPr>
                  <w:r>
                    <w:rPr>
                      <w:rFonts w:cs="Bookman Old Style"/>
                    </w:rPr>
                    <w:t>Назва місця проведення клінічного випробування</w:t>
                  </w:r>
                </w:p>
              </w:tc>
            </w:tr>
            <w:tr w:rsidR="00070F51" w:rsidTr="00B00686">
              <w:trPr>
                <w:trHeight w:val="352"/>
              </w:trPr>
              <w:tc>
                <w:tcPr>
                  <w:tcW w:w="643" w:type="dxa"/>
                  <w:tcBorders>
                    <w:top w:val="single" w:sz="4" w:space="0" w:color="auto"/>
                    <w:left w:val="single" w:sz="4" w:space="0" w:color="auto"/>
                    <w:bottom w:val="single" w:sz="4" w:space="0" w:color="auto"/>
                    <w:right w:val="single" w:sz="4" w:space="0" w:color="auto"/>
                  </w:tcBorders>
                  <w:hideMark/>
                </w:tcPr>
                <w:p w:rsidR="00070F51" w:rsidRPr="00D12FCA" w:rsidRDefault="00D12FCA" w:rsidP="00B00686">
                  <w:pPr>
                    <w:jc w:val="center"/>
                    <w:rPr>
                      <w:lang w:val="en-US"/>
                    </w:rPr>
                  </w:pPr>
                  <w:r>
                    <w:rPr>
                      <w:lang w:val="en-US"/>
                    </w:rPr>
                    <w:t>1.</w:t>
                  </w:r>
                </w:p>
              </w:tc>
              <w:tc>
                <w:tcPr>
                  <w:tcW w:w="9580"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80d9435b"/>
                    <w:rPr>
                      <w:b/>
                      <w:lang w:val="ru-RU"/>
                    </w:rPr>
                  </w:pPr>
                  <w:r w:rsidRPr="00D12FCA">
                    <w:rPr>
                      <w:rStyle w:val="cs9b0062612"/>
                      <w:rFonts w:ascii="Times New Roman" w:hAnsi="Times New Roman" w:cs="Times New Roman"/>
                      <w:b w:val="0"/>
                      <w:sz w:val="24"/>
                      <w:szCs w:val="24"/>
                      <w:lang w:val="ru-RU"/>
                    </w:rPr>
                    <w:t>д.м.н. Мороз С.М.</w:t>
                  </w:r>
                </w:p>
                <w:p w:rsidR="00070F51" w:rsidRPr="00D12FCA" w:rsidRDefault="00D12FCA" w:rsidP="00D12FCA">
                  <w:pPr>
                    <w:jc w:val="both"/>
                    <w:rPr>
                      <w:rFonts w:cs="Times New Roman"/>
                      <w:b/>
                      <w:szCs w:val="24"/>
                    </w:rPr>
                  </w:pPr>
                  <w:r w:rsidRPr="00D12FCA">
                    <w:rPr>
                      <w:rStyle w:val="cs9b0062612"/>
                      <w:rFonts w:ascii="Times New Roman" w:hAnsi="Times New Roman" w:cs="Times New Roman"/>
                      <w:b w:val="0"/>
                      <w:sz w:val="24"/>
                      <w:szCs w:val="24"/>
                    </w:rPr>
                    <w:t>Комунальне підприємство «Дніпропетровська багатопрофільна клінічна лікарня з надання психіатричної допомоги» Дніпропетровської обласної ради», психоневрологічне відділення (психосоматичний центр), м. Дніпро</w:t>
                  </w:r>
                </w:p>
              </w:tc>
            </w:tr>
          </w:tbl>
          <w:p w:rsidR="00070F51" w:rsidRDefault="00070F51">
            <w:pPr>
              <w:rPr>
                <w:rFonts w:asciiTheme="minorHAnsi" w:hAnsiTheme="minorHAnsi"/>
                <w:sz w:val="22"/>
              </w:rPr>
            </w:pP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422 від 10.03.2021</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подвійне-сліпе, з плацебо та активним контролем лікування дослідження 2Б фази ефективності та безпечності MK-8189 у пацієнтів з гострим епізодом шизофренії», MK-8189-008, з інкорпорованою поправкою 03 від 17 грудня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«Мерк Шарп Енд Доум Корп.», дочірнє підприємство «Мерк Енд Ко., Інк.», США (Merck Sharp &amp; Dohme Corp., a subsidiary of Merck &amp; Co., Inc., USA)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13</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 xml:space="preserve">Оновлений протокол клінічного випробування МК-3475-671 з інкорпорованою поправкою 10 від </w:t>
            </w:r>
            <w:r w:rsidR="00D12FCA" w:rsidRPr="00D12FCA">
              <w:t xml:space="preserve">              </w:t>
            </w:r>
            <w:r>
              <w:t xml:space="preserve">24 березня 2022 року, англійською мовою; Продовження тривалості клінічного дослідження до </w:t>
            </w:r>
            <w:r w:rsidR="00D12FCA" w:rsidRPr="00D12FCA">
              <w:t xml:space="preserve">                 </w:t>
            </w:r>
            <w:r>
              <w:t>8,5 років; Україна, MK-3475-671, Інформація та документ про інформовану згоду для пацієнта, версія 2.00 від 05 травня 2022 р. українською мовою; Україна, MK-3475-671, Додаток до інформації та документу про інформовану згоду – надання рентгенологічних знімків, отриманих в рамках стандартного медичного обслуговування, версія 00 від 05 травня 2022 р., українською мовою;</w:t>
            </w:r>
            <w:r>
              <w:br/>
              <w:t>Україна, MK-3475-671, Додаток до інформації та документу про інформовану згоду – додаткові рентгенологічні діагностичні дослідження, версія 00 від 05 травня 2022 р., українською мовою</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713 від 13.04.2018</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«Рандомізоване, подвійне-сліпе дослідження III фази двохкомпонентної хіміотерапії препаратами платини в комбінації з пембролізумабом (МК-3475) або без нього, в якості неоад'ювантної / ад’ювантної терапії для пацієнтів з операбельним недрібноклітинним раком легень II, IIIA та IIIВ (Т3-4N2) стадій (НДРЛ) (KEYNOTE-671)», MK-3475-671, з інкорпорованою поправкою 09 від </w:t>
            </w:r>
            <w:r w:rsidR="00D12FCA">
              <w:rPr>
                <w:lang w:val="en-US"/>
              </w:rPr>
              <w:t xml:space="preserve">                   </w:t>
            </w:r>
            <w:r>
              <w:t>23 червня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«Мерк Шарп Енд Доум Корп.», дочірнє підприємство «Мерк Енд Ко., Інк.», США (Merck Sharp &amp; Dohme Corp., a subsidiary of Merck &amp; Co., Inc., USA)</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14</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 xml:space="preserve">Брошура дослідника (БД) для препарату PF-06700841 (чистова версія), версія 8.0 від 1 березня </w:t>
            </w:r>
            <w:r w:rsidR="00D12FCA" w:rsidRPr="00D12FCA">
              <w:t xml:space="preserve">                 </w:t>
            </w:r>
            <w:r>
              <w:t>2022 року, англійською мовою</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2372 від 04.12.2019</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подвійне сліпе, плацебо-контрольоване, багатоцентрове дослідження фази 2B з підбору діапазону доз для оцінки профілю ефективності та безпечності препарату PF-06700841 в учасників з активним системним червоним вовчаком (СЧВ), B7931028, фінальна версія з інкорпорованою поправкою 4, від 2 березня 2021 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Пфайзер Інк., США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Пфайзер Інк., США</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15</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Оновлена брошура дослідника версія 16.0 від 04 лютого 2022</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662 від 16.03.2020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«Додаткове дослідження для оцінки довгострокових результатів лікування пацієнтів, які отримували лікування від ретинопатії недоношених у дослідженні 20090», No. BAY 86-5321 / 20275, версія 2.0 від 27 листопада 2019 року з інтегрованою Поправкою 1 від 27 листопада 2019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«Байєр»,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Байєр АГ, Німеччина</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16</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Досьє досліджуваного лікарського засобу ARGX-113 with rHuPH20, розчин для підшкірних ін’єкцій, версія 5.0 від 19 листопада 2021р., англійською мовою; Досьє досліджуваного лікарського засобу ARGX-113 with rHuPH20, розчин для підшкірних ін’єкцій, розділ «Appendices rHuPH20», версія 5.0 від 04 жовтня 2021р., англійською мовою; Подовження терміну придатності досліджуваного лікарського засобу ARGX-113/rHuPH20, розчин для підшкірних ін’єкцій, 180 мг/мл до 24 місяців</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1360 від 10.06.2020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«Відкрите продовження дослідження ARGX-113-1802 для вивчення довгострокової безпечності,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(ХЗДП)», ARGX-113-1902, версія 4.0 від 07 січня 2021 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«Контрактно-Дослідницька Організація Іннофарм-Україна»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argenx BVBA, Belgium/ ардженкс БВБА, Бельгія</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17</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Зміна відповідального дослідника в місці проведення клінічного випробування</w:t>
            </w:r>
            <w:r w:rsidR="00D12FCA" w:rsidRPr="00D12FCA">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1"/>
              <w:gridCol w:w="5112"/>
            </w:tblGrid>
            <w:tr w:rsidR="00D12FCA" w:rsidTr="004A1982">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2e86d3a6"/>
                    <w:rPr>
                      <w:color w:val="000000" w:themeColor="text1"/>
                    </w:rPr>
                  </w:pPr>
                  <w:r w:rsidRPr="00D12FCA">
                    <w:rPr>
                      <w:rStyle w:val="csa699bcf11"/>
                      <w:rFonts w:ascii="Times New Roman" w:hAnsi="Times New Roman" w:cs="Times New Roman"/>
                      <w:color w:val="000000" w:themeColor="text1"/>
                      <w:sz w:val="24"/>
                      <w:szCs w:val="24"/>
                    </w:rPr>
                    <w:t>БУЛО</w:t>
                  </w:r>
                </w:p>
              </w:tc>
              <w:tc>
                <w:tcPr>
                  <w:tcW w:w="5112"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2e86d3a6"/>
                    <w:rPr>
                      <w:color w:val="000000" w:themeColor="text1"/>
                    </w:rPr>
                  </w:pPr>
                  <w:r w:rsidRPr="00D12FCA">
                    <w:rPr>
                      <w:rStyle w:val="csa699bcf11"/>
                      <w:rFonts w:ascii="Times New Roman" w:hAnsi="Times New Roman" w:cs="Times New Roman"/>
                      <w:color w:val="000000" w:themeColor="text1"/>
                      <w:sz w:val="24"/>
                      <w:szCs w:val="24"/>
                    </w:rPr>
                    <w:t>СТАЛО</w:t>
                  </w:r>
                </w:p>
              </w:tc>
            </w:tr>
            <w:tr w:rsidR="00D12FCA" w:rsidTr="004A1982">
              <w:trPr>
                <w:trHeight w:val="352"/>
              </w:trPr>
              <w:tc>
                <w:tcPr>
                  <w:tcW w:w="5111"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80d9435b"/>
                    <w:rPr>
                      <w:b/>
                      <w:lang w:val="ru-RU"/>
                    </w:rPr>
                  </w:pPr>
                  <w:r w:rsidRPr="00D12FCA">
                    <w:rPr>
                      <w:rStyle w:val="cs9b0062617"/>
                      <w:rFonts w:ascii="Times New Roman" w:hAnsi="Times New Roman" w:cs="Times New Roman"/>
                      <w:b w:val="0"/>
                      <w:sz w:val="24"/>
                      <w:szCs w:val="24"/>
                      <w:lang w:val="ru-RU"/>
                    </w:rPr>
                    <w:t>д.м.н., ген. Директор Скорий Д.І.</w:t>
                  </w:r>
                </w:p>
                <w:p w:rsidR="00D12FCA" w:rsidRPr="00D12FCA" w:rsidRDefault="00D12FCA" w:rsidP="00D12FCA">
                  <w:pPr>
                    <w:pStyle w:val="cs80d9435b"/>
                    <w:rPr>
                      <w:lang w:val="ru-RU"/>
                    </w:rPr>
                  </w:pPr>
                  <w:r w:rsidRPr="00D12FCA">
                    <w:rPr>
                      <w:rStyle w:val="cs9f0a404017"/>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печінки та підшлункової залози,           м. Харків</w:t>
                  </w:r>
                </w:p>
              </w:tc>
              <w:tc>
                <w:tcPr>
                  <w:tcW w:w="5112" w:type="dxa"/>
                  <w:tcBorders>
                    <w:top w:val="single" w:sz="4" w:space="0" w:color="auto"/>
                    <w:left w:val="single" w:sz="4" w:space="0" w:color="auto"/>
                    <w:bottom w:val="single" w:sz="4" w:space="0" w:color="auto"/>
                    <w:right w:val="single" w:sz="4" w:space="0" w:color="auto"/>
                  </w:tcBorders>
                  <w:hideMark/>
                </w:tcPr>
                <w:p w:rsidR="00D12FCA" w:rsidRPr="00D12FCA" w:rsidRDefault="00D12FCA" w:rsidP="00D12FCA">
                  <w:pPr>
                    <w:pStyle w:val="cs80d9435b"/>
                    <w:rPr>
                      <w:b/>
                      <w:lang w:val="ru-RU"/>
                    </w:rPr>
                  </w:pPr>
                  <w:r w:rsidRPr="00D12FCA">
                    <w:rPr>
                      <w:rStyle w:val="cs9b0062617"/>
                      <w:rFonts w:ascii="Times New Roman" w:hAnsi="Times New Roman" w:cs="Times New Roman"/>
                      <w:b w:val="0"/>
                      <w:sz w:val="24"/>
                      <w:szCs w:val="24"/>
                      <w:lang w:val="ru-RU"/>
                    </w:rPr>
                    <w:t>к.м.н., зав. від. Пісецька М.Е.</w:t>
                  </w:r>
                </w:p>
                <w:p w:rsidR="00D12FCA" w:rsidRPr="00D12FCA" w:rsidRDefault="00D12FCA" w:rsidP="00D12FCA">
                  <w:pPr>
                    <w:pStyle w:val="cs80d9435b"/>
                    <w:rPr>
                      <w:lang w:val="ru-RU"/>
                    </w:rPr>
                  </w:pPr>
                  <w:r w:rsidRPr="00D12FCA">
                    <w:rPr>
                      <w:rStyle w:val="cs9f0a404017"/>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печінки та підшлункової залози,            м. Харків</w:t>
                  </w:r>
                </w:p>
              </w:tc>
            </w:tr>
          </w:tbl>
          <w:p w:rsidR="00070F51" w:rsidRDefault="00070F51">
            <w:pPr>
              <w:rPr>
                <w:rFonts w:asciiTheme="minorHAnsi" w:hAnsiTheme="minorHAnsi"/>
                <w:sz w:val="22"/>
              </w:rPr>
            </w:pP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422 від 10.03.2021</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«Проспективне, рандомізоване, плацебо-контрольоване, подвійне сліпе, багатоцентрове, реєстраційне клінічне дослідження фази III для порівняння торипалімабу (JS001) у поєднанні з ленватинібом та плацебо у поєднанні з ленватинібом як терапії 1-ї лінії при поширеній гепатоцелюлярній карциномі (ГЦК)», JS001-027-III-HCC, версія 1.2 від 02 вересня 2020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Підприємство з 100% іноземною інвестицією «АЙК’ЮВІА РДС Україна»</w:t>
            </w:r>
          </w:p>
        </w:tc>
      </w:tr>
      <w:tr w:rsidR="00070F51" w:rsidRPr="00A46798">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Pr="00827BA8" w:rsidRDefault="00865A94">
            <w:pPr>
              <w:jc w:val="both"/>
              <w:rPr>
                <w:lang w:val="en-US"/>
              </w:rPr>
            </w:pPr>
            <w:r w:rsidRPr="00827BA8">
              <w:rPr>
                <w:lang w:val="en-US"/>
              </w:rPr>
              <w:t>Shanghai Junshi Biosciences Co., Ltd, China</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18</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Матеріали для пацієнтів, що стосуються допоміжного інструменту для клінічного дослідження STABILIZE-CKD - мобільного додатку під назвою Unify 3.0 версія 1.0 від 01 березня 2022 року для України українською мовою; Оновлена Брошура дослідника по препарату LOKELMA™ (циклосилікат цирконію натрію), версія 11 від 05 травня 2022 року</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2426 від 05.11.2021</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«Міжнародне, рандомізоване, подвійне сліпе, плацебо-контрольоване дослідження Фази 3 з метою оцінки впливу циклосилікату цирконію натрію на прогресуючу хронічну ниркову недостатність (ХНН) у учасників з ХНН та гіперкаліємією або із ризиком гіперкаліємії», D9488C00001, версія 1.0 від 24 червня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«АСТРАЗЕНЕКА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AstraZeneca, AB, Sweden</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19</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MS200527ˍ0080, версія 4.0 від 03 квітня 2022 року; Інформаційний листок пацієнта і форма згоди, версія V4.1UKR(uk)1.0 від 17 травня 2022 року, переклад українською мовою від 24 травня 2022 року; Інформаційний листок пацієнта і форма згоди, версія V4.1UKR(ru)1.0 від 17 травня 2022 року, переклад російською мовою від 24 травня 2022 року</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1924 від 21.08.2020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MS200527_0080, версія 3.0 від 19 травня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Підприємство з 100% іноземною інвестицією «АЙК’ЮВІА РДС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Merck Healthcare KGaA, Німеччина</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20</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MS200527ˍ0082, версія 4.0 від 03 квітня 2022 року; Інформаційний листок пацієнта і форма згоди, версія V4.1UKR(uk)1.0 від 17 травня 2022 року, переклад українською мовою від 19 травня 2022 року; Інформаційний листок пацієнта і форма згоди, версія V4.1UKR(ru)1.0 від 17 травня 2022 року, переклад російською мовою від 19 травня 2022 року</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1924 від 21.08.2020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MS200527_0082, версія 3.0 від 19 травня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Підприємство з 100% іноземною інвестицією «АЙК’ЮВІА РДС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Merck Healthcare KGaA, Німеччина</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21</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rsidRPr="00A4679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Pr="00D12FCA" w:rsidRDefault="00865A94">
            <w:pPr>
              <w:jc w:val="both"/>
              <w:rPr>
                <w:lang w:val="en-US"/>
              </w:rPr>
            </w:pPr>
            <w:r>
              <w:t xml:space="preserve">Оновлений протокол клінічного випробування поправка 5, версія 6.0 від 07 грудня 2021 року англійською мовою; Інформація про дослідження та форма згоди для дорослих локальна версія номер 3.0 для України українською мовою, дата версії 12 квітня 2022 року на основі мастер версії номер 9.0 від 03 грудня 2021 року; Інформація та форма згоди на надання даних вагітної партнерки дорослого учасника дослідження локальна версія номер 3.0 для України українською мовою, дата версії 12 квітня 2022 року на основі Mастер версії номер 4.0 від 03 грудня 2021 року; Буклет «Посібник для пацієнта», версія 2.0 від 14.03.2022р. українською мовою; Інтерактивний «Посібник для пацієнта», версія 2.0 від 27.04.2022р. українською мовою; Частина 2.1.P Досьє досліджуваного лікарського засобу. Медичний препарат (Бразикумаб), версія 10.0 від 21 березня 2022р.; Частина 2.1.S Досьє досліджуваного лікарського засобу. Лікарська речовина (Бразикумаб), версія 7.0 від </w:t>
            </w:r>
            <w:r w:rsidR="006A2FE7">
              <w:rPr>
                <w:lang w:val="uk-UA"/>
              </w:rPr>
              <w:t xml:space="preserve">      </w:t>
            </w:r>
            <w:r>
              <w:t xml:space="preserve">21 березня 2022р.; Частина 2.1.P Досьє досліджуваного лікарського засобу. Препарат плацебо (Бразикумаб), версія 9.0 від 21 березня 2022р.; Залучення нової форми випуску плацебо </w:t>
            </w:r>
            <w:proofErr w:type="gramStart"/>
            <w:r>
              <w:t>у флаконах</w:t>
            </w:r>
            <w:proofErr w:type="gramEnd"/>
            <w:r>
              <w:t xml:space="preserve"> 6мл до досліджуваного лікарського засобу Бразикумаб, розчин для внутрішньовенних ін’єкцій, 720 мг у флаконі 6 мл, виробники: Vetter Pharma-Fertigung GmbH &amp; Co. </w:t>
            </w:r>
            <w:r w:rsidRPr="00D12FCA">
              <w:rPr>
                <w:lang w:val="en-US"/>
              </w:rPr>
              <w:t xml:space="preserve">KG, Eisenbahnstr. </w:t>
            </w:r>
            <w:r w:rsidRPr="00827BA8">
              <w:rPr>
                <w:lang w:val="en-US"/>
              </w:rPr>
              <w:t>2-4, Langenargen, Baden-Wuerttemberg, 88085 Germany;</w:t>
            </w:r>
            <w:r w:rsidR="00D12FCA">
              <w:rPr>
                <w:lang w:val="en-US"/>
              </w:rPr>
              <w:t xml:space="preserve"> </w:t>
            </w:r>
            <w:r w:rsidRPr="00827BA8">
              <w:rPr>
                <w:lang w:val="en-US"/>
              </w:rPr>
              <w:t>FISHER CLINICAL SERVICES UK LIMITED, LANGHURSTWOOD ROAD, HORSHAM, RH12 4QD, UNITED KINGDOM; Fisher Clinical Services GmbH, Steinbuhlweg 69, Allschwil, 4123, Switzerland; Fisher Clinical Services Inc., 7554 Schantz Rd, Allentown, Pennsylvania (PA) 18106-9032, United States (USA); Fisher Clinical Services PTE LTD, 10 Toh Guan Road #03-11/12, Singapore 608838; MedImmune Ltd (Part of the ASTRAZENECA GROUP), Aaron Klug Building, Granta Park, Great Abington, Cambridge, CB21 6ET, United Kingdom; AstraZeneca, Charter Way, Silk Road Business Park, Macclesfield, SK10 2NA, United Kingdom</w:t>
            </w:r>
            <w:r w:rsidRPr="00827BA8">
              <w:rPr>
                <w:rFonts w:cstheme="minorBidi"/>
                <w:lang w:val="en-US"/>
              </w:rPr>
              <w:t xml:space="preserve"> </w:t>
            </w:r>
          </w:p>
        </w:tc>
      </w:tr>
      <w:tr w:rsidR="00070F51" w:rsidRPr="00D12FCA">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Pr="008325E3" w:rsidRDefault="00865A94">
            <w:pPr>
              <w:rPr>
                <w:szCs w:val="24"/>
              </w:rPr>
            </w:pPr>
            <w:r>
              <w:rPr>
                <w:szCs w:val="24"/>
              </w:rPr>
              <w:t>Номер</w:t>
            </w:r>
            <w:r w:rsidRPr="008325E3">
              <w:rPr>
                <w:szCs w:val="24"/>
              </w:rPr>
              <w:t xml:space="preserve"> </w:t>
            </w:r>
            <w:r>
              <w:rPr>
                <w:szCs w:val="24"/>
              </w:rPr>
              <w:t>та</w:t>
            </w:r>
            <w:r w:rsidRPr="008325E3">
              <w:rPr>
                <w:szCs w:val="24"/>
              </w:rPr>
              <w:t xml:space="preserve"> </w:t>
            </w:r>
            <w:r>
              <w:rPr>
                <w:szCs w:val="24"/>
              </w:rPr>
              <w:t>дата</w:t>
            </w:r>
            <w:r w:rsidRPr="008325E3">
              <w:rPr>
                <w:szCs w:val="24"/>
              </w:rPr>
              <w:t xml:space="preserve"> </w:t>
            </w:r>
            <w:r>
              <w:rPr>
                <w:szCs w:val="24"/>
              </w:rPr>
              <w:t>наказу</w:t>
            </w:r>
            <w:r w:rsidRPr="008325E3">
              <w:rPr>
                <w:szCs w:val="24"/>
              </w:rPr>
              <w:t xml:space="preserve"> </w:t>
            </w:r>
            <w:r>
              <w:rPr>
                <w:szCs w:val="24"/>
              </w:rPr>
              <w:t>МОЗ</w:t>
            </w:r>
            <w:r w:rsidRPr="008325E3">
              <w:rPr>
                <w:szCs w:val="24"/>
              </w:rPr>
              <w:t xml:space="preserve"> </w:t>
            </w:r>
            <w:r>
              <w:rPr>
                <w:szCs w:val="24"/>
              </w:rPr>
              <w:t>щодо</w:t>
            </w:r>
            <w:r w:rsidRPr="008325E3">
              <w:rPr>
                <w:szCs w:val="24"/>
              </w:rPr>
              <w:t xml:space="preserve"> </w:t>
            </w:r>
            <w:r>
              <w:rPr>
                <w:szCs w:val="24"/>
              </w:rPr>
              <w:t>затвердження</w:t>
            </w:r>
            <w:r w:rsidRPr="008325E3">
              <w:rPr>
                <w:szCs w:val="24"/>
              </w:rPr>
              <w:t xml:space="preserve"> </w:t>
            </w:r>
            <w:r>
              <w:rPr>
                <w:szCs w:val="24"/>
              </w:rPr>
              <w:t>клінічного</w:t>
            </w:r>
            <w:r w:rsidRPr="008325E3">
              <w:rPr>
                <w:szCs w:val="24"/>
              </w:rPr>
              <w:t xml:space="preserve"> </w:t>
            </w:r>
            <w:r>
              <w:rPr>
                <w:szCs w:val="24"/>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Pr="00D12FCA" w:rsidRDefault="00865A94">
            <w:pPr>
              <w:jc w:val="both"/>
              <w:rPr>
                <w:lang w:val="en-US"/>
              </w:rPr>
            </w:pPr>
            <w:r w:rsidRPr="00D12FCA">
              <w:rPr>
                <w:lang w:val="en-US"/>
              </w:rPr>
              <w:t xml:space="preserve">№ 1360 </w:t>
            </w:r>
            <w:r>
              <w:t>від</w:t>
            </w:r>
            <w:r w:rsidRPr="00D12FCA">
              <w:rPr>
                <w:lang w:val="en-US"/>
              </w:rPr>
              <w:t xml:space="preserve"> 10.06.2020</w:t>
            </w:r>
          </w:p>
        </w:tc>
      </w:tr>
    </w:tbl>
    <w:p w:rsidR="00F23E58" w:rsidRDefault="00904921" w:rsidP="00F23E58">
      <w:pPr>
        <w:rPr>
          <w:lang w:val="uk-UA"/>
        </w:rPr>
      </w:pPr>
      <w:r>
        <w:br w:type="page"/>
      </w:r>
      <w:r w:rsidR="00F23E58">
        <w:rPr>
          <w:lang w:val="uk-UA"/>
        </w:rPr>
        <w:lastRenderedPageBreak/>
        <w:t xml:space="preserve">                                                                                                             2                                                                      продовження додатка 21</w:t>
      </w:r>
    </w:p>
    <w:p w:rsidR="00F23E58" w:rsidRPr="00F23E58" w:rsidRDefault="00F23E58" w:rsidP="00F23E58">
      <w:pPr>
        <w:rPr>
          <w:lang w:val="uk-UA"/>
        </w:rPr>
      </w:pPr>
    </w:p>
    <w:p w:rsidR="00904921" w:rsidRDefault="00904921"/>
    <w:tbl>
      <w:tblPr>
        <w:tblStyle w:val="a6"/>
        <w:tblW w:w="0" w:type="auto"/>
        <w:tblInd w:w="0" w:type="dxa"/>
        <w:tblLayout w:type="fixed"/>
        <w:tblLook w:val="04A0" w:firstRow="1" w:lastRow="0" w:firstColumn="1" w:lastColumn="0" w:noHBand="0" w:noVBand="1"/>
      </w:tblPr>
      <w:tblGrid>
        <w:gridCol w:w="2841"/>
        <w:gridCol w:w="10479"/>
      </w:tblGrid>
      <w:tr w:rsidR="00070F51" w:rsidTr="00D12FCA">
        <w:trPr>
          <w:trHeight w:val="560"/>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w:t>
            </w:r>
            <w:r w:rsidRPr="00D12FCA">
              <w:rPr>
                <w:szCs w:val="24"/>
              </w:rPr>
              <w:t xml:space="preserve"> </w:t>
            </w:r>
            <w:r>
              <w:rPr>
                <w:szCs w:val="24"/>
              </w:rPr>
              <w:t>клінічного</w:t>
            </w:r>
            <w:r w:rsidRPr="00D12FCA">
              <w:rPr>
                <w:szCs w:val="24"/>
              </w:rPr>
              <w:t xml:space="preserve"> </w:t>
            </w:r>
            <w:r>
              <w:rPr>
                <w:szCs w:val="24"/>
              </w:rPr>
              <w:t>випробування</w:t>
            </w:r>
            <w:r w:rsidRPr="00D12FCA">
              <w:rPr>
                <w:szCs w:val="24"/>
              </w:rPr>
              <w:t xml:space="preserve">, </w:t>
            </w:r>
            <w:r>
              <w:rPr>
                <w:szCs w:val="24"/>
              </w:rPr>
              <w:t>код</w:t>
            </w:r>
            <w:r w:rsidRPr="00D12FCA">
              <w:rPr>
                <w:szCs w:val="24"/>
              </w:rPr>
              <w:t xml:space="preserve">, </w:t>
            </w:r>
            <w:r>
              <w:rPr>
                <w:szCs w:val="24"/>
              </w:rPr>
              <w:t>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«52-тижневе, багатоцентрове, рандомізоване, подвійне сліпе, плацебо та активно-контрольоване дослідження, фази 2b/3 в паралельних групах із безперервним переходом між фазами, для оцінки ефективності та безпеки Бразикумабу у пацієнтів з хворобою Крона від середнього до важкого ступеня активності (INTREPID Lead-In)», D5271C00001 (Попередній код 3150-301-008), поправка 4, версія 5.0 від 24 лютого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«АСТРАЗЕНЕКА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AstraZeneca AB, Sweden</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22</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rsidTr="00904921">
        <w:trPr>
          <w:trHeight w:val="542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rsidP="00904921">
            <w:pPr>
              <w:jc w:val="both"/>
              <w:rPr>
                <w:rFonts w:asciiTheme="minorHAnsi" w:hAnsiTheme="minorHAnsi"/>
                <w:sz w:val="22"/>
              </w:rPr>
            </w:pPr>
            <w:r>
              <w:t>Оновлений протокол клінічного дослідження з поправкою 05, версія 1 від 21 грудня 2021р., англійською мовою; Основна інформація про дослідження і форма інформованої згоди, версія 7 від 12 січня 2022р., англійською мовою;</w:t>
            </w:r>
            <w:r w:rsidR="00D12FCA" w:rsidRPr="00D12FCA">
              <w:t xml:space="preserve"> </w:t>
            </w:r>
            <w:r>
              <w:t xml:space="preserve">Інформація для пацієнта і форма інформованої згоди, версія для України № 7 від 19 січня 2022 р. (на основі Основної інформації про дослідження і форми інформованої згоди версія 7 від 12 січня 2022р.) англійською мовою; Інформація для пацієнта і форма інформованої згоди, версія № 7 для України від 19 січня 2022р. (на основі Основної інформації про дослідження і форми інформованої згоди, версії 7 від 12 січня 2022р.) українською мовою; Інформація для пацієнта і форма інформованої згоди, версія № 7 для України від 19 січня 2022р. (на основі Основної інформації про дослідження і форми інформованої згоди, версія 7 від </w:t>
            </w:r>
            <w:r w:rsidR="00D12FCA" w:rsidRPr="00D12FCA">
              <w:t xml:space="preserve">            </w:t>
            </w:r>
            <w:r>
              <w:t xml:space="preserve">12 січня 2022р.) російською мовою; Скріншоти додатку дослідження EFC16645 на мобільний пристрій (IRB Screens), версія від 27 липня 2021 року, українською мовою; Скріншоти додатку дослідження EFC16645 на мобільний пристрій (IRB Screens), версія від 24 лютого 2022 року, російською мовою; Знімки екрану з планшета (еСОА) EFC16033/16034/16035/16645: 9HPT eCOA Tablet Screenshots_ 9-HPT Scores, версія 1.00 від 29 квітня 2022, англійською мовою; Знімки екрану з планшета (еСОА) EFC16033/16034/16035/16645: CVLTII eCOA Tablet Screenshots_ CVLT-II Scores, версія 1.00 від 29 квітня 2022, англійською мовою; Знімки екрану з планшета (еСОА) EFC16033/16034/16035/16645: SDMT eCOA Tablet Screenshots_ SDMT Scores, версія 1.00 від </w:t>
            </w:r>
            <w:r w:rsidR="00D12FCA" w:rsidRPr="00D12FCA">
              <w:t xml:space="preserve">                   </w:t>
            </w:r>
            <w:r>
              <w:t xml:space="preserve">29 квітня 2022, англійською мовою; Знімки екрану з планшета (еСОА) EFC16033/16034/16035/16645: T25FW eCOA Tablet Screenshots_ T25FW Scores, версія 1.00 від </w:t>
            </w:r>
            <w:r w:rsidR="00D12FCA" w:rsidRPr="00D12FCA">
              <w:t xml:space="preserve">                   </w:t>
            </w:r>
            <w:r>
              <w:t>29 квітня 2022, англійською мовою; Зміна відповідального дослідника у місці проведення клінічного</w:t>
            </w:r>
          </w:p>
        </w:tc>
      </w:tr>
    </w:tbl>
    <w:p w:rsidR="00F23E58" w:rsidRDefault="00F23E58" w:rsidP="00F23E58">
      <w:pPr>
        <w:rPr>
          <w:lang w:val="uk-UA"/>
        </w:rPr>
      </w:pPr>
      <w:r>
        <w:br w:type="page"/>
      </w:r>
      <w:r>
        <w:rPr>
          <w:lang w:val="uk-UA"/>
        </w:rPr>
        <w:lastRenderedPageBreak/>
        <w:t xml:space="preserve">                                                                                                             2                                                                      продовження додатка 22</w:t>
      </w:r>
    </w:p>
    <w:p w:rsidR="00F23E58" w:rsidRPr="00F23E58" w:rsidRDefault="00F23E58" w:rsidP="00F23E58">
      <w:pPr>
        <w:rPr>
          <w:lang w:val="uk-UA"/>
        </w:rPr>
      </w:pPr>
    </w:p>
    <w:p w:rsidR="00F23E58" w:rsidRDefault="00F23E58"/>
    <w:tbl>
      <w:tblPr>
        <w:tblStyle w:val="a6"/>
        <w:tblW w:w="0" w:type="auto"/>
        <w:tblInd w:w="0" w:type="dxa"/>
        <w:tblLayout w:type="fixed"/>
        <w:tblLook w:val="04A0" w:firstRow="1" w:lastRow="0" w:firstColumn="1" w:lastColumn="0" w:noHBand="0" w:noVBand="1"/>
      </w:tblPr>
      <w:tblGrid>
        <w:gridCol w:w="2841"/>
        <w:gridCol w:w="10479"/>
      </w:tblGrid>
      <w:tr w:rsidR="00904921" w:rsidTr="00D12FCA">
        <w:trPr>
          <w:trHeight w:val="286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4921" w:rsidRDefault="00904921" w:rsidP="0090492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4921" w:rsidRPr="00D12FCA" w:rsidRDefault="00904921" w:rsidP="00904921">
            <w:pPr>
              <w:jc w:val="both"/>
            </w:pPr>
            <w:r>
              <w:t xml:space="preserve"> випробування</w:t>
            </w:r>
            <w:r w:rsidRPr="00D12FCA">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1"/>
              <w:gridCol w:w="5112"/>
            </w:tblGrid>
            <w:tr w:rsidR="00904921" w:rsidTr="002A187B">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904921" w:rsidRPr="00D12FCA" w:rsidRDefault="00904921" w:rsidP="00D12FCA">
                  <w:pPr>
                    <w:pStyle w:val="cs80d9435b"/>
                    <w:jc w:val="center"/>
                    <w:rPr>
                      <w:color w:val="000000" w:themeColor="text1"/>
                    </w:rPr>
                  </w:pPr>
                  <w:r w:rsidRPr="00D12FCA">
                    <w:rPr>
                      <w:rStyle w:val="cs9f0a404022"/>
                      <w:rFonts w:ascii="Times New Roman" w:hAnsi="Times New Roman" w:cs="Times New Roman"/>
                      <w:color w:val="000000" w:themeColor="text1"/>
                      <w:sz w:val="24"/>
                      <w:szCs w:val="24"/>
                    </w:rPr>
                    <w:t>БУЛО</w:t>
                  </w:r>
                </w:p>
              </w:tc>
              <w:tc>
                <w:tcPr>
                  <w:tcW w:w="5112" w:type="dxa"/>
                  <w:tcBorders>
                    <w:top w:val="single" w:sz="4" w:space="0" w:color="auto"/>
                    <w:left w:val="single" w:sz="4" w:space="0" w:color="auto"/>
                    <w:bottom w:val="single" w:sz="4" w:space="0" w:color="auto"/>
                    <w:right w:val="single" w:sz="4" w:space="0" w:color="auto"/>
                  </w:tcBorders>
                  <w:hideMark/>
                </w:tcPr>
                <w:p w:rsidR="00904921" w:rsidRPr="00D12FCA" w:rsidRDefault="00904921" w:rsidP="00D12FCA">
                  <w:pPr>
                    <w:pStyle w:val="cs80d9435b"/>
                    <w:jc w:val="center"/>
                    <w:rPr>
                      <w:color w:val="000000" w:themeColor="text1"/>
                    </w:rPr>
                  </w:pPr>
                  <w:r w:rsidRPr="00D12FCA">
                    <w:rPr>
                      <w:rStyle w:val="cs9f0a404022"/>
                      <w:rFonts w:ascii="Times New Roman" w:hAnsi="Times New Roman" w:cs="Times New Roman"/>
                      <w:color w:val="000000" w:themeColor="text1"/>
                      <w:sz w:val="24"/>
                      <w:szCs w:val="24"/>
                    </w:rPr>
                    <w:t>СТАЛО</w:t>
                  </w:r>
                </w:p>
              </w:tc>
            </w:tr>
            <w:tr w:rsidR="00904921" w:rsidTr="002A187B">
              <w:trPr>
                <w:trHeight w:val="352"/>
              </w:trPr>
              <w:tc>
                <w:tcPr>
                  <w:tcW w:w="5111" w:type="dxa"/>
                  <w:tcBorders>
                    <w:top w:val="single" w:sz="4" w:space="0" w:color="auto"/>
                    <w:left w:val="single" w:sz="4" w:space="0" w:color="auto"/>
                    <w:bottom w:val="single" w:sz="4" w:space="0" w:color="auto"/>
                    <w:right w:val="single" w:sz="4" w:space="0" w:color="auto"/>
                  </w:tcBorders>
                  <w:hideMark/>
                </w:tcPr>
                <w:p w:rsidR="00904921" w:rsidRPr="00D12FCA" w:rsidRDefault="00904921" w:rsidP="00D12FCA">
                  <w:pPr>
                    <w:pStyle w:val="cs80d9435b"/>
                    <w:rPr>
                      <w:rStyle w:val="csa699bcf12"/>
                      <w:rFonts w:ascii="Times New Roman" w:hAnsi="Times New Roman" w:cs="Times New Roman"/>
                      <w:color w:val="000000" w:themeColor="text1"/>
                      <w:sz w:val="24"/>
                      <w:szCs w:val="24"/>
                      <w:lang w:val="ru-RU"/>
                    </w:rPr>
                  </w:pPr>
                  <w:r w:rsidRPr="00D12FCA">
                    <w:rPr>
                      <w:rStyle w:val="cs9f0a404010"/>
                      <w:rFonts w:ascii="Times New Roman" w:hAnsi="Times New Roman" w:cs="Times New Roman"/>
                      <w:sz w:val="24"/>
                      <w:szCs w:val="24"/>
                      <w:lang w:val="ru-RU"/>
                    </w:rPr>
                    <w:t>д.м.н., проф. Логановський К.М.</w:t>
                  </w:r>
                </w:p>
                <w:p w:rsidR="00904921" w:rsidRPr="00D12FCA" w:rsidRDefault="00904921" w:rsidP="00D12FCA">
                  <w:pPr>
                    <w:pStyle w:val="cs80d9435b"/>
                    <w:rPr>
                      <w:color w:val="000000" w:themeColor="text1"/>
                      <w:lang w:val="ru-RU"/>
                    </w:rPr>
                  </w:pPr>
                  <w:r w:rsidRPr="00D12FCA">
                    <w:rPr>
                      <w:rStyle w:val="csa699bcf12"/>
                      <w:rFonts w:ascii="Times New Roman" w:hAnsi="Times New Roman" w:cs="Times New Roman"/>
                      <w:color w:val="000000" w:themeColor="text1"/>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c>
                <w:tcPr>
                  <w:tcW w:w="5112" w:type="dxa"/>
                  <w:tcBorders>
                    <w:top w:val="single" w:sz="4" w:space="0" w:color="auto"/>
                    <w:left w:val="single" w:sz="4" w:space="0" w:color="auto"/>
                    <w:bottom w:val="single" w:sz="4" w:space="0" w:color="auto"/>
                    <w:right w:val="single" w:sz="4" w:space="0" w:color="auto"/>
                  </w:tcBorders>
                  <w:hideMark/>
                </w:tcPr>
                <w:p w:rsidR="00904921" w:rsidRPr="00D12FCA" w:rsidRDefault="00904921" w:rsidP="00D12FCA">
                  <w:pPr>
                    <w:pStyle w:val="cs80d9435b"/>
                    <w:rPr>
                      <w:b/>
                      <w:color w:val="000000" w:themeColor="text1"/>
                      <w:lang w:val="ru-RU"/>
                    </w:rPr>
                  </w:pPr>
                  <w:r w:rsidRPr="00D12FCA">
                    <w:rPr>
                      <w:rStyle w:val="cs7d567a251"/>
                      <w:rFonts w:ascii="Times New Roman" w:hAnsi="Times New Roman" w:cs="Times New Roman"/>
                      <w:b w:val="0"/>
                      <w:color w:val="000000" w:themeColor="text1"/>
                      <w:sz w:val="24"/>
                      <w:szCs w:val="24"/>
                      <w:lang w:val="ru-RU"/>
                    </w:rPr>
                    <w:t>к.м.н Перчук І.В.</w:t>
                  </w:r>
                </w:p>
                <w:p w:rsidR="00904921" w:rsidRPr="00D12FCA" w:rsidRDefault="00904921" w:rsidP="00D12FCA">
                  <w:pPr>
                    <w:pStyle w:val="cs80d9435b"/>
                    <w:rPr>
                      <w:color w:val="000000" w:themeColor="text1"/>
                      <w:lang w:val="ru-RU"/>
                    </w:rPr>
                  </w:pPr>
                  <w:r w:rsidRPr="00D12FCA">
                    <w:rPr>
                      <w:rStyle w:val="csa699bcf12"/>
                      <w:rFonts w:ascii="Times New Roman" w:hAnsi="Times New Roman" w:cs="Times New Roman"/>
                      <w:color w:val="000000" w:themeColor="text1"/>
                      <w:sz w:val="24"/>
                      <w:szCs w:val="24"/>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r>
          </w:tbl>
          <w:p w:rsidR="00904921" w:rsidRDefault="00904921" w:rsidP="00904921"/>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2243 від 05.10.2020</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вторинно-прогресуючим розсіяним склерозом без рецидивів (HERCULES)», EFC16645, з поправкою 04, версія 1 від 26 липня 2021р.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 «Санофі-Авентіс Україна»</w:t>
            </w:r>
          </w:p>
        </w:tc>
      </w:tr>
      <w:tr w:rsidR="00070F51" w:rsidRPr="00A46798">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Pr="00827BA8" w:rsidRDefault="00865A94">
            <w:pPr>
              <w:jc w:val="both"/>
              <w:rPr>
                <w:lang w:val="en-US"/>
              </w:rPr>
            </w:pPr>
            <w:r w:rsidRPr="00827BA8">
              <w:rPr>
                <w:lang w:val="en-US"/>
              </w:rPr>
              <w:t>Genzyme Corporation, USA (</w:t>
            </w:r>
            <w:r>
              <w:t>Джензайм</w:t>
            </w:r>
            <w:r w:rsidRPr="00827BA8">
              <w:rPr>
                <w:lang w:val="en-US"/>
              </w:rPr>
              <w:t xml:space="preserve"> </w:t>
            </w:r>
            <w:r>
              <w:t>Корпорейшн</w:t>
            </w:r>
            <w:r w:rsidRPr="00827BA8">
              <w:rPr>
                <w:lang w:val="en-US"/>
              </w:rPr>
              <w:t xml:space="preserve">, </w:t>
            </w:r>
            <w:r>
              <w:t>США</w:t>
            </w:r>
            <w:r w:rsidRPr="00827BA8">
              <w:rPr>
                <w:lang w:val="en-US"/>
              </w:rPr>
              <w:t xml:space="preserve">)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23</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клінічного випробування, версія 9 від 28 лютого 2022 р.; Форма інформованої згоди версія 9.0 для України українською та російською мовами від 11 квітня 2022 р. На основі модельної форми інформованої згоди для дослідження GO40241 (IMpower030) версія 9 від 28 лютого 2022 р.</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928 від 15.05.2018</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«Подвійне сліпе, багатоцентрове, рандомізоване дослідження III фази для оцінки ефективності та безпеки неоад'ювантної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GO40241, версія 8 від 12 серпня 2021 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«Рош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Ф.Хоффманн-Ля Рош Лтд, Швейцарія</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24</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клінічного випробування, версія 8 від 18 січня 2022 р.; Форма інформованої згоди версія 10.0 для України українською та російською мовами від 29 квітня 2022 р. На основі модельної форми інформованої згоди для дослідження BO28984, версія 12 від 18 січня 2022 р.; Оновлені розділи 2.1.S.2.1 «Виробник(и)» (S.2.1_cmc376453), 2.1.S.2.3 «Контроль матеріалів» (S.2.3_cmc380348), 2.1.S.4.4 «Аналізи серій» (S.4.4_cmc379896), 2.1.P.3.1 «Виробник(и)» (P.3.1_cmc389881) досьє досліджуваного лікарського засобу Алектиніб</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D12FCA">
            <w:pPr>
              <w:jc w:val="both"/>
            </w:pPr>
            <w:r>
              <w:t>―</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«Рандомізоване, багатоцентрове, фази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ВO28984, версія 6 від 04 листопада 2019 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«Рош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«Ф. Хоффманн-Ля Рош Лтд» (F. Hoffmann-La Roche Ltd), Швейцарія</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25</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клінічного випробування XL184-312, поправка 4.0 від 28 березня 2022 року англійською мовою; Брошура дослідника препарату Tecentriq (atezolizumab), версія 18 від липня 2021 року англійською мовою; Доповнення №1 від серпня 2021 року до Брошури дослідника препарату Tecentriq (atezolizumab), версія 18 від липня 2021 року англійською мовою; Основний інформаційний листок пацієнта та форма інформованої згоди для України, версія 9.0 від 07 квітня 2022 року українською, російською та англійською мовами</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1265 від 05.06.2019</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«Pандомізоване, контрольоване дослідження фази 3 Кабозантінібу (XL184) у комбінації з Атезолізумабом порівняно із Сорафенібом у пацієнтів із поширеною гепатоцелюлярною карциномою, які не отримували попередню системну протипухлинну терапію», XL184–312, поправка 3.0 від 14 травня 2021 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«ФАРМАСЬЮТІКАЛ РІСЕРЧ АССОУШИЕЙТС УКРАЇНА» (ТОВ «ФРА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Exelixis, Inc., США</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26</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 xml:space="preserve">Оновлений протокол клінічного випробування MK-7339-008, з інкорпорованою поправкою 05 від </w:t>
            </w:r>
            <w:r w:rsidR="00D12FCA" w:rsidRPr="00D12FCA">
              <w:t xml:space="preserve"> </w:t>
            </w:r>
            <w:r>
              <w:t>18 лютого 2022 року, англійською мовою; Інформація та документ про інформовану згоду для пацієнта, Україна, MK-7339-008, версія 6.00 від 06 травня 2022 р., українською мовою; Інформація та документ про інформовану згоду для пацієнта, Україна, MK-7339-008, версія 6.00 від 06 травня 2022 р., російською мовою; Збільшення запланованої кількості досліджуваних для всього клінічного випробування (у світі) з 732 до 857 осіб</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2107 від 17.10.2019</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«Дослідження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MK-7339-008, з інкорпорованою поправкою 04 від </w:t>
            </w:r>
            <w:r w:rsidR="00D12FCA">
              <w:rPr>
                <w:lang w:val="en-US"/>
              </w:rPr>
              <w:t xml:space="preserve">             </w:t>
            </w:r>
            <w:r>
              <w:t>22 жовтня 2021 року</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«МСД 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xml:space="preserve">«Мерк Шарп Енд Доум Корп.», дочірнє підприємство «Мерк Енд Ко., Інк.», США (Merck Sharp &amp; Dohme Corp., a subsidiary of Merck &amp; Co., Inc., USA) </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070F51" w:rsidRDefault="00070F51">
      <w:pPr>
        <w:ind w:left="142"/>
        <w:rPr>
          <w:lang w:val="en-US"/>
        </w:rPr>
      </w:pPr>
    </w:p>
    <w:p w:rsidR="00070F51" w:rsidRDefault="00865A94">
      <w:pPr>
        <w:rPr>
          <w:lang w:val="uk-UA"/>
        </w:rPr>
      </w:pPr>
      <w:r>
        <w:rPr>
          <w:lang w:val="uk-UA"/>
        </w:rPr>
        <w:t xml:space="preserve">                                                                                                                                                       Додаток </w:t>
      </w:r>
      <w:r>
        <w:rPr>
          <w:lang w:val="en-US"/>
        </w:rPr>
        <w:t>27</w:t>
      </w:r>
    </w:p>
    <w:p w:rsidR="00070F51" w:rsidRDefault="0068287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682870">
        <w:rPr>
          <w:lang w:val="uk-UA"/>
        </w:rPr>
        <w:t>Про затвердження суттєвих</w:t>
      </w:r>
      <w:r>
        <w:rPr>
          <w:lang w:val="uk-UA"/>
        </w:rPr>
        <w:t xml:space="preserve"> </w:t>
      </w:r>
      <w:r w:rsidRPr="00682870">
        <w:rPr>
          <w:lang w:val="uk-UA"/>
        </w:rPr>
        <w:t>поправок до протоколів</w:t>
      </w:r>
      <w:r>
        <w:rPr>
          <w:lang w:val="uk-UA"/>
        </w:rPr>
        <w:t xml:space="preserve"> </w:t>
      </w:r>
      <w:r w:rsidRPr="00682870">
        <w:rPr>
          <w:lang w:val="uk-UA"/>
        </w:rPr>
        <w:t>клінічних випробувань</w:t>
      </w:r>
      <w:r>
        <w:rPr>
          <w:lang w:val="uk-UA"/>
        </w:rPr>
        <w:t>»</w:t>
      </w:r>
      <w:r w:rsidR="00865A94">
        <w:rPr>
          <w:lang w:val="uk-UA"/>
        </w:rPr>
        <w:t xml:space="preserve"> </w:t>
      </w:r>
    </w:p>
    <w:p w:rsidR="00070F51" w:rsidRDefault="00A46798">
      <w:pPr>
        <w:ind w:left="9072"/>
        <w:rPr>
          <w:lang w:val="uk-UA"/>
        </w:rPr>
      </w:pPr>
      <w:bookmarkStart w:id="0" w:name="_GoBack"/>
      <w:bookmarkEnd w:id="0"/>
      <w:r>
        <w:rPr>
          <w:u w:val="single"/>
          <w:lang w:val="uk-UA"/>
        </w:rPr>
        <w:t>20.06.2022</w:t>
      </w:r>
      <w:r>
        <w:rPr>
          <w:lang w:val="uk-UA"/>
        </w:rPr>
        <w:t xml:space="preserve"> № </w:t>
      </w:r>
      <w:r>
        <w:rPr>
          <w:u w:val="single"/>
          <w:lang w:val="uk-UA"/>
        </w:rPr>
        <w:t>1065</w:t>
      </w:r>
    </w:p>
    <w:p w:rsidR="00070F51" w:rsidRDefault="00070F51"/>
    <w:p w:rsidR="00070F51" w:rsidRDefault="00070F51"/>
    <w:tbl>
      <w:tblPr>
        <w:tblStyle w:val="a6"/>
        <w:tblW w:w="0" w:type="auto"/>
        <w:tblInd w:w="0" w:type="dxa"/>
        <w:tblLayout w:type="fixed"/>
        <w:tblLook w:val="04A0" w:firstRow="1" w:lastRow="0" w:firstColumn="1" w:lastColumn="0" w:noHBand="0" w:noVBand="1"/>
      </w:tblPr>
      <w:tblGrid>
        <w:gridCol w:w="2841"/>
        <w:gridCol w:w="10479"/>
      </w:tblGrid>
      <w:tr w:rsidR="00070F5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0F51" w:rsidRDefault="00865A94">
            <w:pPr>
              <w:jc w:val="both"/>
              <w:rPr>
                <w:rFonts w:cstheme="minorBidi"/>
              </w:rPr>
            </w:pPr>
            <w:r>
              <w:t>Оновлений Протокол клінічного випробування GO29527, версія 10 від 03 лютого 2022 р., англійською мовою; Інформація для пацієнта і форма інформованої згоди, версія 14 для України англійською мовою від 21 квітня 2022 р.; Інформація для пацієнта і форма інформованої згоди, версія 14 для України українською мовою від 21 квітня 2022 р.; Інформація для пацієнта і форма інформованої згоди, версія 14 для України російською мовою від 21 квітня 2022 р.</w:t>
            </w:r>
            <w:r>
              <w:rPr>
                <w:rFonts w:cstheme="minorBidi"/>
              </w:rPr>
              <w:t xml:space="preserve"> </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 549 від 27.08.2015</w:t>
            </w:r>
          </w:p>
        </w:tc>
      </w:tr>
      <w:tr w:rsidR="00070F51">
        <w:trPr>
          <w:trHeight w:val="1111"/>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«3я фаза, відкрите, рандомізоване дослідження для оцінки ефективності та безпеки препарату Атезолізумаб (ANTI-PD - L1 антитіло)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IB-IIIA стадії», GO29527, версія 9 від 17 квітня 2021 р.</w:t>
            </w:r>
          </w:p>
        </w:tc>
      </w:tr>
      <w:tr w:rsidR="00070F51">
        <w:trPr>
          <w:trHeight w:val="379"/>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Товариство з Обмеженою Відповідальністю «Контрактно-дослідницька організація ІнноФарм-Україна»</w:t>
            </w:r>
          </w:p>
        </w:tc>
      </w:tr>
      <w:tr w:rsidR="00070F51">
        <w:trPr>
          <w:trHeight w:val="353"/>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pPr>
            <w:r>
              <w:t>F. Hoffmann-La Roche Ltd, Switzerland («Ф. Хоффманн-Ля Рош Лтд», Швейцарія)</w:t>
            </w:r>
          </w:p>
        </w:tc>
      </w:tr>
      <w:tr w:rsidR="00070F51">
        <w:trPr>
          <w:trHeight w:val="732"/>
        </w:trPr>
        <w:tc>
          <w:tcPr>
            <w:tcW w:w="2841" w:type="dxa"/>
            <w:tcBorders>
              <w:top w:val="single" w:sz="4" w:space="0" w:color="auto"/>
              <w:left w:val="single" w:sz="4" w:space="0" w:color="auto"/>
              <w:bottom w:val="single" w:sz="4" w:space="0" w:color="auto"/>
              <w:right w:val="single" w:sz="4" w:space="0" w:color="auto"/>
            </w:tcBorders>
            <w:hideMark/>
          </w:tcPr>
          <w:p w:rsidR="00070F51" w:rsidRDefault="00865A9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070F51" w:rsidRDefault="00865A94">
            <w:pPr>
              <w:jc w:val="both"/>
              <w:rPr>
                <w:lang w:val="en-US"/>
              </w:rPr>
            </w:pPr>
            <w:r>
              <w:t xml:space="preserve">― </w:t>
            </w:r>
          </w:p>
        </w:tc>
      </w:tr>
    </w:tbl>
    <w:p w:rsidR="00070F51" w:rsidRDefault="00070F51">
      <w:pPr>
        <w:rPr>
          <w:lang w:val="uk-UA"/>
        </w:rPr>
      </w:pPr>
    </w:p>
    <w:p w:rsidR="00070F51" w:rsidRDefault="00865A9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070F51" w:rsidRDefault="00865A9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p w:rsidR="00070F51" w:rsidRDefault="00070F51">
      <w:pPr>
        <w:ind w:left="142"/>
        <w:rPr>
          <w:lang w:val="en-US"/>
        </w:rPr>
      </w:pPr>
    </w:p>
    <w:p w:rsidR="00070F51" w:rsidRDefault="00070F51">
      <w:pPr>
        <w:rPr>
          <w:lang w:val="uk-UA"/>
        </w:rPr>
      </w:pPr>
    </w:p>
    <w:sectPr w:rsidR="00070F51">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94"/>
    <w:rsid w:val="00070F51"/>
    <w:rsid w:val="002A187B"/>
    <w:rsid w:val="004A1982"/>
    <w:rsid w:val="0055697B"/>
    <w:rsid w:val="00617D46"/>
    <w:rsid w:val="00682870"/>
    <w:rsid w:val="006A2FE7"/>
    <w:rsid w:val="00827BA8"/>
    <w:rsid w:val="008325E3"/>
    <w:rsid w:val="00865A94"/>
    <w:rsid w:val="00904921"/>
    <w:rsid w:val="00A46798"/>
    <w:rsid w:val="00B00686"/>
    <w:rsid w:val="00D12FCA"/>
    <w:rsid w:val="00D50C9A"/>
    <w:rsid w:val="00D6703E"/>
    <w:rsid w:val="00E83A94"/>
    <w:rsid w:val="00F23E58"/>
    <w:rsid w:val="00FE22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370A7"/>
  <w15:chartTrackingRefBased/>
  <w15:docId w15:val="{45AC8EAB-B751-407A-B51A-4E1BFD09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2e86d3a6">
    <w:name w:val="cs2e86d3a6"/>
    <w:basedOn w:val="a"/>
    <w:rsid w:val="00827BA8"/>
    <w:pPr>
      <w:jc w:val="center"/>
    </w:pPr>
    <w:rPr>
      <w:rFonts w:eastAsiaTheme="minorEastAsia" w:cs="Times New Roman"/>
      <w:szCs w:val="24"/>
      <w:lang w:val="en-US"/>
    </w:rPr>
  </w:style>
  <w:style w:type="character" w:customStyle="1" w:styleId="cs9b006262">
    <w:name w:val="cs9b006262"/>
    <w:basedOn w:val="a0"/>
    <w:rsid w:val="00827BA8"/>
    <w:rPr>
      <w:rFonts w:ascii="Arial" w:hAnsi="Arial" w:cs="Arial" w:hint="default"/>
      <w:b/>
      <w:bCs/>
      <w:i w:val="0"/>
      <w:iCs w:val="0"/>
      <w:color w:val="000000"/>
      <w:sz w:val="20"/>
      <w:szCs w:val="20"/>
      <w:shd w:val="clear" w:color="auto" w:fill="auto"/>
    </w:rPr>
  </w:style>
  <w:style w:type="paragraph" w:customStyle="1" w:styleId="cs80d9435b">
    <w:name w:val="cs80d9435b"/>
    <w:basedOn w:val="a"/>
    <w:rsid w:val="00827BA8"/>
    <w:pPr>
      <w:jc w:val="both"/>
    </w:pPr>
    <w:rPr>
      <w:rFonts w:eastAsiaTheme="minorEastAsia" w:cs="Times New Roman"/>
      <w:szCs w:val="24"/>
      <w:lang w:val="en-US"/>
    </w:rPr>
  </w:style>
  <w:style w:type="character" w:customStyle="1" w:styleId="cs9f0a40402">
    <w:name w:val="cs9f0a40402"/>
    <w:basedOn w:val="a0"/>
    <w:rsid w:val="00827BA8"/>
    <w:rPr>
      <w:rFonts w:ascii="Arial" w:hAnsi="Arial" w:cs="Arial" w:hint="default"/>
      <w:b w:val="0"/>
      <w:bCs w:val="0"/>
      <w:i w:val="0"/>
      <w:iCs w:val="0"/>
      <w:color w:val="000000"/>
      <w:sz w:val="20"/>
      <w:szCs w:val="20"/>
      <w:shd w:val="clear" w:color="auto" w:fill="auto"/>
    </w:rPr>
  </w:style>
  <w:style w:type="character" w:customStyle="1" w:styleId="cs9f0a40406">
    <w:name w:val="cs9f0a40406"/>
    <w:basedOn w:val="a0"/>
    <w:rsid w:val="00827BA8"/>
    <w:rPr>
      <w:rFonts w:ascii="Arial" w:hAnsi="Arial" w:cs="Arial" w:hint="default"/>
      <w:b w:val="0"/>
      <w:bCs w:val="0"/>
      <w:i w:val="0"/>
      <w:iCs w:val="0"/>
      <w:color w:val="000000"/>
      <w:sz w:val="20"/>
      <w:szCs w:val="20"/>
      <w:shd w:val="clear" w:color="auto" w:fill="auto"/>
    </w:rPr>
  </w:style>
  <w:style w:type="character" w:customStyle="1" w:styleId="cs9b006266">
    <w:name w:val="cs9b006266"/>
    <w:basedOn w:val="a0"/>
    <w:rsid w:val="00827BA8"/>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827BA8"/>
    <w:pPr>
      <w:jc w:val="both"/>
    </w:pPr>
    <w:rPr>
      <w:rFonts w:eastAsiaTheme="minorEastAsia" w:cs="Times New Roman"/>
      <w:szCs w:val="24"/>
      <w:lang w:val="en-US"/>
    </w:rPr>
  </w:style>
  <w:style w:type="character" w:customStyle="1" w:styleId="cs9b006268">
    <w:name w:val="cs9b006268"/>
    <w:basedOn w:val="a0"/>
    <w:rsid w:val="00827BA8"/>
    <w:rPr>
      <w:rFonts w:ascii="Arial" w:hAnsi="Arial" w:cs="Arial" w:hint="default"/>
      <w:b/>
      <w:bCs/>
      <w:i w:val="0"/>
      <w:iCs w:val="0"/>
      <w:color w:val="000000"/>
      <w:sz w:val="20"/>
      <w:szCs w:val="20"/>
      <w:shd w:val="clear" w:color="auto" w:fill="auto"/>
    </w:rPr>
  </w:style>
  <w:style w:type="character" w:customStyle="1" w:styleId="cs9f0a40408">
    <w:name w:val="cs9f0a40408"/>
    <w:basedOn w:val="a0"/>
    <w:rsid w:val="00827BA8"/>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sid w:val="00827BA8"/>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827BA8"/>
    <w:rPr>
      <w:rFonts w:eastAsiaTheme="minorEastAsia" w:cs="Times New Roman"/>
      <w:szCs w:val="24"/>
      <w:lang w:val="en-US"/>
    </w:rPr>
  </w:style>
  <w:style w:type="character" w:customStyle="1" w:styleId="cs9f0a404010">
    <w:name w:val="cs9f0a404010"/>
    <w:basedOn w:val="a0"/>
    <w:rsid w:val="00827BA8"/>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12FCA"/>
    <w:rPr>
      <w:rFonts w:eastAsiaTheme="minorEastAsia" w:cs="Times New Roman"/>
      <w:szCs w:val="24"/>
      <w:lang w:val="en-US"/>
    </w:rPr>
  </w:style>
  <w:style w:type="character" w:customStyle="1" w:styleId="cs9b0062612">
    <w:name w:val="cs9b0062612"/>
    <w:basedOn w:val="a0"/>
    <w:rsid w:val="00D12FCA"/>
    <w:rPr>
      <w:rFonts w:ascii="Arial" w:hAnsi="Arial" w:cs="Arial" w:hint="default"/>
      <w:b/>
      <w:bCs/>
      <w:i w:val="0"/>
      <w:iCs w:val="0"/>
      <w:color w:val="000000"/>
      <w:sz w:val="20"/>
      <w:szCs w:val="20"/>
      <w:shd w:val="clear" w:color="auto" w:fill="auto"/>
    </w:rPr>
  </w:style>
  <w:style w:type="character" w:customStyle="1" w:styleId="csa699bcf11">
    <w:name w:val="csa699bcf11"/>
    <w:basedOn w:val="a0"/>
    <w:rsid w:val="00D12FCA"/>
    <w:rPr>
      <w:rFonts w:ascii="Arial" w:hAnsi="Arial" w:cs="Arial" w:hint="default"/>
      <w:b w:val="0"/>
      <w:bCs w:val="0"/>
      <w:i w:val="0"/>
      <w:iCs w:val="0"/>
      <w:color w:val="102B56"/>
      <w:sz w:val="20"/>
      <w:szCs w:val="20"/>
      <w:shd w:val="clear" w:color="auto" w:fill="auto"/>
    </w:rPr>
  </w:style>
  <w:style w:type="character" w:customStyle="1" w:styleId="cs9b0062617">
    <w:name w:val="cs9b0062617"/>
    <w:basedOn w:val="a0"/>
    <w:rsid w:val="00D12FCA"/>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D12FCA"/>
    <w:rPr>
      <w:rFonts w:ascii="Arial" w:hAnsi="Arial" w:cs="Arial" w:hint="default"/>
      <w:b w:val="0"/>
      <w:bCs w:val="0"/>
      <w:i w:val="0"/>
      <w:iCs w:val="0"/>
      <w:color w:val="000000"/>
      <w:sz w:val="20"/>
      <w:szCs w:val="20"/>
      <w:shd w:val="clear" w:color="auto" w:fill="auto"/>
    </w:rPr>
  </w:style>
  <w:style w:type="character" w:customStyle="1" w:styleId="cs9f0a404022">
    <w:name w:val="cs9f0a404022"/>
    <w:basedOn w:val="a0"/>
    <w:rsid w:val="00D12FCA"/>
    <w:rPr>
      <w:rFonts w:ascii="Arial" w:hAnsi="Arial" w:cs="Arial" w:hint="default"/>
      <w:b w:val="0"/>
      <w:bCs w:val="0"/>
      <w:i w:val="0"/>
      <w:iCs w:val="0"/>
      <w:color w:val="000000"/>
      <w:sz w:val="20"/>
      <w:szCs w:val="20"/>
      <w:shd w:val="clear" w:color="auto" w:fill="auto"/>
    </w:rPr>
  </w:style>
  <w:style w:type="character" w:customStyle="1" w:styleId="cs7d567a251">
    <w:name w:val="cs7d567a251"/>
    <w:basedOn w:val="a0"/>
    <w:rsid w:val="00D12FCA"/>
    <w:rPr>
      <w:rFonts w:ascii="Arial" w:hAnsi="Arial" w:cs="Arial" w:hint="default"/>
      <w:b/>
      <w:bCs/>
      <w:i w:val="0"/>
      <w:iCs w:val="0"/>
      <w:color w:val="102B56"/>
      <w:sz w:val="20"/>
      <w:szCs w:val="20"/>
      <w:shd w:val="clear" w:color="auto" w:fill="auto"/>
    </w:rPr>
  </w:style>
  <w:style w:type="character" w:customStyle="1" w:styleId="csa699bcf12">
    <w:name w:val="csa699bcf12"/>
    <w:basedOn w:val="a0"/>
    <w:rsid w:val="00D12FCA"/>
    <w:rPr>
      <w:rFonts w:ascii="Arial" w:hAnsi="Arial" w:cs="Arial" w:hint="default"/>
      <w:b w:val="0"/>
      <w:bCs w:val="0"/>
      <w:i w:val="0"/>
      <w:iCs w:val="0"/>
      <w:color w:val="102B56"/>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36938</Words>
  <Characters>21055</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Liudmyla</cp:lastModifiedBy>
  <cp:revision>3</cp:revision>
  <dcterms:created xsi:type="dcterms:W3CDTF">2022-06-21T07:10:00Z</dcterms:created>
  <dcterms:modified xsi:type="dcterms:W3CDTF">2022-06-21T07:13:00Z</dcterms:modified>
</cp:coreProperties>
</file>