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AA" w:rsidRDefault="001D2379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                                                        Додаток </w:t>
      </w:r>
      <w:r>
        <w:rPr>
          <w:lang w:val="ru-RU"/>
        </w:rPr>
        <w:t>1</w:t>
      </w:r>
    </w:p>
    <w:p w:rsidR="007E05AA" w:rsidRDefault="001D2379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</w:t>
      </w:r>
      <w:r w:rsidR="00647C56">
        <w:rPr>
          <w:lang w:val="uk-UA"/>
        </w:rPr>
        <w:t>«</w:t>
      </w:r>
      <w:r w:rsidR="0075246D" w:rsidRPr="0075246D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="0075246D" w:rsidRPr="0075246D">
        <w:rPr>
          <w:lang w:val="uk-UA"/>
        </w:rPr>
        <w:t>коронавірусної</w:t>
      </w:r>
      <w:proofErr w:type="spellEnd"/>
      <w:r w:rsidR="0075246D" w:rsidRPr="0075246D">
        <w:rPr>
          <w:lang w:val="uk-UA"/>
        </w:rPr>
        <w:t xml:space="preserve"> хвороби (COVID-19)</w:t>
      </w:r>
      <w:r w:rsidR="00647C56">
        <w:rPr>
          <w:lang w:val="uk-UA"/>
        </w:rPr>
        <w:t>»</w:t>
      </w:r>
    </w:p>
    <w:p w:rsidR="007E05AA" w:rsidRDefault="001267E1">
      <w:pPr>
        <w:ind w:left="9072"/>
        <w:rPr>
          <w:lang w:val="uk-UA"/>
        </w:rPr>
      </w:pPr>
      <w:r w:rsidRPr="001267E1">
        <w:rPr>
          <w:u w:val="single"/>
          <w:lang w:val="uk-UA"/>
        </w:rPr>
        <w:t>22.12.2021</w:t>
      </w:r>
      <w:r w:rsidR="001D2379">
        <w:rPr>
          <w:lang w:val="uk-UA"/>
        </w:rPr>
        <w:t xml:space="preserve"> № </w:t>
      </w:r>
      <w:r w:rsidRPr="001267E1">
        <w:rPr>
          <w:u w:val="single"/>
          <w:lang w:val="uk-UA"/>
        </w:rPr>
        <w:t>2839</w:t>
      </w:r>
    </w:p>
    <w:p w:rsidR="007E05AA" w:rsidRPr="001267E1" w:rsidRDefault="007E05AA">
      <w:pPr>
        <w:rPr>
          <w:lang w:val="uk-UA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E05AA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E05AA" w:rsidRPr="001267E1" w:rsidRDefault="001D2379">
            <w:pPr>
              <w:rPr>
                <w:szCs w:val="24"/>
                <w:lang w:val="uk-UA"/>
              </w:rPr>
            </w:pPr>
            <w:r w:rsidRPr="001267E1">
              <w:rPr>
                <w:szCs w:val="24"/>
                <w:lang w:val="uk-UA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E05AA" w:rsidRDefault="001D2379">
            <w:pPr>
              <w:jc w:val="both"/>
              <w:rPr>
                <w:rFonts w:cstheme="minorBidi"/>
              </w:rPr>
            </w:pPr>
            <w:r w:rsidRPr="001267E1">
              <w:rPr>
                <w:lang w:val="uk-UA"/>
              </w:rPr>
              <w:t xml:space="preserve">Досьє досліджуваного лікарського засобу </w:t>
            </w:r>
            <w:r>
              <w:t>LYT</w:t>
            </w:r>
            <w:r w:rsidRPr="001267E1">
              <w:rPr>
                <w:lang w:val="uk-UA"/>
              </w:rPr>
              <w:t>-100 (</w:t>
            </w:r>
            <w:proofErr w:type="spellStart"/>
            <w:r w:rsidRPr="001267E1">
              <w:rPr>
                <w:lang w:val="uk-UA"/>
              </w:rPr>
              <w:t>Деупірфенідон</w:t>
            </w:r>
            <w:proofErr w:type="spellEnd"/>
            <w:r w:rsidRPr="001267E1">
              <w:rPr>
                <w:lang w:val="uk-UA"/>
              </w:rPr>
              <w:t xml:space="preserve">), Лікарський засіб, Версія 4.0 </w:t>
            </w:r>
            <w:proofErr w:type="spellStart"/>
            <w:r>
              <w:t>від</w:t>
            </w:r>
            <w:proofErr w:type="spellEnd"/>
            <w:r>
              <w:t xml:space="preserve"> 12 </w:t>
            </w:r>
            <w:proofErr w:type="spellStart"/>
            <w:r>
              <w:t>листопада</w:t>
            </w:r>
            <w:proofErr w:type="spellEnd"/>
            <w:r>
              <w:t xml:space="preserve"> 2021 р., англійською мовою; Досьє досліджуваного лікарського засобу LYT-100 (Деупірфенідон), Субстанція, Версія 4.0 від 12 листопада 2021 р., англійською мовою; Досьє досліджуваного лікарського засобу LYT-100 (Деупірфенідон), Плацебо, Версія 4.0 від 12 листопада 2021 р., англійською мовою; Залучення додаткової виробничої ділянки досліджуваного лікарського засобу та плацебо до нього PCI Pharma Services, 2/7 Chifley Drive, Moorabbin Airport VIC 3194, Австралія; Продовження строку придатності досліджуваного лікарського засобу LYT-100 капсули, 250 мг та плацебо до нього з 17 до 24 місяців</w:t>
            </w:r>
            <w:r>
              <w:rPr>
                <w:rFonts w:cstheme="minorBidi"/>
              </w:rPr>
              <w:t xml:space="preserve"> </w:t>
            </w:r>
          </w:p>
        </w:tc>
      </w:tr>
      <w:tr w:rsidR="007E05A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AA" w:rsidRDefault="001D237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>
              <w:rPr>
                <w:szCs w:val="24"/>
                <w:lang w:val="ru-RU"/>
              </w:rPr>
              <w:t>щодо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затвердження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клінічного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AA" w:rsidRDefault="001D2379">
            <w:pPr>
              <w:jc w:val="both"/>
            </w:pPr>
            <w:r>
              <w:t xml:space="preserve">№ 1206 </w:t>
            </w:r>
            <w:proofErr w:type="spellStart"/>
            <w:r>
              <w:t>від</w:t>
            </w:r>
            <w:proofErr w:type="spellEnd"/>
            <w:r>
              <w:t xml:space="preserve"> 15.06.2021</w:t>
            </w:r>
          </w:p>
        </w:tc>
      </w:tr>
      <w:tr w:rsidR="007E05AA" w:rsidRPr="001267E1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AA" w:rsidRDefault="001D2379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Назва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клінічного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випробування</w:t>
            </w:r>
            <w:proofErr w:type="spellEnd"/>
            <w:r>
              <w:rPr>
                <w:szCs w:val="24"/>
                <w:lang w:val="ru-RU"/>
              </w:rPr>
              <w:t xml:space="preserve">, код, </w:t>
            </w:r>
            <w:proofErr w:type="spellStart"/>
            <w:r>
              <w:rPr>
                <w:szCs w:val="24"/>
                <w:lang w:val="ru-RU"/>
              </w:rPr>
              <w:t>версія</w:t>
            </w:r>
            <w:proofErr w:type="spellEnd"/>
            <w:r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AA" w:rsidRDefault="001D237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Рандомізоване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подвійне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сліпе</w:t>
            </w:r>
            <w:proofErr w:type="spellEnd"/>
            <w:r>
              <w:rPr>
                <w:lang w:val="ru-RU"/>
              </w:rPr>
              <w:t>, плацебо-</w:t>
            </w:r>
            <w:proofErr w:type="spellStart"/>
            <w:r>
              <w:rPr>
                <w:lang w:val="ru-RU"/>
              </w:rPr>
              <w:t>контрольоване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дослідження</w:t>
            </w:r>
            <w:proofErr w:type="spellEnd"/>
            <w:r>
              <w:rPr>
                <w:lang w:val="ru-RU"/>
              </w:rPr>
              <w:t xml:space="preserve"> 2 </w:t>
            </w:r>
            <w:proofErr w:type="spellStart"/>
            <w:r>
              <w:rPr>
                <w:lang w:val="ru-RU"/>
              </w:rPr>
              <w:t>фази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розширеним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періодом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відкритого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лікування</w:t>
            </w:r>
            <w:proofErr w:type="spellEnd"/>
            <w:r>
              <w:rPr>
                <w:lang w:val="ru-RU"/>
              </w:rPr>
              <w:t xml:space="preserve"> для </w:t>
            </w:r>
            <w:proofErr w:type="spellStart"/>
            <w:r>
              <w:rPr>
                <w:lang w:val="ru-RU"/>
              </w:rPr>
              <w:t>оцінки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безпечності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ефективності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деупірфенідону</w:t>
            </w:r>
            <w:proofErr w:type="spellEnd"/>
            <w:r>
              <w:rPr>
                <w:lang w:val="ru-RU"/>
              </w:rPr>
              <w:t xml:space="preserve"> (</w:t>
            </w:r>
            <w:r>
              <w:t>LYT</w:t>
            </w:r>
            <w:r>
              <w:rPr>
                <w:lang w:val="ru-RU"/>
              </w:rPr>
              <w:t xml:space="preserve">-100) при </w:t>
            </w:r>
            <w:proofErr w:type="spellStart"/>
            <w:r>
              <w:rPr>
                <w:lang w:val="ru-RU"/>
              </w:rPr>
              <w:t>респіраторному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захворюванні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обумовленому</w:t>
            </w:r>
            <w:proofErr w:type="spellEnd"/>
            <w:r>
              <w:rPr>
                <w:lang w:val="ru-RU"/>
              </w:rPr>
              <w:t xml:space="preserve"> </w:t>
            </w:r>
            <w:r>
              <w:t>COVID</w:t>
            </w:r>
            <w:r>
              <w:rPr>
                <w:lang w:val="ru-RU"/>
              </w:rPr>
              <w:t xml:space="preserve">-19, </w:t>
            </w:r>
            <w:proofErr w:type="spellStart"/>
            <w:r>
              <w:rPr>
                <w:lang w:val="ru-RU"/>
              </w:rPr>
              <w:t>після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завершення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гострої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фази</w:t>
            </w:r>
            <w:proofErr w:type="spellEnd"/>
            <w:r>
              <w:rPr>
                <w:lang w:val="ru-RU"/>
              </w:rPr>
              <w:t xml:space="preserve">», </w:t>
            </w:r>
            <w:r>
              <w:t>LYT</w:t>
            </w:r>
            <w:r>
              <w:rPr>
                <w:lang w:val="ru-RU"/>
              </w:rPr>
              <w:t xml:space="preserve">-100-2020-02, поправка 5 </w:t>
            </w:r>
            <w:proofErr w:type="spellStart"/>
            <w:r>
              <w:rPr>
                <w:lang w:val="ru-RU"/>
              </w:rPr>
              <w:t>версія</w:t>
            </w:r>
            <w:proofErr w:type="spellEnd"/>
            <w:r>
              <w:rPr>
                <w:lang w:val="ru-RU"/>
              </w:rPr>
              <w:t xml:space="preserve"> 6.0 </w:t>
            </w: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27 </w:t>
            </w:r>
            <w:proofErr w:type="spellStart"/>
            <w:r>
              <w:rPr>
                <w:lang w:val="ru-RU"/>
              </w:rPr>
              <w:t>квітня</w:t>
            </w:r>
            <w:proofErr w:type="spellEnd"/>
            <w:r>
              <w:rPr>
                <w:lang w:val="ru-RU"/>
              </w:rPr>
              <w:t xml:space="preserve"> 2021 року</w:t>
            </w:r>
          </w:p>
        </w:tc>
      </w:tr>
      <w:tr w:rsidR="007E05AA" w:rsidRPr="001267E1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AA" w:rsidRDefault="001D237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AA" w:rsidRDefault="001D237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ТОВ «АРЕНСІЯ ЕКСПЛОРАТОРІ МЕДІСІН», </w:t>
            </w:r>
            <w:proofErr w:type="spellStart"/>
            <w:r>
              <w:rPr>
                <w:lang w:val="ru-RU"/>
              </w:rPr>
              <w:t>Україна</w:t>
            </w:r>
            <w:proofErr w:type="spellEnd"/>
          </w:p>
        </w:tc>
      </w:tr>
      <w:tr w:rsidR="007E05AA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AA" w:rsidRDefault="001D237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Спонсор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AA" w:rsidRDefault="001D2379">
            <w:pPr>
              <w:jc w:val="both"/>
            </w:pPr>
            <w:proofErr w:type="spellStart"/>
            <w:r>
              <w:t>ПьюерТек</w:t>
            </w:r>
            <w:proofErr w:type="spellEnd"/>
            <w:r>
              <w:t xml:space="preserve"> ЛІТ 100, </w:t>
            </w:r>
            <w:proofErr w:type="spellStart"/>
            <w:r>
              <w:t>Інк</w:t>
            </w:r>
            <w:proofErr w:type="spellEnd"/>
            <w:r>
              <w:t xml:space="preserve">., США/ </w:t>
            </w:r>
            <w:proofErr w:type="spellStart"/>
            <w:r>
              <w:t>PureTech</w:t>
            </w:r>
            <w:proofErr w:type="spellEnd"/>
            <w:r>
              <w:t xml:space="preserve"> LYT 100, </w:t>
            </w:r>
            <w:proofErr w:type="spellStart"/>
            <w:r>
              <w:t>Inc</w:t>
            </w:r>
            <w:proofErr w:type="spellEnd"/>
            <w:r>
              <w:t>, USA</w:t>
            </w:r>
          </w:p>
        </w:tc>
      </w:tr>
      <w:tr w:rsidR="007E05AA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AA" w:rsidRDefault="001D2379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AA" w:rsidRDefault="001D2379">
            <w:pPr>
              <w:jc w:val="both"/>
            </w:pPr>
            <w:r>
              <w:t xml:space="preserve">― </w:t>
            </w:r>
          </w:p>
        </w:tc>
      </w:tr>
    </w:tbl>
    <w:p w:rsidR="007E05AA" w:rsidRDefault="001D2379">
      <w:pPr>
        <w:rPr>
          <w:b/>
          <w:szCs w:val="24"/>
          <w:lang w:val="uk-UA"/>
        </w:rPr>
      </w:pPr>
      <w:proofErr w:type="spellStart"/>
      <w:r>
        <w:rPr>
          <w:b/>
          <w:color w:val="000000"/>
          <w:shd w:val="clear" w:color="auto" w:fill="FFFFFF"/>
          <w:lang w:val="uk-UA"/>
        </w:rPr>
        <w:t>В.о</w:t>
      </w:r>
      <w:proofErr w:type="spellEnd"/>
      <w:r>
        <w:rPr>
          <w:b/>
          <w:color w:val="000000"/>
          <w:shd w:val="clear" w:color="auto" w:fill="FFFFFF"/>
          <w:lang w:val="uk-UA"/>
        </w:rPr>
        <w:t>. генерального директора Директорату</w:t>
      </w:r>
      <w:r>
        <w:rPr>
          <w:b/>
          <w:lang w:val="uk-UA"/>
        </w:rPr>
        <w:t xml:space="preserve"> </w:t>
      </w:r>
    </w:p>
    <w:p w:rsidR="007E05AA" w:rsidRDefault="001D2379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7E05AA" w:rsidRDefault="001D237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>
        <w:rPr>
          <w:lang w:val="ru-RU"/>
        </w:rPr>
        <w:t>2</w:t>
      </w:r>
    </w:p>
    <w:p w:rsidR="007E05AA" w:rsidRDefault="0075246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5246D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75246D">
        <w:rPr>
          <w:lang w:val="uk-UA"/>
        </w:rPr>
        <w:t>коронавірусної</w:t>
      </w:r>
      <w:proofErr w:type="spellEnd"/>
      <w:r w:rsidRPr="0075246D">
        <w:rPr>
          <w:lang w:val="uk-UA"/>
        </w:rPr>
        <w:t xml:space="preserve"> хвороби (COVID-19)</w:t>
      </w:r>
      <w:r>
        <w:rPr>
          <w:lang w:val="uk-UA"/>
        </w:rPr>
        <w:t>»</w:t>
      </w:r>
      <w:r w:rsidR="001D2379">
        <w:rPr>
          <w:lang w:val="uk-UA"/>
        </w:rPr>
        <w:t xml:space="preserve"> </w:t>
      </w:r>
    </w:p>
    <w:p w:rsidR="007E05AA" w:rsidRDefault="001267E1">
      <w:pPr>
        <w:ind w:left="9072"/>
        <w:rPr>
          <w:lang w:val="uk-UA"/>
        </w:rPr>
      </w:pPr>
      <w:r w:rsidRPr="001267E1">
        <w:rPr>
          <w:u w:val="single"/>
          <w:lang w:val="uk-UA"/>
        </w:rPr>
        <w:t>22.12.2021</w:t>
      </w:r>
      <w:r>
        <w:rPr>
          <w:lang w:val="uk-UA"/>
        </w:rPr>
        <w:t xml:space="preserve"> № </w:t>
      </w:r>
      <w:r w:rsidRPr="001267E1">
        <w:rPr>
          <w:u w:val="single"/>
          <w:lang w:val="uk-UA"/>
        </w:rPr>
        <w:t>2839</w:t>
      </w:r>
    </w:p>
    <w:p w:rsidR="007E05AA" w:rsidRDefault="007E05AA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E05AA" w:rsidRPr="001267E1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E05AA" w:rsidRDefault="001D2379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E05AA" w:rsidRDefault="001D2379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Включення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додаткового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місця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проведення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клінічного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випробування</w:t>
            </w:r>
            <w:proofErr w:type="spellEnd"/>
          </w:p>
          <w:tbl>
            <w:tblPr>
              <w:tblW w:w="1008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3"/>
              <w:gridCol w:w="9287"/>
            </w:tblGrid>
            <w:tr w:rsidR="007E05AA" w:rsidRPr="001267E1">
              <w:tc>
                <w:tcPr>
                  <w:tcW w:w="7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05AA" w:rsidRPr="00647C56" w:rsidRDefault="001D2379">
                  <w:pPr>
                    <w:pStyle w:val="cs2e86d3a6"/>
                  </w:pPr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№ п/п</w:t>
                  </w:r>
                </w:p>
              </w:tc>
              <w:tc>
                <w:tcPr>
                  <w:tcW w:w="92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05AA" w:rsidRPr="00647C56" w:rsidRDefault="001D2379">
                  <w:pPr>
                    <w:pStyle w:val="cs202b20ac"/>
                    <w:rPr>
                      <w:lang w:val="ru-RU"/>
                    </w:rPr>
                  </w:pPr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П.І.Б. </w:t>
                  </w:r>
                  <w:proofErr w:type="spellStart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відповідального</w:t>
                  </w:r>
                  <w:proofErr w:type="spellEnd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досл</w:t>
                  </w:r>
                  <w:proofErr w:type="gramEnd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ідника</w:t>
                  </w:r>
                  <w:proofErr w:type="spellEnd"/>
                </w:p>
                <w:p w:rsidR="007E05AA" w:rsidRPr="00647C56" w:rsidRDefault="001D2379">
                  <w:pPr>
                    <w:pStyle w:val="cs2e86d3a6"/>
                    <w:rPr>
                      <w:lang w:val="ru-RU"/>
                    </w:rPr>
                  </w:pPr>
                  <w:proofErr w:type="spellStart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назва</w:t>
                  </w:r>
                  <w:proofErr w:type="spellEnd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місця</w:t>
                  </w:r>
                  <w:proofErr w:type="spellEnd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проведення</w:t>
                  </w:r>
                  <w:proofErr w:type="spellEnd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клінічного</w:t>
                  </w:r>
                  <w:proofErr w:type="spellEnd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випробування</w:t>
                  </w:r>
                  <w:proofErr w:type="spellEnd"/>
                </w:p>
              </w:tc>
            </w:tr>
            <w:tr w:rsidR="007E05AA" w:rsidRPr="001267E1">
              <w:tc>
                <w:tcPr>
                  <w:tcW w:w="7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05AA" w:rsidRPr="00647C56" w:rsidRDefault="001D2379">
                  <w:pPr>
                    <w:pStyle w:val="cs95e872d0"/>
                  </w:pPr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2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E05AA" w:rsidRPr="00647C56" w:rsidRDefault="001D2379">
                  <w:pPr>
                    <w:pStyle w:val="csf06cd379"/>
                    <w:rPr>
                      <w:lang w:val="ru-RU"/>
                    </w:rPr>
                  </w:pPr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д.м.н., проф. Шостакович-</w:t>
                  </w:r>
                  <w:proofErr w:type="spellStart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Корецька</w:t>
                  </w:r>
                  <w:proofErr w:type="spellEnd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Л.Р.</w:t>
                  </w:r>
                </w:p>
                <w:p w:rsidR="007E05AA" w:rsidRPr="00647C56" w:rsidRDefault="001D2379">
                  <w:pPr>
                    <w:pStyle w:val="cs80d9435b"/>
                    <w:rPr>
                      <w:lang w:val="ru-RU"/>
                    </w:rPr>
                  </w:pPr>
                  <w:proofErr w:type="spellStart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Комунальне</w:t>
                  </w:r>
                  <w:proofErr w:type="spellEnd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некомерційне</w:t>
                  </w:r>
                  <w:proofErr w:type="spellEnd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proofErr w:type="gramStart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</w:t>
                  </w:r>
                  <w:proofErr w:type="gramEnd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ідприємство</w:t>
                  </w:r>
                  <w:proofErr w:type="spellEnd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«</w:t>
                  </w:r>
                  <w:proofErr w:type="spellStart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Міська</w:t>
                  </w:r>
                  <w:proofErr w:type="spellEnd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клінічна</w:t>
                  </w:r>
                  <w:proofErr w:type="spellEnd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лікарня</w:t>
                  </w:r>
                  <w:proofErr w:type="spellEnd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№21 </w:t>
                  </w:r>
                  <w:proofErr w:type="spellStart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ім</w:t>
                  </w:r>
                  <w:proofErr w:type="spellEnd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проф. Є.Г. </w:t>
                  </w:r>
                  <w:proofErr w:type="spellStart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Попкової</w:t>
                  </w:r>
                  <w:proofErr w:type="spellEnd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» </w:t>
                  </w:r>
                  <w:proofErr w:type="spellStart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Дніпровської</w:t>
                  </w:r>
                  <w:proofErr w:type="spellEnd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міської</w:t>
                  </w:r>
                  <w:proofErr w:type="spellEnd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ради, консультативно-</w:t>
                  </w:r>
                  <w:proofErr w:type="spellStart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діагностичний</w:t>
                  </w:r>
                  <w:proofErr w:type="spellEnd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кабінет</w:t>
                  </w:r>
                  <w:proofErr w:type="spellEnd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</w:t>
                  </w:r>
                  <w:proofErr w:type="spellStart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Дніпровський</w:t>
                  </w:r>
                  <w:proofErr w:type="spellEnd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державний</w:t>
                  </w:r>
                  <w:proofErr w:type="spellEnd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медичний</w:t>
                  </w:r>
                  <w:proofErr w:type="spellEnd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</w:t>
                  </w:r>
                  <w:proofErr w:type="spellStart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університет</w:t>
                  </w:r>
                  <w:proofErr w:type="spellEnd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, кафедра </w:t>
                  </w:r>
                  <w:proofErr w:type="spellStart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інфекційних</w:t>
                  </w:r>
                  <w:proofErr w:type="spellEnd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 xml:space="preserve"> хвороб, м. </w:t>
                  </w:r>
                  <w:proofErr w:type="spellStart"/>
                  <w:r w:rsidRPr="00647C56">
                    <w:rPr>
                      <w:rStyle w:val="cs9b006262"/>
                      <w:rFonts w:ascii="Times New Roman" w:hAnsi="Times New Roman" w:cs="Times New Roman"/>
                      <w:b w:val="0"/>
                      <w:sz w:val="24"/>
                      <w:szCs w:val="24"/>
                      <w:lang w:val="ru-RU"/>
                    </w:rPr>
                    <w:t>Дніпро</w:t>
                  </w:r>
                  <w:proofErr w:type="spellEnd"/>
                </w:p>
              </w:tc>
            </w:tr>
          </w:tbl>
          <w:p w:rsidR="007E05AA" w:rsidRPr="00647C56" w:rsidRDefault="007E05AA">
            <w:pPr>
              <w:rPr>
                <w:rFonts w:asciiTheme="minorHAnsi" w:hAnsiTheme="minorHAnsi"/>
                <w:sz w:val="22"/>
                <w:lang w:val="ru-RU"/>
              </w:rPr>
            </w:pPr>
          </w:p>
        </w:tc>
      </w:tr>
      <w:tr w:rsidR="007E05A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AA" w:rsidRDefault="001D237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>
              <w:rPr>
                <w:szCs w:val="24"/>
                <w:lang w:val="ru-RU"/>
              </w:rPr>
              <w:t>щодо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затвердження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клінічного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AA" w:rsidRDefault="001D2379">
            <w:pPr>
              <w:jc w:val="both"/>
            </w:pPr>
            <w:r>
              <w:t xml:space="preserve">№ 2701 </w:t>
            </w:r>
            <w:proofErr w:type="spellStart"/>
            <w:r>
              <w:t>від</w:t>
            </w:r>
            <w:proofErr w:type="spellEnd"/>
            <w:r>
              <w:t xml:space="preserve"> 03.12.2021</w:t>
            </w:r>
          </w:p>
        </w:tc>
      </w:tr>
      <w:tr w:rsidR="007E05AA" w:rsidRPr="001267E1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AA" w:rsidRDefault="001D2379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Назва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клінічного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випробування</w:t>
            </w:r>
            <w:proofErr w:type="spellEnd"/>
            <w:r>
              <w:rPr>
                <w:szCs w:val="24"/>
                <w:lang w:val="ru-RU"/>
              </w:rPr>
              <w:t xml:space="preserve">, код, </w:t>
            </w:r>
            <w:proofErr w:type="spellStart"/>
            <w:r>
              <w:rPr>
                <w:szCs w:val="24"/>
                <w:lang w:val="ru-RU"/>
              </w:rPr>
              <w:t>версія</w:t>
            </w:r>
            <w:proofErr w:type="spellEnd"/>
            <w:r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AA" w:rsidRDefault="001D2379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Рандомізоване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подвійне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сліпе</w:t>
            </w:r>
            <w:proofErr w:type="spellEnd"/>
            <w:r>
              <w:rPr>
                <w:lang w:val="ru-RU"/>
              </w:rPr>
              <w:t>, плацебо-</w:t>
            </w:r>
            <w:proofErr w:type="spellStart"/>
            <w:r>
              <w:rPr>
                <w:lang w:val="ru-RU"/>
              </w:rPr>
              <w:t>контрольоване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дослідження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фази</w:t>
            </w:r>
            <w:proofErr w:type="spellEnd"/>
            <w:r>
              <w:rPr>
                <w:lang w:val="ru-RU"/>
              </w:rPr>
              <w:t xml:space="preserve"> 3 для </w:t>
            </w:r>
            <w:proofErr w:type="spellStart"/>
            <w:r>
              <w:rPr>
                <w:lang w:val="ru-RU"/>
              </w:rPr>
              <w:t>оцінки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ефективності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безпечності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проксалутаміду</w:t>
            </w:r>
            <w:proofErr w:type="spellEnd"/>
            <w:r>
              <w:rPr>
                <w:lang w:val="ru-RU"/>
              </w:rPr>
              <w:t xml:space="preserve"> (</w:t>
            </w:r>
            <w:r>
              <w:t>GT</w:t>
            </w:r>
            <w:r>
              <w:rPr>
                <w:lang w:val="ru-RU"/>
              </w:rPr>
              <w:t xml:space="preserve">0918) у </w:t>
            </w:r>
            <w:proofErr w:type="spellStart"/>
            <w:r>
              <w:rPr>
                <w:lang w:val="ru-RU"/>
              </w:rPr>
              <w:t>амбулаторних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пацієнтів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rPr>
                <w:lang w:val="ru-RU"/>
              </w:rPr>
              <w:t>інфекцією</w:t>
            </w:r>
            <w:proofErr w:type="spellEnd"/>
            <w:r>
              <w:rPr>
                <w:lang w:val="ru-RU"/>
              </w:rPr>
              <w:t xml:space="preserve"> </w:t>
            </w:r>
            <w:r>
              <w:t>COVID</w:t>
            </w:r>
            <w:r>
              <w:rPr>
                <w:lang w:val="ru-RU"/>
              </w:rPr>
              <w:t xml:space="preserve">-19 легкого та </w:t>
            </w:r>
            <w:proofErr w:type="spellStart"/>
            <w:r>
              <w:rPr>
                <w:lang w:val="ru-RU"/>
              </w:rPr>
              <w:t>помірного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ступенів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тяжкості</w:t>
            </w:r>
            <w:proofErr w:type="spellEnd"/>
            <w:r>
              <w:rPr>
                <w:lang w:val="ru-RU"/>
              </w:rPr>
              <w:t xml:space="preserve">», </w:t>
            </w:r>
            <w:r>
              <w:t>GT</w:t>
            </w:r>
            <w:r>
              <w:rPr>
                <w:lang w:val="ru-RU"/>
              </w:rPr>
              <w:t>0918-</w:t>
            </w:r>
            <w:r>
              <w:t>US</w:t>
            </w:r>
            <w:r>
              <w:rPr>
                <w:lang w:val="ru-RU"/>
              </w:rPr>
              <w:t xml:space="preserve">-3001, </w:t>
            </w:r>
            <w:proofErr w:type="spellStart"/>
            <w:r>
              <w:rPr>
                <w:lang w:val="ru-RU"/>
              </w:rPr>
              <w:t>версія</w:t>
            </w:r>
            <w:proofErr w:type="spellEnd"/>
            <w:r>
              <w:rPr>
                <w:lang w:val="ru-RU"/>
              </w:rPr>
              <w:t xml:space="preserve"> 2.0 </w:t>
            </w: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08 </w:t>
            </w:r>
            <w:proofErr w:type="spellStart"/>
            <w:r>
              <w:rPr>
                <w:lang w:val="ru-RU"/>
              </w:rPr>
              <w:t>липня</w:t>
            </w:r>
            <w:proofErr w:type="spellEnd"/>
            <w:r>
              <w:rPr>
                <w:lang w:val="ru-RU"/>
              </w:rPr>
              <w:t xml:space="preserve">                2021 року.</w:t>
            </w:r>
          </w:p>
        </w:tc>
      </w:tr>
      <w:tr w:rsidR="007E05A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AA" w:rsidRDefault="001D237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AA" w:rsidRDefault="001D2379">
            <w:pPr>
              <w:jc w:val="both"/>
            </w:pPr>
            <w:r>
              <w:t xml:space="preserve">ТОВ «ПАРЕКСЕЛ </w:t>
            </w:r>
            <w:proofErr w:type="spellStart"/>
            <w:r>
              <w:t>Україна</w:t>
            </w:r>
            <w:proofErr w:type="spellEnd"/>
            <w:r>
              <w:t>»</w:t>
            </w:r>
          </w:p>
        </w:tc>
      </w:tr>
      <w:tr w:rsidR="007E05AA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AA" w:rsidRDefault="001D2379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AA" w:rsidRDefault="001D2379">
            <w:pPr>
              <w:jc w:val="both"/>
            </w:pPr>
            <w:r>
              <w:t>«</w:t>
            </w:r>
            <w:proofErr w:type="spellStart"/>
            <w:r>
              <w:t>Сужоу</w:t>
            </w:r>
            <w:proofErr w:type="spellEnd"/>
            <w:r>
              <w:t xml:space="preserve"> </w:t>
            </w:r>
            <w:proofErr w:type="spellStart"/>
            <w:r>
              <w:t>Кінтор</w:t>
            </w:r>
            <w:proofErr w:type="spellEnd"/>
            <w:r>
              <w:t xml:space="preserve"> </w:t>
            </w:r>
            <w:proofErr w:type="spellStart"/>
            <w:r>
              <w:t>Фармасьютікалс</w:t>
            </w:r>
            <w:proofErr w:type="spellEnd"/>
            <w:r>
              <w:t xml:space="preserve">, </w:t>
            </w:r>
            <w:proofErr w:type="spellStart"/>
            <w:r>
              <w:t>Інк</w:t>
            </w:r>
            <w:proofErr w:type="spellEnd"/>
            <w:r>
              <w:t xml:space="preserve">.»/ Suzhou </w:t>
            </w:r>
            <w:proofErr w:type="spellStart"/>
            <w:r>
              <w:t>Kintor</w:t>
            </w:r>
            <w:proofErr w:type="spellEnd"/>
            <w:r>
              <w:t xml:space="preserve"> Pharmaceuticals, Inc., United States</w:t>
            </w:r>
          </w:p>
        </w:tc>
      </w:tr>
      <w:tr w:rsidR="007E05AA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AA" w:rsidRDefault="001D2379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AA" w:rsidRDefault="001D2379">
            <w:pPr>
              <w:jc w:val="both"/>
            </w:pPr>
            <w:r>
              <w:t xml:space="preserve">― </w:t>
            </w:r>
          </w:p>
        </w:tc>
      </w:tr>
    </w:tbl>
    <w:p w:rsidR="007E05AA" w:rsidRDefault="001D2379">
      <w:pPr>
        <w:rPr>
          <w:b/>
          <w:szCs w:val="24"/>
          <w:lang w:val="uk-UA"/>
        </w:rPr>
      </w:pPr>
      <w:proofErr w:type="spellStart"/>
      <w:r>
        <w:rPr>
          <w:b/>
          <w:color w:val="000000"/>
          <w:shd w:val="clear" w:color="auto" w:fill="FFFFFF"/>
          <w:lang w:val="uk-UA"/>
        </w:rPr>
        <w:t>В.о</w:t>
      </w:r>
      <w:proofErr w:type="spellEnd"/>
      <w:r>
        <w:rPr>
          <w:b/>
          <w:color w:val="000000"/>
          <w:shd w:val="clear" w:color="auto" w:fill="FFFFFF"/>
          <w:lang w:val="uk-UA"/>
        </w:rPr>
        <w:t>. генерального директора Директорату</w:t>
      </w:r>
      <w:r>
        <w:rPr>
          <w:b/>
          <w:lang w:val="uk-UA"/>
        </w:rPr>
        <w:t xml:space="preserve"> </w:t>
      </w:r>
    </w:p>
    <w:p w:rsidR="007E05AA" w:rsidRDefault="001D2379">
      <w:pPr>
        <w:rPr>
          <w:lang w:val="ru-RU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  <w:r>
        <w:rPr>
          <w:lang w:val="ru-RU"/>
        </w:rPr>
        <w:br w:type="page"/>
      </w:r>
    </w:p>
    <w:p w:rsidR="007E05AA" w:rsidRDefault="001D2379">
      <w:pPr>
        <w:rPr>
          <w:lang w:val="uk-UA"/>
        </w:rPr>
      </w:pPr>
      <w:r>
        <w:rPr>
          <w:lang w:val="uk-UA"/>
        </w:rPr>
        <w:lastRenderedPageBreak/>
        <w:t xml:space="preserve">                                                                                                                                                       Додаток </w:t>
      </w:r>
      <w:r w:rsidRPr="00647C56">
        <w:rPr>
          <w:lang w:val="ru-RU"/>
        </w:rPr>
        <w:t>3</w:t>
      </w:r>
    </w:p>
    <w:p w:rsidR="007E05AA" w:rsidRDefault="0075246D">
      <w:pPr>
        <w:ind w:left="9072"/>
        <w:rPr>
          <w:lang w:val="uk-UA"/>
        </w:rPr>
      </w:pPr>
      <w:r>
        <w:rPr>
          <w:lang w:val="uk-UA"/>
        </w:rPr>
        <w:t>до наказу Міністерства охорони здоров’я</w:t>
      </w:r>
      <w:r>
        <w:rPr>
          <w:rFonts w:eastAsia="Times New Roman"/>
          <w:szCs w:val="24"/>
          <w:lang w:val="uk-UA" w:eastAsia="uk-UA"/>
        </w:rPr>
        <w:t xml:space="preserve"> України</w:t>
      </w:r>
      <w:r>
        <w:rPr>
          <w:lang w:val="uk-UA"/>
        </w:rPr>
        <w:t xml:space="preserve"> «</w:t>
      </w:r>
      <w:r w:rsidRPr="0075246D">
        <w:rPr>
          <w:lang w:val="uk-UA"/>
        </w:rPr>
        <w:t xml:space="preserve">Про затвердження суттєвих поправок до протоколів клінічних випробувань лікарських засобів, призначених для здійснення заходів, спрямованих на запобігання виникненню та поширенню, локалізацію та ліквідацію </w:t>
      </w:r>
      <w:proofErr w:type="spellStart"/>
      <w:r w:rsidRPr="0075246D">
        <w:rPr>
          <w:lang w:val="uk-UA"/>
        </w:rPr>
        <w:t>коронавірусної</w:t>
      </w:r>
      <w:proofErr w:type="spellEnd"/>
      <w:r w:rsidRPr="0075246D">
        <w:rPr>
          <w:lang w:val="uk-UA"/>
        </w:rPr>
        <w:t xml:space="preserve"> хвороби (COVID-19)</w:t>
      </w:r>
      <w:r>
        <w:rPr>
          <w:lang w:val="uk-UA"/>
        </w:rPr>
        <w:t>»</w:t>
      </w:r>
      <w:r w:rsidR="001D2379">
        <w:rPr>
          <w:lang w:val="uk-UA"/>
        </w:rPr>
        <w:t xml:space="preserve"> </w:t>
      </w:r>
    </w:p>
    <w:p w:rsidR="007E05AA" w:rsidRDefault="001267E1">
      <w:pPr>
        <w:ind w:left="9072"/>
        <w:rPr>
          <w:lang w:val="uk-UA"/>
        </w:rPr>
      </w:pPr>
      <w:r w:rsidRPr="001267E1">
        <w:rPr>
          <w:u w:val="single"/>
          <w:lang w:val="uk-UA"/>
        </w:rPr>
        <w:t>22.12.2021</w:t>
      </w:r>
      <w:r>
        <w:rPr>
          <w:lang w:val="uk-UA"/>
        </w:rPr>
        <w:t xml:space="preserve"> № </w:t>
      </w:r>
      <w:r w:rsidRPr="001267E1">
        <w:rPr>
          <w:u w:val="single"/>
          <w:lang w:val="uk-UA"/>
        </w:rPr>
        <w:t>2839</w:t>
      </w:r>
      <w:bookmarkStart w:id="0" w:name="_GoBack"/>
      <w:bookmarkEnd w:id="0"/>
    </w:p>
    <w:p w:rsidR="007E05AA" w:rsidRDefault="007E05AA">
      <w:pPr>
        <w:rPr>
          <w:lang w:val="ru-RU"/>
        </w:rPr>
      </w:pPr>
    </w:p>
    <w:p w:rsidR="007E05AA" w:rsidRDefault="007E05AA">
      <w:pPr>
        <w:rPr>
          <w:lang w:val="ru-RU"/>
        </w:rPr>
      </w:pPr>
    </w:p>
    <w:tbl>
      <w:tblPr>
        <w:tblStyle w:val="a5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2841"/>
        <w:gridCol w:w="10479"/>
      </w:tblGrid>
      <w:tr w:rsidR="007E05AA" w:rsidRPr="001267E1"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E05AA" w:rsidRDefault="001D2379">
            <w:pPr>
              <w:rPr>
                <w:szCs w:val="24"/>
              </w:rPr>
            </w:pPr>
            <w:r>
              <w:rPr>
                <w:szCs w:val="24"/>
              </w:rPr>
              <w:t>Ідентифікація суттєвої поправки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198" w:type="dxa"/>
              <w:right w:w="108" w:type="dxa"/>
            </w:tcMar>
            <w:hideMark/>
          </w:tcPr>
          <w:p w:rsidR="007E05AA" w:rsidRDefault="001D2379">
            <w:pPr>
              <w:jc w:val="both"/>
              <w:rPr>
                <w:rFonts w:cstheme="minorBidi"/>
                <w:lang w:val="ru-RU"/>
              </w:rPr>
            </w:pPr>
            <w:proofErr w:type="spellStart"/>
            <w:r>
              <w:rPr>
                <w:lang w:val="ru-RU"/>
              </w:rPr>
              <w:t>Подовження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терміну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придатності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досліджуваного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лікарського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засобу</w:t>
            </w:r>
            <w:proofErr w:type="spellEnd"/>
            <w:r>
              <w:rPr>
                <w:lang w:val="ru-RU"/>
              </w:rPr>
              <w:t xml:space="preserve"> </w:t>
            </w:r>
            <w:r>
              <w:t>ADG</w:t>
            </w:r>
            <w:r>
              <w:rPr>
                <w:lang w:val="ru-RU"/>
              </w:rPr>
              <w:t xml:space="preserve">20 з 12 до 18 </w:t>
            </w:r>
            <w:proofErr w:type="spellStart"/>
            <w:r>
              <w:rPr>
                <w:lang w:val="ru-RU"/>
              </w:rPr>
              <w:t>місяців</w:t>
            </w:r>
            <w:proofErr w:type="spellEnd"/>
            <w:r>
              <w:rPr>
                <w:lang w:val="ru-RU"/>
              </w:rPr>
              <w:t xml:space="preserve"> </w:t>
            </w:r>
          </w:p>
        </w:tc>
      </w:tr>
      <w:tr w:rsidR="007E05AA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AA" w:rsidRDefault="001D2379">
            <w:pPr>
              <w:rPr>
                <w:szCs w:val="24"/>
                <w:lang w:val="ru-RU"/>
              </w:rPr>
            </w:pPr>
            <w:r>
              <w:rPr>
                <w:szCs w:val="24"/>
                <w:lang w:val="ru-RU"/>
              </w:rPr>
              <w:t xml:space="preserve">Номер та дата наказу МОЗ </w:t>
            </w:r>
            <w:proofErr w:type="spellStart"/>
            <w:r>
              <w:rPr>
                <w:szCs w:val="24"/>
                <w:lang w:val="ru-RU"/>
              </w:rPr>
              <w:t>щодо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затвердження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клінічного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випробування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AA" w:rsidRDefault="001D2379">
            <w:pPr>
              <w:jc w:val="both"/>
            </w:pPr>
            <w:r>
              <w:t xml:space="preserve">№ 1427 </w:t>
            </w:r>
            <w:proofErr w:type="spellStart"/>
            <w:r>
              <w:t>від</w:t>
            </w:r>
            <w:proofErr w:type="spellEnd"/>
            <w:r>
              <w:t xml:space="preserve"> 12.07.2021</w:t>
            </w:r>
          </w:p>
        </w:tc>
      </w:tr>
      <w:tr w:rsidR="007E05AA" w:rsidRPr="001267E1">
        <w:trPr>
          <w:trHeight w:val="1111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AA" w:rsidRDefault="001D2379">
            <w:pPr>
              <w:rPr>
                <w:szCs w:val="24"/>
                <w:lang w:val="ru-RU"/>
              </w:rPr>
            </w:pPr>
            <w:proofErr w:type="spellStart"/>
            <w:r>
              <w:rPr>
                <w:szCs w:val="24"/>
                <w:lang w:val="ru-RU"/>
              </w:rPr>
              <w:t>Назва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клінічного</w:t>
            </w:r>
            <w:proofErr w:type="spellEnd"/>
            <w:r>
              <w:rPr>
                <w:szCs w:val="24"/>
                <w:lang w:val="ru-RU"/>
              </w:rPr>
              <w:t xml:space="preserve"> </w:t>
            </w:r>
            <w:proofErr w:type="spellStart"/>
            <w:r>
              <w:rPr>
                <w:szCs w:val="24"/>
                <w:lang w:val="ru-RU"/>
              </w:rPr>
              <w:t>випробування</w:t>
            </w:r>
            <w:proofErr w:type="spellEnd"/>
            <w:r>
              <w:rPr>
                <w:szCs w:val="24"/>
                <w:lang w:val="ru-RU"/>
              </w:rPr>
              <w:t xml:space="preserve">, код, </w:t>
            </w:r>
            <w:proofErr w:type="spellStart"/>
            <w:r>
              <w:rPr>
                <w:szCs w:val="24"/>
                <w:lang w:val="ru-RU"/>
              </w:rPr>
              <w:t>версія</w:t>
            </w:r>
            <w:proofErr w:type="spellEnd"/>
            <w:r>
              <w:rPr>
                <w:szCs w:val="24"/>
                <w:lang w:val="ru-RU"/>
              </w:rPr>
              <w:t xml:space="preserve"> та дата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AA" w:rsidRDefault="001D2379">
            <w:pPr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Рандомізоване</w:t>
            </w:r>
            <w:proofErr w:type="spellEnd"/>
            <w:r>
              <w:rPr>
                <w:lang w:val="ru-RU"/>
              </w:rPr>
              <w:t xml:space="preserve">, </w:t>
            </w:r>
            <w:proofErr w:type="spellStart"/>
            <w:r>
              <w:rPr>
                <w:lang w:val="ru-RU"/>
              </w:rPr>
              <w:t>Подвійне-Сліпе</w:t>
            </w:r>
            <w:proofErr w:type="spellEnd"/>
            <w:r>
              <w:rPr>
                <w:lang w:val="ru-RU"/>
              </w:rPr>
              <w:t>, Плацебо-</w:t>
            </w:r>
            <w:proofErr w:type="spellStart"/>
            <w:r>
              <w:rPr>
                <w:lang w:val="ru-RU"/>
              </w:rPr>
              <w:t>Контрольоване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Дослідження</w:t>
            </w:r>
            <w:proofErr w:type="spellEnd"/>
            <w:r>
              <w:rPr>
                <w:lang w:val="ru-RU"/>
              </w:rPr>
              <w:t xml:space="preserve"> Фаз 2/3 для </w:t>
            </w:r>
            <w:proofErr w:type="spellStart"/>
            <w:r>
              <w:rPr>
                <w:lang w:val="ru-RU"/>
              </w:rPr>
              <w:t>Оцінювання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Ефективності</w:t>
            </w:r>
            <w:proofErr w:type="spellEnd"/>
            <w:r>
              <w:rPr>
                <w:lang w:val="ru-RU"/>
              </w:rPr>
              <w:t xml:space="preserve"> та </w:t>
            </w:r>
            <w:proofErr w:type="spellStart"/>
            <w:r>
              <w:rPr>
                <w:lang w:val="ru-RU"/>
              </w:rPr>
              <w:t>Безпечності</w:t>
            </w:r>
            <w:proofErr w:type="spellEnd"/>
            <w:r>
              <w:rPr>
                <w:lang w:val="ru-RU"/>
              </w:rPr>
              <w:t xml:space="preserve"> Препарату </w:t>
            </w:r>
            <w:r>
              <w:t>ADG</w:t>
            </w:r>
            <w:r>
              <w:rPr>
                <w:lang w:val="ru-RU"/>
              </w:rPr>
              <w:t xml:space="preserve">20 В </w:t>
            </w:r>
            <w:proofErr w:type="spellStart"/>
            <w:r>
              <w:rPr>
                <w:lang w:val="ru-RU"/>
              </w:rPr>
              <w:t>Лікуванні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Амбулаторних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Пацієнтів</w:t>
            </w:r>
            <w:proofErr w:type="spellEnd"/>
            <w:r>
              <w:rPr>
                <w:lang w:val="ru-RU"/>
              </w:rPr>
              <w:t xml:space="preserve"> з </w:t>
            </w:r>
            <w:proofErr w:type="spellStart"/>
            <w:r>
              <w:t>Covid</w:t>
            </w:r>
            <w:proofErr w:type="spellEnd"/>
            <w:r>
              <w:rPr>
                <w:lang w:val="ru-RU"/>
              </w:rPr>
              <w:t xml:space="preserve">-19 Легкого </w:t>
            </w:r>
            <w:proofErr w:type="spellStart"/>
            <w:r>
              <w:rPr>
                <w:lang w:val="ru-RU"/>
              </w:rPr>
              <w:t>або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Помірного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Ступеня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Тяжкості</w:t>
            </w:r>
            <w:proofErr w:type="spellEnd"/>
            <w:r>
              <w:rPr>
                <w:lang w:val="ru-RU"/>
              </w:rPr>
              <w:t xml:space="preserve"> (</w:t>
            </w:r>
            <w:r>
              <w:t>STAMP</w:t>
            </w:r>
            <w:r>
              <w:rPr>
                <w:lang w:val="ru-RU"/>
              </w:rPr>
              <w:t xml:space="preserve">), </w:t>
            </w:r>
            <w:r>
              <w:t>ADG</w:t>
            </w:r>
            <w:r>
              <w:rPr>
                <w:lang w:val="ru-RU"/>
              </w:rPr>
              <w:t>20-</w:t>
            </w:r>
            <w:r>
              <w:t>TRMT</w:t>
            </w:r>
            <w:r>
              <w:rPr>
                <w:lang w:val="ru-RU"/>
              </w:rPr>
              <w:t xml:space="preserve">-001, </w:t>
            </w:r>
            <w:proofErr w:type="spellStart"/>
            <w:r>
              <w:rPr>
                <w:lang w:val="ru-RU"/>
              </w:rPr>
              <w:t>версія</w:t>
            </w:r>
            <w:proofErr w:type="spellEnd"/>
            <w:r>
              <w:rPr>
                <w:lang w:val="ru-RU"/>
              </w:rPr>
              <w:t xml:space="preserve"> 4.0 </w:t>
            </w:r>
            <w:proofErr w:type="spellStart"/>
            <w:r>
              <w:rPr>
                <w:lang w:val="ru-RU"/>
              </w:rPr>
              <w:t>від</w:t>
            </w:r>
            <w:proofErr w:type="spellEnd"/>
            <w:r>
              <w:rPr>
                <w:lang w:val="ru-RU"/>
              </w:rPr>
              <w:t xml:space="preserve"> 06 </w:t>
            </w:r>
            <w:proofErr w:type="spellStart"/>
            <w:r>
              <w:rPr>
                <w:lang w:val="ru-RU"/>
              </w:rPr>
              <w:t>травня</w:t>
            </w:r>
            <w:proofErr w:type="spellEnd"/>
            <w:r>
              <w:rPr>
                <w:lang w:val="ru-RU"/>
              </w:rPr>
              <w:t xml:space="preserve">  2021 року</w:t>
            </w:r>
          </w:p>
        </w:tc>
      </w:tr>
      <w:tr w:rsidR="007E05AA">
        <w:trPr>
          <w:trHeight w:val="379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AA" w:rsidRDefault="001D2379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Заявник</w:t>
            </w:r>
            <w:proofErr w:type="spellEnd"/>
            <w:r>
              <w:rPr>
                <w:szCs w:val="24"/>
              </w:rPr>
              <w:t xml:space="preserve">, </w:t>
            </w:r>
            <w:proofErr w:type="spellStart"/>
            <w:r>
              <w:rPr>
                <w:szCs w:val="24"/>
              </w:rPr>
              <w:t>країна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AA" w:rsidRDefault="001D2379">
            <w:pPr>
              <w:jc w:val="both"/>
            </w:pPr>
            <w:proofErr w:type="spellStart"/>
            <w:r>
              <w:t>Товариство</w:t>
            </w:r>
            <w:proofErr w:type="spellEnd"/>
            <w:r>
              <w:t xml:space="preserve"> з </w:t>
            </w:r>
            <w:proofErr w:type="spellStart"/>
            <w:r>
              <w:t>Обмеженою</w:t>
            </w:r>
            <w:proofErr w:type="spellEnd"/>
            <w:r>
              <w:t xml:space="preserve"> </w:t>
            </w:r>
            <w:proofErr w:type="spellStart"/>
            <w:r>
              <w:t>Відповідальністю</w:t>
            </w:r>
            <w:proofErr w:type="spellEnd"/>
            <w:r>
              <w:t xml:space="preserve"> «</w:t>
            </w:r>
            <w:proofErr w:type="spellStart"/>
            <w:r>
              <w:t>Контрактно-Дослідницька</w:t>
            </w:r>
            <w:proofErr w:type="spellEnd"/>
            <w:r>
              <w:t xml:space="preserve"> </w:t>
            </w:r>
            <w:proofErr w:type="spellStart"/>
            <w:r>
              <w:t>Організація</w:t>
            </w:r>
            <w:proofErr w:type="spellEnd"/>
            <w:r>
              <w:t xml:space="preserve"> </w:t>
            </w:r>
            <w:proofErr w:type="spellStart"/>
            <w:r>
              <w:t>Іннофарм-Україна</w:t>
            </w:r>
            <w:proofErr w:type="spellEnd"/>
            <w:r>
              <w:t>»</w:t>
            </w:r>
          </w:p>
        </w:tc>
      </w:tr>
      <w:tr w:rsidR="007E05AA">
        <w:trPr>
          <w:trHeight w:val="353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AA" w:rsidRDefault="001D2379">
            <w:pPr>
              <w:rPr>
                <w:szCs w:val="24"/>
              </w:rPr>
            </w:pPr>
            <w:r>
              <w:rPr>
                <w:szCs w:val="24"/>
              </w:rPr>
              <w:t>Спонсор, країна</w:t>
            </w:r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AA" w:rsidRDefault="001D2379">
            <w:pPr>
              <w:jc w:val="both"/>
            </w:pPr>
            <w:proofErr w:type="spellStart"/>
            <w:r>
              <w:t>Адажіо</w:t>
            </w:r>
            <w:proofErr w:type="spellEnd"/>
            <w:r>
              <w:t xml:space="preserve"> </w:t>
            </w:r>
            <w:proofErr w:type="spellStart"/>
            <w:r>
              <w:t>Терапьютікс</w:t>
            </w:r>
            <w:proofErr w:type="spellEnd"/>
            <w:r>
              <w:t xml:space="preserve">, </w:t>
            </w:r>
            <w:proofErr w:type="spellStart"/>
            <w:r>
              <w:t>Інк</w:t>
            </w:r>
            <w:proofErr w:type="spellEnd"/>
            <w:r>
              <w:t xml:space="preserve">. (Adagio Therapeutics, Inc.), </w:t>
            </w:r>
            <w:proofErr w:type="spellStart"/>
            <w:r>
              <w:t>Сполучені</w:t>
            </w:r>
            <w:proofErr w:type="spellEnd"/>
            <w:r>
              <w:t xml:space="preserve"> </w:t>
            </w:r>
            <w:proofErr w:type="spellStart"/>
            <w:r>
              <w:t>Штати</w:t>
            </w:r>
            <w:proofErr w:type="spellEnd"/>
            <w:r>
              <w:t xml:space="preserve"> </w:t>
            </w:r>
            <w:proofErr w:type="spellStart"/>
            <w:r>
              <w:t>Америки</w:t>
            </w:r>
            <w:proofErr w:type="spellEnd"/>
          </w:p>
        </w:tc>
      </w:tr>
      <w:tr w:rsidR="007E05AA">
        <w:trPr>
          <w:trHeight w:val="732"/>
        </w:trPr>
        <w:tc>
          <w:tcPr>
            <w:tcW w:w="2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AA" w:rsidRDefault="001D2379">
            <w:pPr>
              <w:rPr>
                <w:rFonts w:eastAsia="Times New Roman"/>
                <w:color w:val="000000"/>
                <w:szCs w:val="24"/>
                <w:lang w:val="ru-RU" w:eastAsia="uk-UA"/>
              </w:rPr>
            </w:pPr>
            <w:proofErr w:type="spellStart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>Супутні</w:t>
            </w:r>
            <w:proofErr w:type="spellEnd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>матеріали</w:t>
            </w:r>
            <w:proofErr w:type="spellEnd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>/</w:t>
            </w:r>
            <w:proofErr w:type="spellStart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>препарати</w:t>
            </w:r>
            <w:proofErr w:type="spellEnd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>супутньої</w:t>
            </w:r>
            <w:proofErr w:type="spellEnd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4"/>
                <w:lang w:val="ru-RU" w:eastAsia="uk-UA"/>
              </w:rPr>
              <w:t>терапії</w:t>
            </w:r>
            <w:proofErr w:type="spellEnd"/>
          </w:p>
        </w:tc>
        <w:tc>
          <w:tcPr>
            <w:tcW w:w="10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05AA" w:rsidRDefault="001D2379">
            <w:pPr>
              <w:jc w:val="both"/>
            </w:pPr>
            <w:r>
              <w:t xml:space="preserve">― </w:t>
            </w:r>
          </w:p>
        </w:tc>
      </w:tr>
    </w:tbl>
    <w:p w:rsidR="007E05AA" w:rsidRDefault="007E05AA">
      <w:pPr>
        <w:rPr>
          <w:lang w:val="uk-UA"/>
        </w:rPr>
      </w:pPr>
    </w:p>
    <w:p w:rsidR="007E05AA" w:rsidRDefault="001D2379">
      <w:pPr>
        <w:rPr>
          <w:b/>
          <w:szCs w:val="24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В.о. генерального директора Директорату</w:t>
      </w:r>
      <w:r>
        <w:rPr>
          <w:b/>
          <w:lang w:val="uk-UA"/>
        </w:rPr>
        <w:t xml:space="preserve"> </w:t>
      </w:r>
    </w:p>
    <w:p w:rsidR="007E05AA" w:rsidRDefault="001D2379">
      <w:pPr>
        <w:rPr>
          <w:lang w:val="uk-UA"/>
        </w:rPr>
      </w:pPr>
      <w:r>
        <w:rPr>
          <w:b/>
          <w:color w:val="000000"/>
          <w:shd w:val="clear" w:color="auto" w:fill="FFFFFF"/>
          <w:lang w:val="uk-UA"/>
        </w:rPr>
        <w:t>фармацевтичного забезпечення</w:t>
      </w:r>
      <w:r>
        <w:rPr>
          <w:b/>
          <w:lang w:val="uk-UA"/>
        </w:rPr>
        <w:t> </w:t>
      </w:r>
      <w:r>
        <w:rPr>
          <w:b/>
          <w:lang w:val="uk-UA" w:eastAsia="ru-RU"/>
        </w:rPr>
        <w:t xml:space="preserve">                                                                </w:t>
      </w:r>
      <w:r>
        <w:rPr>
          <w:b/>
          <w:lang w:val="uk-UA" w:eastAsia="uk-UA"/>
        </w:rPr>
        <w:t xml:space="preserve">_______________________      </w:t>
      </w:r>
      <w:r>
        <w:rPr>
          <w:b/>
          <w:bCs/>
          <w:color w:val="000000"/>
          <w:lang w:val="uk-UA"/>
        </w:rPr>
        <w:t>Іван ЗАДВОРНИХ</w:t>
      </w:r>
      <w:r>
        <w:rPr>
          <w:lang w:val="ru-RU"/>
        </w:rPr>
        <w:t xml:space="preserve"> </w:t>
      </w:r>
    </w:p>
    <w:sectPr w:rsidR="007E05AA">
      <w:pgSz w:w="16838" w:h="11906" w:orient="landscape"/>
      <w:pgMar w:top="851" w:right="1245" w:bottom="851" w:left="212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79"/>
    <w:rsid w:val="001267E1"/>
    <w:rsid w:val="00171DC2"/>
    <w:rsid w:val="001D2379"/>
    <w:rsid w:val="002A3EFF"/>
    <w:rsid w:val="00647C56"/>
    <w:rsid w:val="006B19DF"/>
    <w:rsid w:val="0075246D"/>
    <w:rsid w:val="007E0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paragraph" w:customStyle="1" w:styleId="msonormal0">
    <w:name w:val="msonormal"/>
    <w:basedOn w:val="a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paragraph" w:customStyle="1" w:styleId="cs80d9435b">
    <w:name w:val="cs80d9435b"/>
    <w:basedOn w:val="a"/>
    <w:semiHidden/>
    <w:qFormat/>
    <w:pPr>
      <w:contextualSpacing/>
      <w:jc w:val="both"/>
    </w:pPr>
    <w:rPr>
      <w:rFonts w:eastAsiaTheme="minorEastAsia" w:cs="Times New Roman"/>
      <w:szCs w:val="24"/>
    </w:rPr>
  </w:style>
  <w:style w:type="paragraph" w:customStyle="1" w:styleId="cs2e86d3a6">
    <w:name w:val="cs2e86d3a6"/>
    <w:basedOn w:val="a"/>
    <w:semiHidden/>
    <w:qFormat/>
    <w:pPr>
      <w:contextualSpacing/>
      <w:jc w:val="center"/>
    </w:pPr>
    <w:rPr>
      <w:rFonts w:eastAsiaTheme="minorEastAsia" w:cs="Times New Roman"/>
      <w:szCs w:val="24"/>
    </w:rPr>
  </w:style>
  <w:style w:type="paragraph" w:customStyle="1" w:styleId="cs202b20ac">
    <w:name w:val="cs202b20ac"/>
    <w:basedOn w:val="a"/>
    <w:semiHidden/>
    <w:qFormat/>
    <w:pPr>
      <w:contextualSpacing/>
      <w:jc w:val="center"/>
    </w:pPr>
    <w:rPr>
      <w:rFonts w:eastAsiaTheme="minorEastAsia" w:cs="Times New Roman"/>
      <w:szCs w:val="24"/>
    </w:rPr>
  </w:style>
  <w:style w:type="paragraph" w:customStyle="1" w:styleId="cs95e872d0">
    <w:name w:val="cs95e872d0"/>
    <w:basedOn w:val="a"/>
    <w:semiHidden/>
    <w:qFormat/>
    <w:pPr>
      <w:contextualSpacing/>
    </w:pPr>
    <w:rPr>
      <w:rFonts w:eastAsiaTheme="minorEastAsia" w:cs="Times New Roman"/>
      <w:szCs w:val="24"/>
    </w:rPr>
  </w:style>
  <w:style w:type="paragraph" w:customStyle="1" w:styleId="csf06cd379">
    <w:name w:val="csf06cd379"/>
    <w:basedOn w:val="a"/>
    <w:semiHidden/>
    <w:qFormat/>
    <w:pPr>
      <w:contextualSpacing/>
      <w:jc w:val="both"/>
    </w:pPr>
    <w:rPr>
      <w:rFonts w:eastAsiaTheme="minorEastAsia" w:cs="Times New Roman"/>
      <w:szCs w:val="24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вичайний (веб) Знак"/>
    <w:aliases w:val="Обычный (Web) Знак"/>
    <w:basedOn w:val="a0"/>
    <w:link w:val="a4"/>
    <w:semiHidden/>
    <w:locked/>
    <w:rPr>
      <w:lang w:eastAsia="ru-RU"/>
    </w:rPr>
  </w:style>
  <w:style w:type="paragraph" w:styleId="a4">
    <w:name w:val="Normal (Web)"/>
    <w:aliases w:val="Обычный (Web)"/>
    <w:basedOn w:val="a"/>
    <w:link w:val="a3"/>
    <w:semiHidden/>
    <w:unhideWhenUsed/>
    <w:qFormat/>
    <w:pPr>
      <w:contextualSpacing/>
    </w:pPr>
    <w:rPr>
      <w:rFonts w:asciiTheme="minorHAnsi" w:hAnsiTheme="minorHAnsi"/>
      <w:sz w:val="20"/>
      <w:szCs w:val="20"/>
      <w:lang w:eastAsia="ru-RU"/>
    </w:rPr>
  </w:style>
  <w:style w:type="paragraph" w:customStyle="1" w:styleId="msonormal0">
    <w:name w:val="msonormal"/>
    <w:basedOn w:val="a"/>
    <w:semiHidden/>
    <w:qFormat/>
    <w:pPr>
      <w:spacing w:before="100" w:beforeAutospacing="1" w:after="100" w:afterAutospacing="1"/>
      <w:contextualSpacing/>
    </w:pPr>
    <w:rPr>
      <w:rFonts w:eastAsiaTheme="minorEastAsia" w:cs="Times New Roman"/>
      <w:szCs w:val="24"/>
    </w:rPr>
  </w:style>
  <w:style w:type="paragraph" w:customStyle="1" w:styleId="cs80d9435b">
    <w:name w:val="cs80d9435b"/>
    <w:basedOn w:val="a"/>
    <w:semiHidden/>
    <w:qFormat/>
    <w:pPr>
      <w:contextualSpacing/>
      <w:jc w:val="both"/>
    </w:pPr>
    <w:rPr>
      <w:rFonts w:eastAsiaTheme="minorEastAsia" w:cs="Times New Roman"/>
      <w:szCs w:val="24"/>
    </w:rPr>
  </w:style>
  <w:style w:type="paragraph" w:customStyle="1" w:styleId="cs2e86d3a6">
    <w:name w:val="cs2e86d3a6"/>
    <w:basedOn w:val="a"/>
    <w:semiHidden/>
    <w:qFormat/>
    <w:pPr>
      <w:contextualSpacing/>
      <w:jc w:val="center"/>
    </w:pPr>
    <w:rPr>
      <w:rFonts w:eastAsiaTheme="minorEastAsia" w:cs="Times New Roman"/>
      <w:szCs w:val="24"/>
    </w:rPr>
  </w:style>
  <w:style w:type="paragraph" w:customStyle="1" w:styleId="cs202b20ac">
    <w:name w:val="cs202b20ac"/>
    <w:basedOn w:val="a"/>
    <w:semiHidden/>
    <w:qFormat/>
    <w:pPr>
      <w:contextualSpacing/>
      <w:jc w:val="center"/>
    </w:pPr>
    <w:rPr>
      <w:rFonts w:eastAsiaTheme="minorEastAsia" w:cs="Times New Roman"/>
      <w:szCs w:val="24"/>
    </w:rPr>
  </w:style>
  <w:style w:type="paragraph" w:customStyle="1" w:styleId="cs95e872d0">
    <w:name w:val="cs95e872d0"/>
    <w:basedOn w:val="a"/>
    <w:semiHidden/>
    <w:qFormat/>
    <w:pPr>
      <w:contextualSpacing/>
    </w:pPr>
    <w:rPr>
      <w:rFonts w:eastAsiaTheme="minorEastAsia" w:cs="Times New Roman"/>
      <w:szCs w:val="24"/>
    </w:rPr>
  </w:style>
  <w:style w:type="paragraph" w:customStyle="1" w:styleId="csf06cd379">
    <w:name w:val="csf06cd379"/>
    <w:basedOn w:val="a"/>
    <w:semiHidden/>
    <w:qFormat/>
    <w:pPr>
      <w:contextualSpacing/>
      <w:jc w:val="both"/>
    </w:pPr>
    <w:rPr>
      <w:rFonts w:eastAsiaTheme="minorEastAsia" w:cs="Times New Roman"/>
      <w:szCs w:val="24"/>
    </w:rPr>
  </w:style>
  <w:style w:type="character" w:customStyle="1" w:styleId="cs9b006262">
    <w:name w:val="cs9b006262"/>
    <w:basedOn w:val="a0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  <w:style w:type="table" w:styleId="a5">
    <w:name w:val="Table Grid"/>
    <w:basedOn w:val="a1"/>
    <w:uiPriority w:val="59"/>
    <w:rPr>
      <w:rFonts w:cs="Calibri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Звичайна таблиця1"/>
    <w:uiPriority w:val="99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3335</Words>
  <Characters>1901</Characters>
  <Application>Microsoft Office Word</Application>
  <DocSecurity>0</DocSecurity>
  <Lines>15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2021-12-22T12:33:00Z</dcterms:created>
  <dcterms:modified xsi:type="dcterms:W3CDTF">2021-12-22T12:36:00Z</dcterms:modified>
</cp:coreProperties>
</file>