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BD" w:rsidRDefault="00A830BD" w:rsidP="00A830BD">
      <w:pPr>
        <w:pStyle w:val="a7"/>
        <w:ind w:right="-5"/>
        <w:jc w:val="right"/>
        <w:rPr>
          <w:rFonts w:ascii="Arial" w:hAnsi="Arial" w:cs="Arial"/>
          <w:b/>
          <w:sz w:val="18"/>
          <w:szCs w:val="18"/>
          <w:lang w:val="ru-RU"/>
        </w:rPr>
      </w:pPr>
      <w:r>
        <w:rPr>
          <w:rFonts w:ascii="Arial" w:hAnsi="Arial" w:cs="Arial"/>
          <w:b/>
          <w:sz w:val="18"/>
          <w:szCs w:val="18"/>
          <w:lang w:val="ru-RU"/>
        </w:rPr>
        <w:t xml:space="preserve">Додаток </w:t>
      </w:r>
    </w:p>
    <w:p w:rsidR="00A830BD" w:rsidRDefault="00A830BD" w:rsidP="00A830BD">
      <w:pPr>
        <w:pStyle w:val="a7"/>
        <w:ind w:right="-5"/>
        <w:jc w:val="right"/>
        <w:rPr>
          <w:rFonts w:ascii="Arial" w:hAnsi="Arial" w:cs="Arial"/>
          <w:b/>
          <w:sz w:val="18"/>
          <w:szCs w:val="18"/>
          <w:lang w:val="ru-RU"/>
        </w:rPr>
      </w:pPr>
    </w:p>
    <w:p w:rsidR="00A830BD" w:rsidRDefault="00A830BD" w:rsidP="00A830BD">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роз</w:t>
      </w:r>
      <w:r>
        <w:rPr>
          <w:rFonts w:ascii="Arial" w:hAnsi="Arial" w:cs="Arial"/>
          <w:b/>
          <w:sz w:val="20"/>
          <w:szCs w:val="20"/>
          <w:lang w:val="ru-RU"/>
        </w:rPr>
        <w:t>глянутих на засіданні   НТР № 03 від 19</w:t>
      </w:r>
      <w:r>
        <w:rPr>
          <w:rFonts w:ascii="Arial" w:hAnsi="Arial" w:cs="Arial"/>
          <w:b/>
          <w:sz w:val="20"/>
          <w:szCs w:val="20"/>
          <w:lang w:val="ru-RU"/>
        </w:rPr>
        <w:t xml:space="preserve">.01.2023,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F87027" w:rsidRDefault="00F87027">
      <w:pPr>
        <w:pStyle w:val="a7"/>
        <w:ind w:right="-5"/>
        <w:jc w:val="both"/>
        <w:rPr>
          <w:rFonts w:ascii="Arial" w:hAnsi="Arial" w:cs="Arial"/>
          <w:sz w:val="20"/>
          <w:szCs w:val="20"/>
          <w:lang w:val="uk-UA"/>
        </w:rPr>
      </w:pPr>
    </w:p>
    <w:p w:rsidR="00F87027" w:rsidRPr="00AA4EF1" w:rsidRDefault="00F30FAC" w:rsidP="00F30FAC">
      <w:pPr>
        <w:jc w:val="both"/>
        <w:rPr>
          <w:lang w:val="uk-UA"/>
        </w:rPr>
      </w:pPr>
      <w:r>
        <w:rPr>
          <w:rStyle w:val="cs5e98e9301"/>
          <w:lang w:val="uk-UA"/>
        </w:rPr>
        <w:t xml:space="preserve">1. </w:t>
      </w:r>
      <w:r w:rsidR="00613A69">
        <w:rPr>
          <w:rStyle w:val="cs5e98e9301"/>
          <w:lang w:val="uk-UA"/>
        </w:rPr>
        <w:t>Оновлене Досьє досліджуваного лікарського засобу MK-7684 (вібостолімаб), версія 084YSS, від 05 жовтня 2022 р., англійською мовою; Брошура дослідника досліджуваного лікарського засобу Pembrolizumab (MK-3475), видання 23 від 26 жовтня 2022 р., англійською мовою</w:t>
      </w:r>
      <w:r w:rsidR="00613A69">
        <w:rPr>
          <w:rStyle w:val="csa16174ba1"/>
          <w:lang w:val="uk-UA"/>
        </w:rPr>
        <w:t xml:space="preserve"> до протоколу клінічного випробування «Відкрите дослідження фази 2 для оцінки безпеки та ефективності </w:t>
      </w:r>
      <w:r w:rsidR="00613A69">
        <w:rPr>
          <w:rStyle w:val="cs5e98e9301"/>
          <w:lang w:val="uk-UA"/>
        </w:rPr>
        <w:t>MK-7684A</w:t>
      </w:r>
      <w:r w:rsidR="00613A69">
        <w:rPr>
          <w:rStyle w:val="csa16174ba1"/>
          <w:lang w:val="uk-UA"/>
        </w:rPr>
        <w:t xml:space="preserve"> (комбінація MK-7684 [вібостолімаб] з MK-3475 [пембролізумаб]) у учасників з рецидивуючими або рефрактерними гематологічними злоякісними новоутвореннями», код дослідження </w:t>
      </w:r>
      <w:r w:rsidR="00613A69">
        <w:rPr>
          <w:rStyle w:val="cs5e98e9301"/>
          <w:lang w:val="uk-UA"/>
        </w:rPr>
        <w:t>MK-7684A-004</w:t>
      </w:r>
      <w:r w:rsidR="00613A69">
        <w:rPr>
          <w:rStyle w:val="csa16174ba1"/>
          <w:lang w:val="uk-UA"/>
        </w:rPr>
        <w:t>, з інкорпорованою поправкою 04 від 05 серпня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F30FAC" w:rsidRDefault="00F30FAC" w:rsidP="00F30FAC">
      <w:pPr>
        <w:jc w:val="both"/>
        <w:rPr>
          <w:lang w:val="uk-UA"/>
        </w:rPr>
      </w:pPr>
      <w:r>
        <w:rPr>
          <w:rStyle w:val="cs5e98e9302"/>
          <w:lang w:val="uk-UA"/>
        </w:rPr>
        <w:t xml:space="preserve">2. </w:t>
      </w:r>
      <w:r w:rsidR="00613A69">
        <w:rPr>
          <w:rStyle w:val="cs5e98e9302"/>
          <w:lang w:val="uk-UA"/>
        </w:rPr>
        <w:t>Оновлені секції Досьє досліджуваного лікарського засобу: Секція «Вступ» (approved on 01-Dec-2022); Секції для Субстанції Avibactam Sodium: S.7.1 «Висновки щодо стабільності для субстанції» (approved on 11-Nov-2022); S.7.3 «Дані щодо стабільності для субстанції» (approved on 11-Nov-2022); Секції для лікарського засобу Avibactam Lyophilisate (Concentrate for Solution for Infusion, 600 mg)»: P.3.1 «Виробник(и)» (approved on 11-Nov-2022; Секції для лікарського засобу Drug Product ((METRONIDAZOLE 500 MG/100 ML SOLUTION FOR INFUSION (5 MG/ML), CO-MEDICATION) (approved on 10-Nov-2022): P.1 «Опис та склад продукту» та P.3 «Виробництво»: P.3.1 «Виробник(и)»; Секції для лікарського засобу Drug Product (MEROPENEM 1G POWDER FOR CONCENTRATE FOR SOLUTION FOR INFUSION, COMPARATOR) (approved on 10-Nov-2022): P.1 «Опис та склад продукту» та P.3 «Виробництво»: P.3.1 «Виробник(и)»; Секції для лікарського засобу Drug Product (COLISTIMETHATE SODIUM POWDER FOR CONCENTRATE FOR SOLUTION FOR INFUSION, COMPARATOR) (approved on 01-Dec-2022): P.1 «Опис та склад продукту» та P.3 «Виробництво»: P.3.1 «Виробник(и)»</w:t>
      </w:r>
      <w:r w:rsidR="00613A69">
        <w:rPr>
          <w:rStyle w:val="csa16174ba2"/>
          <w:lang w:val="uk-UA"/>
        </w:rPr>
        <w:t xml:space="preserve"> до протоколу клінічного дослідження «Проспективне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w:t>
      </w:r>
      <w:r w:rsidR="00613A69">
        <w:rPr>
          <w:rStyle w:val="cs5e98e9302"/>
          <w:lang w:val="uk-UA"/>
        </w:rPr>
        <w:t>азтреонам-авібактам (ATM-AVI</w:t>
      </w:r>
      <w:r w:rsidR="00613A69">
        <w:rPr>
          <w:rStyle w:val="csa16174ba2"/>
          <w:lang w:val="uk-UA"/>
        </w:rPr>
        <w:t>) ±</w:t>
      </w:r>
      <w:r w:rsidR="00613A69">
        <w:rPr>
          <w:rStyle w:val="cs5e98e9302"/>
          <w:lang w:val="uk-UA"/>
        </w:rPr>
        <w:t>метронідазол (MTZ</w:t>
      </w:r>
      <w:r w:rsidR="00613A69">
        <w:rPr>
          <w:rStyle w:val="csa16174ba2"/>
          <w:lang w:val="uk-UA"/>
        </w:rPr>
        <w:t xml:space="preserve">) у порівнянні з меропенем±колістин (MER±COL)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(MBL), для яких варіанти лікування обмежені або відсутні», код дослідження </w:t>
      </w:r>
      <w:r w:rsidR="00613A69">
        <w:rPr>
          <w:rStyle w:val="cs5e98e9302"/>
          <w:lang w:val="uk-UA"/>
        </w:rPr>
        <w:t>С3601002</w:t>
      </w:r>
      <w:r w:rsidR="00613A69">
        <w:rPr>
          <w:rStyle w:val="csa16174ba2"/>
          <w:lang w:val="uk-UA"/>
        </w:rPr>
        <w:t>, з поправкою 2 від 18 травня 2022 року; спонсор - «Файзер Інк.», США / Pfizer Inc.,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3"/>
          <w:lang w:val="uk-UA"/>
        </w:rPr>
        <w:t xml:space="preserve">3. </w:t>
      </w:r>
      <w:r w:rsidR="00613A69">
        <w:rPr>
          <w:rStyle w:val="cs5e98e9303"/>
          <w:lang w:val="uk-UA"/>
        </w:rPr>
        <w:t>Оновлені розділи Досьє досліджуваного лікарського засобу Mosunetuzumab (RO7030816), стерильний розчин для ін`єкцій, 5 мг/0.5мл, 45 мг/мл; P.8.1 -RIM-REGQUAL-091787 v3.0, P.8.3 - RIM-REGQUAL-093938 v3.0, S.7.1 - RIM-REGQUAL-109504 v3.0, S.7.3 - RIM-REGQUAL-110409 v3.0 від 09 грудня 2022 року, англійською мовою; Продовження терміну придатності Мосунетузумабу (RO7030816) стерильний розчин для ін’єкцій, 5 мг/0,5 мл, 45 мг/мл до 36 місяців; Шкала загального враження пацієнта про ступінь важкості (PGI-S), для дослідження GA43191 версія 2.0 від 23 грудня 2021, українською мовою</w:t>
      </w:r>
      <w:r w:rsidR="00613A69">
        <w:rPr>
          <w:rStyle w:val="csa16174ba3"/>
          <w:lang w:val="uk-UA"/>
        </w:rPr>
        <w:t xml:space="preserve"> до протоколу клінічного дослідження «ФАЗА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w:t>
      </w:r>
      <w:r w:rsidR="00613A69">
        <w:rPr>
          <w:rStyle w:val="cs5e98e9303"/>
          <w:lang w:val="uk-UA"/>
        </w:rPr>
        <w:t>МОСУНЕТУЗУМАБУ</w:t>
      </w:r>
      <w:r w:rsidR="00613A69">
        <w:rPr>
          <w:rStyle w:val="csa16174ba3"/>
          <w:lang w:val="uk-UA"/>
        </w:rPr>
        <w:t xml:space="preserve"> В УЧАСНИКІВ З СИСТЕМНИМ ЧЕРВОНИМ ВОВЧАКОМ», код дослідження </w:t>
      </w:r>
      <w:r w:rsidR="00613A69">
        <w:rPr>
          <w:rStyle w:val="cs5e98e9303"/>
          <w:lang w:val="uk-UA"/>
        </w:rPr>
        <w:t>GA43191</w:t>
      </w:r>
      <w:r w:rsidR="00613A69">
        <w:rPr>
          <w:rStyle w:val="csa16174ba3"/>
          <w:lang w:val="uk-UA"/>
        </w:rPr>
        <w:t>, версія 2 від 12 cерпня 2021; спонсор - F. Hoffmann-La Roche Ltd, Switzerland / Ф. Хоффманн–Ля Рош Лтд, Швейцарія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4"/>
          <w:lang w:val="uk-UA"/>
        </w:rPr>
        <w:t xml:space="preserve">4. </w:t>
      </w:r>
      <w:r w:rsidR="00613A69">
        <w:rPr>
          <w:rStyle w:val="cs5e98e9304"/>
          <w:lang w:val="uk-UA"/>
        </w:rPr>
        <w:t xml:space="preserve">Оновлений протокол з інкорпорованою поправкою 7 від 22 серпня 2022 року; Брошура дослідника: Тофацитиніб від серпня 2022 р., версія 18.0; A3921165 Інформація для батьків та форма інформованої згоди на участь у дослідженні, на основі 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інформованої згоди на участь у дослідженні, на основі 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згоди на участь у дослідженні для пацієнтів віком 14-17 років, на основі </w:t>
      </w:r>
      <w:r w:rsidR="00613A69">
        <w:rPr>
          <w:rStyle w:val="cs5e98e9304"/>
          <w:lang w:val="uk-UA"/>
        </w:rPr>
        <w:lastRenderedPageBreak/>
        <w:t>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згоди на участь у дослідженні для дітей віком 11-13 років, на основі версії на рівні дослідження від 20 вересня 2022 р., версія для України 9.1.0 від 12 жовтня 2022 р., англійською, українською, російською мовами</w:t>
      </w:r>
      <w:r w:rsidR="00613A69">
        <w:rPr>
          <w:rStyle w:val="csa16174ba4"/>
          <w:lang w:val="uk-UA"/>
        </w:rPr>
        <w:t xml:space="preserve"> до протоколу клінічного дослідження «Ефективність, безпечність, переносимість і фармакокенетика </w:t>
      </w:r>
      <w:r w:rsidR="00613A69">
        <w:rPr>
          <w:rStyle w:val="cs5e98e9304"/>
          <w:lang w:val="uk-UA"/>
        </w:rPr>
        <w:t>Тофацитинібу</w:t>
      </w:r>
      <w:r w:rsidR="00613A69">
        <w:rPr>
          <w:rStyle w:val="csa16174ba4"/>
          <w:lang w:val="uk-UA"/>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613A69">
        <w:rPr>
          <w:rStyle w:val="cs5e98e9304"/>
          <w:lang w:val="uk-UA"/>
        </w:rPr>
        <w:t>А3921165</w:t>
      </w:r>
      <w:r w:rsidR="00613A69">
        <w:rPr>
          <w:rStyle w:val="csa16174ba4"/>
          <w:lang w:val="uk-UA"/>
        </w:rPr>
        <w:t>, з інкорпорованою поправкою 6 від 09 лютого 2022 року; спонсор - Пфайзер Інк, США [Pfizer Inc,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5"/>
          <w:lang w:val="uk-UA"/>
        </w:rPr>
        <w:t xml:space="preserve">5. </w:t>
      </w:r>
      <w:r w:rsidR="00613A69">
        <w:rPr>
          <w:rStyle w:val="cs5e98e9305"/>
          <w:lang w:val="uk-UA"/>
        </w:rPr>
        <w:t>Брошура дослідника RO6889450 Ralmitaront (TAAR1(4) Partial Agonist), версія 8 від жовтня 2022 року, англійською мовою</w:t>
      </w:r>
      <w:r w:rsidR="00613A69">
        <w:rPr>
          <w:rStyle w:val="csa16174ba5"/>
          <w:lang w:val="uk-UA"/>
        </w:rPr>
        <w:t xml:space="preserve"> до протоколу клінічного дослідження «Рандомізоване, подвійне сліпе, плацебо- контрольоване дослідження фази ІІ для оцінки ефектів препарату </w:t>
      </w:r>
      <w:r w:rsidR="00613A69">
        <w:rPr>
          <w:rStyle w:val="cs5e98e9305"/>
          <w:lang w:val="uk-UA"/>
        </w:rPr>
        <w:t>RO6889450</w:t>
      </w:r>
      <w:r w:rsidR="00613A69">
        <w:rPr>
          <w:rStyle w:val="csa16174ba5"/>
          <w:lang w:val="uk-UA"/>
        </w:rPr>
        <w:t xml:space="preserve"> (Ралмітаронт) у пацієнтів із шизофренією або з шизоафективним розл</w:t>
      </w:r>
      <w:r w:rsidR="00973D6C">
        <w:rPr>
          <w:rStyle w:val="csa16174ba5"/>
          <w:lang w:val="uk-UA"/>
        </w:rPr>
        <w:t>адом та негативними симптомами»</w:t>
      </w:r>
      <w:r w:rsidR="00613A69">
        <w:rPr>
          <w:rStyle w:val="csa16174ba5"/>
          <w:lang w:val="uk-UA"/>
        </w:rPr>
        <w:t xml:space="preserve">, код дослідження </w:t>
      </w:r>
      <w:r w:rsidR="00613A69">
        <w:rPr>
          <w:rStyle w:val="cs5e98e9305"/>
          <w:lang w:val="uk-UA"/>
        </w:rPr>
        <w:t>BP40283</w:t>
      </w:r>
      <w:r w:rsidR="00613A69">
        <w:rPr>
          <w:rStyle w:val="csa16174ba5"/>
          <w:lang w:val="uk-UA"/>
        </w:rPr>
        <w:t>, версія 6 від 27 вересня 2021 р.; спонсор - Ф. Хоффманн-Ля Рош Лтд, Швейцарія (F. Hoffmann-La Roche Ltd, Switzerland)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6"/>
          <w:lang w:val="uk-UA"/>
        </w:rPr>
        <w:t xml:space="preserve">6. </w:t>
      </w:r>
      <w:r w:rsidR="00613A69">
        <w:rPr>
          <w:rStyle w:val="cs5e98e9306"/>
          <w:lang w:val="uk-UA"/>
        </w:rPr>
        <w:t>Брошура дослідника досліджуваного лікарського засобу Pembrolizumab (MK-3475), видання 23 від 26 жовтня 2022 р., англійською мовою; Україна, MK-3475-811, Інформація та документ про інформовану згоду для пацієнта, версія 11 від 05 грудня 2022 р., українською мовою</w:t>
      </w:r>
      <w:r w:rsidR="00613A69">
        <w:rPr>
          <w:rStyle w:val="csa16174ba6"/>
          <w:lang w:val="uk-UA"/>
        </w:rPr>
        <w:t xml:space="preserve"> до протоколу клінічного дослідження «Рандомізоване, III фази, подвійне сліпе дослідження комбінації трастузумабу, хіміотерапії та </w:t>
      </w:r>
      <w:r w:rsidR="00613A69">
        <w:rPr>
          <w:rStyle w:val="cs5e98e9306"/>
          <w:lang w:val="uk-UA"/>
        </w:rPr>
        <w:t>пембролізумабу</w:t>
      </w:r>
      <w:r w:rsidR="00613A69">
        <w:rPr>
          <w:rStyle w:val="csa16174ba6"/>
          <w:lang w:val="uk-UA"/>
        </w:rPr>
        <w:t xml:space="preserve"> у порівнянні з комбінацією трастузумабу,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код дослідження </w:t>
      </w:r>
      <w:r w:rsidR="00613A69">
        <w:rPr>
          <w:rStyle w:val="cs5e98e9306"/>
          <w:lang w:val="uk-UA"/>
        </w:rPr>
        <w:t>MK-3475-811</w:t>
      </w:r>
      <w:r w:rsidR="00613A69">
        <w:rPr>
          <w:rStyle w:val="csa16174ba6"/>
          <w:lang w:val="uk-UA"/>
        </w:rPr>
        <w:t>, з інкорпорованою поправкою 09 від 08 вересня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F30FAC" w:rsidP="00F30FAC">
      <w:pPr>
        <w:jc w:val="both"/>
        <w:rPr>
          <w:rStyle w:val="cs80d9435b7"/>
          <w:lang w:val="uk-UA"/>
        </w:rPr>
      </w:pPr>
      <w:r>
        <w:rPr>
          <w:rStyle w:val="cs5e98e9307"/>
          <w:lang w:val="uk-UA"/>
        </w:rPr>
        <w:t xml:space="preserve">7. </w:t>
      </w:r>
      <w:r w:rsidR="00613A69">
        <w:rPr>
          <w:rStyle w:val="cs5e98e9307"/>
          <w:lang w:val="uk-UA"/>
        </w:rPr>
        <w:t>Оновлений протокол клінічного випробування М19-944, версія 6.0 від 27 жовтня 2022 року; Інформація для пацієнта та інформована згода на участь у науковому дослідженні та необов’язковому дослідженні, версія 6.0 для України від 25 листопада 2022 року, українською та російською мовами; Зміна назви місця проведення клінічного випробування</w:t>
      </w:r>
      <w:r w:rsidR="00613A69">
        <w:rPr>
          <w:rStyle w:val="csa16174ba7"/>
          <w:lang w:val="uk-UA"/>
        </w:rPr>
        <w:t xml:space="preserve"> до протоколу клінічного дослідження «Програма рандомізованих, плацебо-контрольованих подвійних сліпих досліджень фази 3 для оцінки ефективності та безпечності </w:t>
      </w:r>
      <w:r w:rsidR="00613A69">
        <w:rPr>
          <w:rStyle w:val="cs5e98e9307"/>
          <w:lang w:val="uk-UA"/>
        </w:rPr>
        <w:t>Упадацитинібу</w:t>
      </w:r>
      <w:r w:rsidR="00613A69">
        <w:rPr>
          <w:rStyle w:val="csa16174ba7"/>
          <w:lang w:val="uk-UA"/>
        </w:rPr>
        <w:t xml:space="preserve"> у дорослих пацієнтів з аксіальним спондилоартритом із подальшим періодом припинення лікування при досягненні ремісії», код дослідження </w:t>
      </w:r>
      <w:r w:rsidR="00613A69">
        <w:rPr>
          <w:rStyle w:val="cs5e98e9307"/>
          <w:lang w:val="uk-UA"/>
        </w:rPr>
        <w:t>M19-944</w:t>
      </w:r>
      <w:r w:rsidR="00613A69">
        <w:rPr>
          <w:rStyle w:val="csa16174ba7"/>
          <w:lang w:val="uk-UA"/>
        </w:rPr>
        <w:t>, версія 5.0 від 12 липня 2021 року; спонсор - «ЕббВі Інк», США / AbbVie Inc., USA</w:t>
      </w:r>
    </w:p>
    <w:p w:rsidR="00F30FAC" w:rsidRDefault="00F30FAC" w:rsidP="00F30FAC">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F87027" w:rsidRPr="00F30FAC" w:rsidRDefault="00613A69">
      <w:pPr>
        <w:pStyle w:val="cs80d9435b"/>
        <w:rPr>
          <w:lang w:val="uk-UA"/>
        </w:rPr>
      </w:pPr>
      <w:r>
        <w:rPr>
          <w:rStyle w:val="csa16174ba7"/>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F87027" w:rsidTr="00D25680">
        <w:trPr>
          <w:trHeight w:val="213"/>
        </w:trPr>
        <w:tc>
          <w:tcPr>
            <w:tcW w:w="4811" w:type="dxa"/>
            <w:tcMar>
              <w:top w:w="0" w:type="dxa"/>
              <w:left w:w="108" w:type="dxa"/>
              <w:bottom w:w="0" w:type="dxa"/>
              <w:right w:w="108" w:type="dxa"/>
            </w:tcMar>
            <w:hideMark/>
          </w:tcPr>
          <w:p w:rsidR="00F87027" w:rsidRPr="00D25680" w:rsidRDefault="00613A69">
            <w:pPr>
              <w:pStyle w:val="cs2e86d3a6"/>
              <w:rPr>
                <w:b/>
              </w:rPr>
            </w:pPr>
            <w:r w:rsidRPr="00D25680">
              <w:rPr>
                <w:rStyle w:val="csa16174ba7"/>
                <w:b/>
              </w:rPr>
              <w:t>БУЛО</w:t>
            </w:r>
          </w:p>
        </w:tc>
        <w:tc>
          <w:tcPr>
            <w:tcW w:w="4812" w:type="dxa"/>
            <w:tcMar>
              <w:top w:w="0" w:type="dxa"/>
              <w:left w:w="108" w:type="dxa"/>
              <w:bottom w:w="0" w:type="dxa"/>
              <w:right w:w="108" w:type="dxa"/>
            </w:tcMar>
            <w:hideMark/>
          </w:tcPr>
          <w:p w:rsidR="00F87027" w:rsidRPr="00D25680" w:rsidRDefault="00613A69">
            <w:pPr>
              <w:pStyle w:val="cs2e86d3a6"/>
              <w:rPr>
                <w:b/>
              </w:rPr>
            </w:pPr>
            <w:r w:rsidRPr="00D25680">
              <w:rPr>
                <w:rStyle w:val="csa16174ba7"/>
                <w:b/>
              </w:rPr>
              <w:t>СТАЛО</w:t>
            </w:r>
          </w:p>
        </w:tc>
      </w:tr>
      <w:tr w:rsidR="00F87027" w:rsidRPr="00A830BD" w:rsidTr="00D25680">
        <w:trPr>
          <w:trHeight w:val="213"/>
        </w:trPr>
        <w:tc>
          <w:tcPr>
            <w:tcW w:w="4811" w:type="dxa"/>
            <w:tcMar>
              <w:top w:w="0" w:type="dxa"/>
              <w:left w:w="108" w:type="dxa"/>
              <w:bottom w:w="0" w:type="dxa"/>
              <w:right w:w="108" w:type="dxa"/>
            </w:tcMar>
            <w:hideMark/>
          </w:tcPr>
          <w:p w:rsidR="00F87027" w:rsidRPr="00AA4EF1" w:rsidRDefault="00613A69">
            <w:pPr>
              <w:pStyle w:val="cs80d9435b"/>
              <w:rPr>
                <w:lang w:val="ru-RU"/>
              </w:rPr>
            </w:pPr>
            <w:r w:rsidRPr="00AA4EF1">
              <w:rPr>
                <w:rStyle w:val="csa16174ba7"/>
                <w:lang w:val="ru-RU"/>
              </w:rPr>
              <w:t xml:space="preserve">к.м.н. </w:t>
            </w:r>
            <w:r>
              <w:rPr>
                <w:rStyle w:val="csa16174ba7"/>
              </w:rPr>
              <w:t> </w:t>
            </w:r>
            <w:r w:rsidRPr="00AA4EF1">
              <w:rPr>
                <w:rStyle w:val="csa16174ba7"/>
                <w:lang w:val="ru-RU"/>
              </w:rPr>
              <w:t>Ткаченко М.В.</w:t>
            </w:r>
          </w:p>
          <w:p w:rsidR="00F87027" w:rsidRPr="00AA4EF1" w:rsidRDefault="00613A69">
            <w:pPr>
              <w:pStyle w:val="cs80d9435b"/>
              <w:rPr>
                <w:lang w:val="ru-RU"/>
              </w:rPr>
            </w:pPr>
            <w:r w:rsidRPr="00AA4EF1">
              <w:rPr>
                <w:rStyle w:val="csa16174ba7"/>
                <w:lang w:val="ru-RU"/>
              </w:rPr>
              <w:t>Комунальне підприємство</w:t>
            </w:r>
            <w:r w:rsidRPr="00AA4EF1">
              <w:rPr>
                <w:rStyle w:val="cs5e98e9307"/>
                <w:lang w:val="ru-RU"/>
              </w:rPr>
              <w:t xml:space="preserve"> </w:t>
            </w:r>
            <w:r w:rsidRPr="00AA4EF1">
              <w:rPr>
                <w:rStyle w:val="csa16174ba7"/>
                <w:lang w:val="ru-RU"/>
              </w:rPr>
              <w:t>«Полтавська обласна клінічна лікарня ім. М.В. Скліфосовського Полтавської обласної ради»,</w:t>
            </w:r>
            <w:r w:rsidRPr="00AA4EF1">
              <w:rPr>
                <w:rStyle w:val="cs5e98e9307"/>
                <w:lang w:val="ru-RU"/>
              </w:rPr>
              <w:t xml:space="preserve"> ревматологічне відділення, Українська медична стоматологічна академія, кафедра сімейної медицини і терапії, </w:t>
            </w:r>
            <w:r w:rsidRPr="00AA4EF1">
              <w:rPr>
                <w:rStyle w:val="csa16174ba7"/>
                <w:lang w:val="ru-RU"/>
              </w:rPr>
              <w:t>м. Полтава</w:t>
            </w:r>
          </w:p>
        </w:tc>
        <w:tc>
          <w:tcPr>
            <w:tcW w:w="4812" w:type="dxa"/>
            <w:tcMar>
              <w:top w:w="0" w:type="dxa"/>
              <w:left w:w="108" w:type="dxa"/>
              <w:bottom w:w="0" w:type="dxa"/>
              <w:right w:w="108" w:type="dxa"/>
            </w:tcMar>
            <w:hideMark/>
          </w:tcPr>
          <w:p w:rsidR="00F87027" w:rsidRPr="00AA4EF1" w:rsidRDefault="00613A69">
            <w:pPr>
              <w:pStyle w:val="csf06cd379"/>
              <w:rPr>
                <w:lang w:val="ru-RU"/>
              </w:rPr>
            </w:pPr>
            <w:r w:rsidRPr="00AA4EF1">
              <w:rPr>
                <w:rStyle w:val="csa16174ba7"/>
                <w:lang w:val="ru-RU"/>
              </w:rPr>
              <w:t xml:space="preserve">к.м.н. </w:t>
            </w:r>
            <w:r>
              <w:rPr>
                <w:rStyle w:val="csa16174ba7"/>
              </w:rPr>
              <w:t> </w:t>
            </w:r>
            <w:r w:rsidRPr="00AA4EF1">
              <w:rPr>
                <w:rStyle w:val="csa16174ba7"/>
                <w:lang w:val="ru-RU"/>
              </w:rPr>
              <w:t xml:space="preserve">Ткаченко М.В. </w:t>
            </w:r>
          </w:p>
          <w:p w:rsidR="00F87027" w:rsidRPr="00AA4EF1" w:rsidRDefault="00613A69">
            <w:pPr>
              <w:pStyle w:val="cs80d9435b"/>
              <w:rPr>
                <w:lang w:val="ru-RU"/>
              </w:rPr>
            </w:pPr>
            <w:r w:rsidRPr="00AA4EF1">
              <w:rPr>
                <w:rStyle w:val="csa16174ba7"/>
                <w:lang w:val="ru-RU"/>
              </w:rPr>
              <w:t>Комунальне підприємство «Полтавська обласна клінічна лікарня ім. М.В. Скліфосовського Полтавської обласної ради»,</w:t>
            </w:r>
            <w:r w:rsidRPr="00AA4EF1">
              <w:rPr>
                <w:rStyle w:val="cs5e98e9307"/>
                <w:lang w:val="ru-RU"/>
              </w:rPr>
              <w:t xml:space="preserve"> Обласний лікувально-діагностичний ревматологічний центр, Полтавський державний медичний університет, </w:t>
            </w:r>
            <w:r w:rsidRPr="00AA4EF1">
              <w:rPr>
                <w:rStyle w:val="csa16174ba7"/>
                <w:lang w:val="ru-RU"/>
              </w:rPr>
              <w:t>кафедра сімейної медицини і терапії, м. Полтава</w:t>
            </w:r>
          </w:p>
        </w:tc>
      </w:tr>
    </w:tbl>
    <w:p w:rsidR="00F87027" w:rsidRDefault="00613A69" w:rsidP="00F30FAC">
      <w:pPr>
        <w:pStyle w:val="cs80d9435b"/>
        <w:rPr>
          <w:rFonts w:ascii="Arial" w:hAnsi="Arial" w:cs="Arial"/>
          <w:sz w:val="20"/>
          <w:szCs w:val="20"/>
          <w:lang w:val="uk-UA"/>
        </w:rPr>
      </w:pPr>
      <w:r>
        <w:rPr>
          <w:rStyle w:val="csa16174ba7"/>
          <w:lang w:val="uk-UA"/>
        </w:rPr>
        <w:t> </w:t>
      </w:r>
    </w:p>
    <w:p w:rsidR="00F87027" w:rsidRDefault="00F87027">
      <w:pPr>
        <w:jc w:val="both"/>
        <w:rPr>
          <w:rFonts w:ascii="Arial" w:hAnsi="Arial" w:cs="Arial"/>
          <w:sz w:val="20"/>
          <w:szCs w:val="20"/>
          <w:lang w:val="uk-UA"/>
        </w:rPr>
      </w:pPr>
    </w:p>
    <w:p w:rsidR="00F87027" w:rsidRPr="00AA4EF1" w:rsidRDefault="00F30FAC" w:rsidP="00F30FAC">
      <w:pPr>
        <w:jc w:val="both"/>
        <w:rPr>
          <w:rStyle w:val="cs80d9435b8"/>
          <w:lang w:val="uk-UA"/>
        </w:rPr>
      </w:pPr>
      <w:r>
        <w:rPr>
          <w:rStyle w:val="cs5e98e9308"/>
          <w:lang w:val="uk-UA"/>
        </w:rPr>
        <w:t xml:space="preserve">8. </w:t>
      </w:r>
      <w:r w:rsidR="00613A69">
        <w:rPr>
          <w:rStyle w:val="cs5e98e9308"/>
          <w:lang w:val="uk-UA"/>
        </w:rPr>
        <w:t>Брошура дослідника досліджуваного лікарського засобу Pembrolizumab (MK-3475), видання 23 від 26 жовтня 2022 р., англійською мовою; Зміна назви місця проведення випробування</w:t>
      </w:r>
      <w:r w:rsidR="00613A69">
        <w:rPr>
          <w:rStyle w:val="csa16174ba8"/>
          <w:lang w:val="uk-UA"/>
        </w:rPr>
        <w:t xml:space="preserve"> до протоколу клінічного дослідження «Багатоцентрове, відкрите, розширене дослідження III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w:t>
      </w:r>
      <w:r w:rsidR="00613A69">
        <w:rPr>
          <w:rStyle w:val="cs5e98e9308"/>
          <w:lang w:val="uk-UA"/>
        </w:rPr>
        <w:t>пембролізумабу</w:t>
      </w:r>
      <w:r w:rsidR="00613A69">
        <w:rPr>
          <w:rStyle w:val="csa16174ba8"/>
          <w:lang w:val="uk-UA"/>
        </w:rPr>
        <w:t xml:space="preserve">», код дослідження </w:t>
      </w:r>
      <w:r w:rsidR="00613A69">
        <w:rPr>
          <w:rStyle w:val="cs5e98e9308"/>
          <w:lang w:val="uk-UA"/>
        </w:rPr>
        <w:t>MK-3475-587</w:t>
      </w:r>
      <w:r w:rsidR="00613A69">
        <w:rPr>
          <w:rStyle w:val="csa16174ba8"/>
          <w:lang w:val="uk-UA"/>
        </w:rPr>
        <w:t>, версія з інкорпорованою поправкою 03 від 19 квітня 2021 року; спонсор - ТОВ Мерк Шарп енд Доум, США (Merck Sharp &amp; Dohme LLC, USA)</w:t>
      </w:r>
    </w:p>
    <w:p w:rsidR="00F30FAC" w:rsidRDefault="00F30FAC" w:rsidP="00F30FA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Pr="00F30FAC" w:rsidRDefault="00613A69">
      <w:pPr>
        <w:pStyle w:val="cs80d9435b"/>
        <w:rPr>
          <w:lang w:val="uk-UA"/>
        </w:rPr>
      </w:pPr>
      <w:r>
        <w:rPr>
          <w:rStyle w:val="csa16174ba8"/>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F87027" w:rsidTr="00D8597F">
        <w:trPr>
          <w:trHeight w:val="213"/>
        </w:trPr>
        <w:tc>
          <w:tcPr>
            <w:tcW w:w="4811" w:type="dxa"/>
            <w:tcMar>
              <w:top w:w="0" w:type="dxa"/>
              <w:left w:w="108" w:type="dxa"/>
              <w:bottom w:w="0" w:type="dxa"/>
              <w:right w:w="108" w:type="dxa"/>
            </w:tcMar>
            <w:hideMark/>
          </w:tcPr>
          <w:p w:rsidR="00F87027" w:rsidRPr="00D8597F" w:rsidRDefault="00613A69">
            <w:pPr>
              <w:pStyle w:val="cs2e86d3a6"/>
              <w:rPr>
                <w:b/>
              </w:rPr>
            </w:pPr>
            <w:r w:rsidRPr="00D8597F">
              <w:rPr>
                <w:rStyle w:val="csa16174ba8"/>
                <w:b/>
              </w:rPr>
              <w:lastRenderedPageBreak/>
              <w:t>БУЛО</w:t>
            </w:r>
          </w:p>
        </w:tc>
        <w:tc>
          <w:tcPr>
            <w:tcW w:w="4812" w:type="dxa"/>
            <w:tcMar>
              <w:top w:w="0" w:type="dxa"/>
              <w:left w:w="108" w:type="dxa"/>
              <w:bottom w:w="0" w:type="dxa"/>
              <w:right w:w="108" w:type="dxa"/>
            </w:tcMar>
            <w:hideMark/>
          </w:tcPr>
          <w:p w:rsidR="00F87027" w:rsidRPr="00D8597F" w:rsidRDefault="00613A69">
            <w:pPr>
              <w:pStyle w:val="cs2e86d3a6"/>
              <w:rPr>
                <w:b/>
              </w:rPr>
            </w:pPr>
            <w:r w:rsidRPr="00D8597F">
              <w:rPr>
                <w:rStyle w:val="csa16174ba8"/>
                <w:b/>
              </w:rPr>
              <w:t>СТАЛО</w:t>
            </w:r>
          </w:p>
        </w:tc>
      </w:tr>
      <w:tr w:rsidR="00F87027" w:rsidRPr="00A830BD" w:rsidTr="00D8597F">
        <w:trPr>
          <w:trHeight w:val="213"/>
        </w:trPr>
        <w:tc>
          <w:tcPr>
            <w:tcW w:w="4811" w:type="dxa"/>
            <w:tcMar>
              <w:top w:w="0" w:type="dxa"/>
              <w:left w:w="108" w:type="dxa"/>
              <w:bottom w:w="0" w:type="dxa"/>
              <w:right w:w="108" w:type="dxa"/>
            </w:tcMar>
            <w:hideMark/>
          </w:tcPr>
          <w:p w:rsidR="00F87027" w:rsidRDefault="00613A69">
            <w:pPr>
              <w:pStyle w:val="cs80d9435b"/>
            </w:pPr>
            <w:r>
              <w:rPr>
                <w:rStyle w:val="csa16174ba8"/>
              </w:rPr>
              <w:t>к.м.н. Трухін Д.В.</w:t>
            </w:r>
          </w:p>
          <w:p w:rsidR="00F87027" w:rsidRPr="00AA4EF1" w:rsidRDefault="00613A69">
            <w:pPr>
              <w:pStyle w:val="cs80d9435b"/>
              <w:rPr>
                <w:lang w:val="ru-RU"/>
              </w:rPr>
            </w:pPr>
            <w:r w:rsidRPr="00AA4EF1">
              <w:rPr>
                <w:rStyle w:val="csa16174ba8"/>
                <w:lang w:val="ru-RU"/>
              </w:rPr>
              <w:t xml:space="preserve">Комунальне некомерційне підприємство </w:t>
            </w:r>
            <w:r w:rsidRPr="00AA4EF1">
              <w:rPr>
                <w:rStyle w:val="cs5e98e9308"/>
                <w:lang w:val="ru-RU"/>
              </w:rPr>
              <w:t>«Одеський обласний онкологічний диспансер»</w:t>
            </w:r>
            <w:r w:rsidRPr="00AA4EF1">
              <w:rPr>
                <w:rStyle w:val="csa16174ba8"/>
                <w:lang w:val="ru-RU"/>
              </w:rPr>
              <w:t xml:space="preserve"> Одеської обласної ради», </w:t>
            </w:r>
            <w:r w:rsidRPr="00AA4EF1">
              <w:rPr>
                <w:rStyle w:val="cs5e98e9308"/>
                <w:lang w:val="ru-RU"/>
              </w:rPr>
              <w:t>стаціонар денного перебування диспансерно-поліклінічного відділення</w:t>
            </w:r>
            <w:r w:rsidRPr="00AA4EF1">
              <w:rPr>
                <w:rStyle w:val="csa16174ba8"/>
                <w:lang w:val="ru-RU"/>
              </w:rPr>
              <w:t>, м. Одеса</w:t>
            </w:r>
          </w:p>
        </w:tc>
        <w:tc>
          <w:tcPr>
            <w:tcW w:w="4812" w:type="dxa"/>
            <w:tcMar>
              <w:top w:w="0" w:type="dxa"/>
              <w:left w:w="108" w:type="dxa"/>
              <w:bottom w:w="0" w:type="dxa"/>
              <w:right w:w="108" w:type="dxa"/>
            </w:tcMar>
            <w:hideMark/>
          </w:tcPr>
          <w:p w:rsidR="00F87027" w:rsidRPr="00AA4EF1" w:rsidRDefault="00613A69">
            <w:pPr>
              <w:pStyle w:val="csf06cd379"/>
              <w:rPr>
                <w:lang w:val="ru-RU"/>
              </w:rPr>
            </w:pPr>
            <w:r w:rsidRPr="00AA4EF1">
              <w:rPr>
                <w:rStyle w:val="csa16174ba8"/>
                <w:lang w:val="ru-RU"/>
              </w:rPr>
              <w:t>к.м.н. Трухін Д.В.</w:t>
            </w:r>
          </w:p>
          <w:p w:rsidR="00F87027" w:rsidRPr="00AA4EF1" w:rsidRDefault="00613A69">
            <w:pPr>
              <w:pStyle w:val="cs80d9435b"/>
              <w:rPr>
                <w:lang w:val="ru-RU"/>
              </w:rPr>
            </w:pPr>
            <w:r w:rsidRPr="00AA4EF1">
              <w:rPr>
                <w:rStyle w:val="csa16174ba8"/>
                <w:lang w:val="ru-RU"/>
              </w:rPr>
              <w:t xml:space="preserve">Комунальне некомерційне підприємство </w:t>
            </w:r>
            <w:r w:rsidRPr="00AA4EF1">
              <w:rPr>
                <w:rStyle w:val="cs5e98e9308"/>
                <w:lang w:val="ru-RU"/>
              </w:rPr>
              <w:t>«Одеський регіональний клінічний протипухлинний центр»</w:t>
            </w:r>
            <w:r w:rsidRPr="00AA4EF1">
              <w:rPr>
                <w:rStyle w:val="csa16174ba8"/>
                <w:lang w:val="ru-RU"/>
              </w:rPr>
              <w:t xml:space="preserve"> Одеської обласної ради, </w:t>
            </w:r>
            <w:r w:rsidRPr="00AA4EF1">
              <w:rPr>
                <w:rStyle w:val="cs5e98e9308"/>
                <w:lang w:val="ru-RU"/>
              </w:rPr>
              <w:t>відділення хіміотерапії</w:t>
            </w:r>
            <w:r w:rsidRPr="00AA4EF1">
              <w:rPr>
                <w:rStyle w:val="csa16174ba8"/>
                <w:lang w:val="ru-RU"/>
              </w:rPr>
              <w:t>, м. Одеса</w:t>
            </w:r>
          </w:p>
        </w:tc>
      </w:tr>
    </w:tbl>
    <w:p w:rsidR="00F87027" w:rsidRDefault="00613A69" w:rsidP="00F30FAC">
      <w:pPr>
        <w:pStyle w:val="cs80d9435b"/>
        <w:rPr>
          <w:rFonts w:ascii="Arial" w:hAnsi="Arial" w:cs="Arial"/>
          <w:sz w:val="20"/>
          <w:szCs w:val="20"/>
          <w:lang w:val="uk-UA"/>
        </w:rPr>
      </w:pPr>
      <w:r>
        <w:rPr>
          <w:rStyle w:val="csa16174ba8"/>
          <w:lang w:val="uk-UA"/>
        </w:rPr>
        <w:t> </w:t>
      </w: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9"/>
          <w:lang w:val="uk-UA"/>
        </w:rPr>
        <w:t xml:space="preserve">9. </w:t>
      </w:r>
      <w:r w:rsidR="00613A69">
        <w:rPr>
          <w:rStyle w:val="cs5e98e9309"/>
          <w:lang w:val="uk-UA"/>
        </w:rPr>
        <w:t>Додаток №1, від жовтня 2022 до брошури дослідника для атезолізумабу (TECENTRIQ®, RO5541267, MPDL3280A), версія 19 від серпня 2022 р.; Додаток №2, від листопада 2022 до брошури дослідника для атезолізумабу (TECENTRIQ®, RO5541267, MPDL3280A), версія 19 від серпня 2022 р.</w:t>
      </w:r>
      <w:r w:rsidR="00613A69">
        <w:rPr>
          <w:rStyle w:val="csa16174ba9"/>
          <w:lang w:val="uk-UA"/>
        </w:rPr>
        <w:t xml:space="preserve"> до протоколів клінічних досліджень: «Багатоцентрове рандомізоване плацебо-контрольоване дослідження III фази </w:t>
      </w:r>
      <w:r w:rsidR="00613A69">
        <w:rPr>
          <w:rStyle w:val="cs5e98e9309"/>
          <w:lang w:val="uk-UA"/>
        </w:rPr>
        <w:t>атезолізумабу</w:t>
      </w:r>
      <w:r w:rsidR="00613A69">
        <w:rPr>
          <w:rStyle w:val="csa16174ba9"/>
          <w:lang w:val="uk-UA"/>
        </w:rPr>
        <w:t xml:space="preserve">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613A69">
        <w:rPr>
          <w:rStyle w:val="cs5e98e9309"/>
          <w:lang w:val="uk-UA"/>
        </w:rPr>
        <w:t>WO30070</w:t>
      </w:r>
      <w:r w:rsidR="00613A69">
        <w:rPr>
          <w:rStyle w:val="csa16174ba9"/>
          <w:lang w:val="uk-UA"/>
        </w:rPr>
        <w:t xml:space="preserve">, версія 10 від 10 січня 2022 р.; «Багатоцентрове, рандомізоване, плацебо-контрольоване, подвійне сліпе дослідження III фази </w:t>
      </w:r>
      <w:r w:rsidR="00613A69">
        <w:rPr>
          <w:rStyle w:val="cs5e98e9309"/>
          <w:lang w:val="uk-UA"/>
        </w:rPr>
        <w:t>атезолізумабу</w:t>
      </w:r>
      <w:r w:rsidR="00613A69">
        <w:rPr>
          <w:rStyle w:val="csa16174ba9"/>
          <w:lang w:val="uk-UA"/>
        </w:rPr>
        <w:t xml:space="preserve"> (анти-PD-L1 антитіло)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00613A69">
        <w:rPr>
          <w:rStyle w:val="cs5e98e9309"/>
          <w:lang w:val="uk-UA"/>
        </w:rPr>
        <w:t>WO39210</w:t>
      </w:r>
      <w:r w:rsidR="00613A69">
        <w:rPr>
          <w:rStyle w:val="csa16174ba9"/>
          <w:lang w:val="uk-UA"/>
        </w:rPr>
        <w:t xml:space="preserve">, версія 10 від 12 листопада 2021 р.; «Подвійне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код дослідження </w:t>
      </w:r>
      <w:r w:rsidR="00613A69">
        <w:rPr>
          <w:rStyle w:val="cs5e98e9309"/>
          <w:lang w:val="uk-UA"/>
        </w:rPr>
        <w:t>CO40016</w:t>
      </w:r>
      <w:r w:rsidR="00613A69">
        <w:rPr>
          <w:rStyle w:val="csa16174ba9"/>
          <w:lang w:val="uk-UA"/>
        </w:rPr>
        <w:t xml:space="preserve">, версія 11 (Когорта C) від 17 лютого 2022 р.; «Багатоцентрове, рандомізоване, подвійне сліпе, плацебо-контрольоване дослідження III фази </w:t>
      </w:r>
      <w:r w:rsidR="00613A69">
        <w:rPr>
          <w:rStyle w:val="cs5e98e9309"/>
          <w:lang w:val="uk-UA"/>
        </w:rPr>
        <w:t xml:space="preserve">атезолізумабу </w:t>
      </w:r>
      <w:r w:rsidR="00613A69">
        <w:rPr>
          <w:rStyle w:val="csa16174ba9"/>
          <w:lang w:val="uk-UA"/>
        </w:rPr>
        <w:t xml:space="preserve">(анти-PD-L1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613A69">
        <w:rPr>
          <w:rStyle w:val="cs5e98e9309"/>
          <w:lang w:val="uk-UA"/>
        </w:rPr>
        <w:t>WO40242</w:t>
      </w:r>
      <w:r w:rsidR="00613A69">
        <w:rPr>
          <w:rStyle w:val="csa16174ba9"/>
          <w:lang w:val="uk-UA"/>
        </w:rPr>
        <w:t xml:space="preserve">, версія 11 від 04 листопада 2021 р.; «Подвійне сліпе, багатоцентрове, рандомізоване дослідження III фази для оцінки ефективності та безпеки неоад'ювантної терапії </w:t>
      </w:r>
      <w:r w:rsidR="00613A69">
        <w:rPr>
          <w:rStyle w:val="cs5e98e9309"/>
          <w:lang w:val="uk-UA"/>
        </w:rPr>
        <w:t>атезолізумабом</w:t>
      </w:r>
      <w:r w:rsidR="00613A69">
        <w:rPr>
          <w:rStyle w:val="csa16174ba9"/>
          <w:lang w:val="uk-UA"/>
        </w:rPr>
        <w:t xml:space="preserve">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код дослідження </w:t>
      </w:r>
      <w:r w:rsidR="00613A69">
        <w:rPr>
          <w:rStyle w:val="cs5e98e9309"/>
          <w:lang w:val="uk-UA"/>
        </w:rPr>
        <w:t>GO40241</w:t>
      </w:r>
      <w:r w:rsidR="00613A69">
        <w:rPr>
          <w:rStyle w:val="csa16174ba9"/>
          <w:lang w:val="uk-UA"/>
        </w:rPr>
        <w:t xml:space="preserve">, версія 9 від 28 лютого 2022 р.; «Рандомізоване,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комбінації з </w:t>
      </w:r>
      <w:r w:rsidR="00613A69">
        <w:rPr>
          <w:rStyle w:val="cs5e98e9309"/>
          <w:lang w:val="uk-UA"/>
        </w:rPr>
        <w:t>атезолізумабом</w:t>
      </w:r>
      <w:r w:rsidR="00613A69">
        <w:rPr>
          <w:rStyle w:val="csa16174ba9"/>
          <w:lang w:val="uk-UA"/>
        </w:rPr>
        <w:t xml:space="preserve"> у пацієнтів із раніше нелікованим місцево-поширеним нерезектабельним або метастатичним PD-L1-селективним недрібноклітинним раком легень», код дослідження </w:t>
      </w:r>
      <w:r w:rsidR="00613A69">
        <w:rPr>
          <w:rStyle w:val="cs5e98e9309"/>
          <w:lang w:val="uk-UA"/>
        </w:rPr>
        <w:t>GO41717</w:t>
      </w:r>
      <w:r w:rsidR="00613A69">
        <w:rPr>
          <w:rStyle w:val="csa16174ba9"/>
          <w:lang w:val="uk-UA"/>
        </w:rPr>
        <w:t xml:space="preserve">, версія 4 від 03 листопада 2021 р.; «Рандомізоване, подвійне сліпе, плацебо-контрольоване фази III дослідження </w:t>
      </w:r>
      <w:r w:rsidR="00613A69">
        <w:rPr>
          <w:rStyle w:val="cs5e98e9309"/>
          <w:lang w:val="uk-UA"/>
        </w:rPr>
        <w:t>атезолізумабу</w:t>
      </w:r>
      <w:r w:rsidR="00613A69">
        <w:rPr>
          <w:rStyle w:val="csa16174ba9"/>
          <w:lang w:val="uk-UA"/>
        </w:rPr>
        <w:t xml:space="preserve">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613A69">
        <w:rPr>
          <w:rStyle w:val="cs5e98e9309"/>
          <w:lang w:val="uk-UA"/>
        </w:rPr>
        <w:t>YO42137</w:t>
      </w:r>
      <w:r w:rsidR="00613A69">
        <w:rPr>
          <w:rStyle w:val="csa16174ba9"/>
          <w:lang w:val="uk-UA"/>
        </w:rPr>
        <w:t xml:space="preserve">, версія 5 від 27 серпня 2021 р.; «Рандомізоване, подвійне сліпе, плацебо-контрольоване, фази II дослідження застосування </w:t>
      </w:r>
      <w:r w:rsidR="00613A69">
        <w:rPr>
          <w:rStyle w:val="cs5e98e9309"/>
          <w:lang w:val="uk-UA"/>
        </w:rPr>
        <w:t>атезолізумабу</w:t>
      </w:r>
      <w:r w:rsidR="00613A69">
        <w:rPr>
          <w:rStyle w:val="csa16174ba9"/>
          <w:lang w:val="uk-UA"/>
        </w:rPr>
        <w:t xml:space="preserve">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 код дослідження </w:t>
      </w:r>
      <w:r w:rsidR="00613A69">
        <w:rPr>
          <w:rStyle w:val="cs5e98e9309"/>
          <w:lang w:val="uk-UA"/>
        </w:rPr>
        <w:t>GO42661</w:t>
      </w:r>
      <w:r w:rsidR="00613A69">
        <w:rPr>
          <w:rStyle w:val="csa16174ba9"/>
          <w:lang w:val="uk-UA"/>
        </w:rPr>
        <w:t xml:space="preserve">, версія 5 від 23 червня 2022 р.; «Рандомізоване, багатоцентрове, фази IB/III дослідження фармакокінетики, ефективності та безпечності застосування підшкірної форми </w:t>
      </w:r>
      <w:r w:rsidR="00613A69">
        <w:rPr>
          <w:rStyle w:val="cs5e98e9309"/>
          <w:lang w:val="uk-UA"/>
        </w:rPr>
        <w:t>атезолізумабу</w:t>
      </w:r>
      <w:r w:rsidR="00613A69">
        <w:rPr>
          <w:rStyle w:val="csa16174ba9"/>
          <w:lang w:val="uk-UA"/>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613A69">
        <w:rPr>
          <w:rStyle w:val="cs5e98e9309"/>
          <w:lang w:val="uk-UA"/>
        </w:rPr>
        <w:t>BP40657</w:t>
      </w:r>
      <w:r w:rsidR="00613A69">
        <w:rPr>
          <w:rStyle w:val="csa16174ba9"/>
          <w:lang w:val="uk-UA"/>
        </w:rPr>
        <w:t xml:space="preserve">, версія 6 від 25 лютого 2022 р.; «Рандомізоване, подвійне сліпе, багатоцентрове фази ІІІ дослідження застосування </w:t>
      </w:r>
      <w:r w:rsidR="00613A69">
        <w:rPr>
          <w:rStyle w:val="cs5e98e9309"/>
          <w:lang w:val="uk-UA"/>
        </w:rPr>
        <w:t xml:space="preserve">атезолізумабу </w:t>
      </w:r>
      <w:r w:rsidR="00613A69">
        <w:rPr>
          <w:rStyle w:val="csa16174ba9"/>
          <w:lang w:val="uk-UA"/>
        </w:rPr>
        <w:t xml:space="preserve">(анти-PD-L1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00613A69">
        <w:rPr>
          <w:rStyle w:val="cs5e98e9309"/>
          <w:lang w:val="uk-UA"/>
        </w:rPr>
        <w:t>BO42843</w:t>
      </w:r>
      <w:r w:rsidR="00613A69">
        <w:rPr>
          <w:rStyle w:val="csa16174ba9"/>
          <w:lang w:val="uk-UA"/>
        </w:rPr>
        <w:t xml:space="preserve">, версія 4 від 06 січня 2022 р.; «Рандомізоване, подвійне сліпе, плацебо-контрольоване дослідження фази ІІІ для оцінки ефективності та безпечності ад’ювантної терапії </w:t>
      </w:r>
      <w:r w:rsidR="00613A69">
        <w:rPr>
          <w:rStyle w:val="cs5e98e9309"/>
          <w:lang w:val="uk-UA"/>
        </w:rPr>
        <w:t>атезолізумабом</w:t>
      </w:r>
      <w:r w:rsidR="00613A69">
        <w:rPr>
          <w:rStyle w:val="csa16174ba9"/>
          <w:lang w:val="uk-UA"/>
        </w:rPr>
        <w:t xml:space="preserve"> або плацебо у комбінації з трастузумабом емтансином у пацієнтів із HER2-позитивним раком молочної залози з високим ризиком рецидиву після передопераційної терапії», код дослідження </w:t>
      </w:r>
      <w:r w:rsidR="00613A69">
        <w:rPr>
          <w:rStyle w:val="cs5e98e9309"/>
          <w:lang w:val="uk-UA"/>
        </w:rPr>
        <w:t>WO42633</w:t>
      </w:r>
      <w:r w:rsidR="00613A69">
        <w:rPr>
          <w:rStyle w:val="csa16174ba9"/>
          <w:lang w:val="uk-UA"/>
        </w:rPr>
        <w:t>, версія 3 від 23 лютого 2022 р.; спонсор - Ф.Хоффманн-Ля Рош Лтд (Швейцарія)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F30FAC" w:rsidRDefault="00F30FAC" w:rsidP="00F30FAC">
      <w:pPr>
        <w:jc w:val="both"/>
        <w:rPr>
          <w:lang w:val="uk-UA"/>
        </w:rPr>
      </w:pPr>
      <w:r>
        <w:rPr>
          <w:rStyle w:val="cs5e98e93010"/>
          <w:lang w:val="uk-UA"/>
        </w:rPr>
        <w:t xml:space="preserve">10. </w:t>
      </w:r>
      <w:r w:rsidR="00613A69">
        <w:rPr>
          <w:rStyle w:val="cs5e98e93010"/>
          <w:lang w:val="uk-UA"/>
        </w:rPr>
        <w:t xml:space="preserve">Брошура дослідника Somatrogon (MOD-4023, CTP Modified hGH), версія 2.0 (Pfizer) від вересня 2022 (MOD-4023 | MOD-4023 Somatrogon Investigator's Brochure PFE v2_20220915_VV-TMF-199277 | Version 2.0 dated 12 Oct 2022); Протокол CP-4-006_Лист №3 про адміністративні зміни до протоколу, від 13 вересня 2022 р. (MOD-4023 | CP-4-006 | CP-4-006_Protocol Administrative Letter 3_VV-TMF-214654 | Version 1.0 dated 18 Sep 2022) </w:t>
      </w:r>
      <w:r w:rsidR="00613A69">
        <w:rPr>
          <w:rStyle w:val="csa16174ba10"/>
          <w:lang w:val="uk-UA"/>
        </w:rPr>
        <w:t xml:space="preserve">до протоколу клінічного випробування «Відкрите рандомізоване багатоцентрове дослідження фази 3, тривалістю 12 місяців, з оцінки ефективності та </w:t>
      </w:r>
      <w:r w:rsidR="00613A69">
        <w:rPr>
          <w:rStyle w:val="csa16174ba10"/>
          <w:lang w:val="uk-UA"/>
        </w:rPr>
        <w:lastRenderedPageBreak/>
        <w:t xml:space="preserve">безпечності застосування препарату </w:t>
      </w:r>
      <w:r w:rsidR="00613A69">
        <w:rPr>
          <w:rStyle w:val="cs5e98e93010"/>
          <w:lang w:val="uk-UA"/>
        </w:rPr>
        <w:t>MOD-4023</w:t>
      </w:r>
      <w:r w:rsidR="00613A69">
        <w:rPr>
          <w:rStyle w:val="csa16174ba10"/>
          <w:lang w:val="uk-UA"/>
        </w:rPr>
        <w:t xml:space="preserve"> один раз на тиждень, у порівнянні з щоденною терапією Генотропіном®, у дітей у препубертатному віці з дефіцитом гормону росту», код дослідження </w:t>
      </w:r>
      <w:r w:rsidR="00613A69">
        <w:rPr>
          <w:rStyle w:val="cs5e98e93010"/>
          <w:lang w:val="uk-UA"/>
        </w:rPr>
        <w:t>CP-4-006</w:t>
      </w:r>
      <w:r w:rsidR="00613A69">
        <w:rPr>
          <w:rStyle w:val="csa16174ba10"/>
          <w:lang w:val="uk-UA"/>
        </w:rPr>
        <w:t>, Поправка 2 від 06 травня 2018; спонсор - ОПКО Байолоджікс Лтд. (OPKO Biologics Ltd.), Ізраїль </w:t>
      </w:r>
    </w:p>
    <w:p w:rsidR="00F87027" w:rsidRDefault="00613A69">
      <w:pPr>
        <w:jc w:val="both"/>
        <w:rPr>
          <w:rFonts w:ascii="Arial" w:hAnsi="Arial" w:cs="Arial"/>
          <w:sz w:val="20"/>
          <w:szCs w:val="20"/>
          <w:lang w:val="uk-UA"/>
        </w:rPr>
      </w:pPr>
      <w:r>
        <w:rPr>
          <w:rFonts w:ascii="Arial" w:hAnsi="Arial" w:cs="Arial"/>
          <w:sz w:val="20"/>
          <w:szCs w:val="20"/>
          <w:lang w:val="uk-UA"/>
        </w:rPr>
        <w:t>Заявник - ТOB «КЦР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F30FAC" w:rsidP="00F30FAC">
      <w:pPr>
        <w:jc w:val="both"/>
        <w:rPr>
          <w:rStyle w:val="cs80d9435b11"/>
          <w:lang w:val="uk-UA"/>
        </w:rPr>
      </w:pPr>
      <w:r>
        <w:rPr>
          <w:rStyle w:val="cs5e98e93011"/>
          <w:lang w:val="uk-UA"/>
        </w:rPr>
        <w:t xml:space="preserve">11. </w:t>
      </w:r>
      <w:r w:rsidR="00613A69">
        <w:rPr>
          <w:rStyle w:val="cs5e98e93011"/>
          <w:lang w:val="uk-UA"/>
        </w:rPr>
        <w:t>Брошура дослідника Pembrolizumab (MK-3475), видання 23 від 26 жовтня 2022 року, англійською мовою; MK-3475-585, Україна, Інформація та документ про інформовану згоду для пацієнта версія 06 від 30 листопада 2022 р. українською мовою; Зміна назви місця проведення клінічного випробування</w:t>
      </w:r>
      <w:r w:rsidR="00613A69">
        <w:rPr>
          <w:rStyle w:val="csa16174ba11"/>
          <w:lang w:val="uk-UA"/>
        </w:rPr>
        <w:t xml:space="preserve"> до протоколу клінічного дослідження «Рандомізоване, подвійне-сліпе клінічне дослідження ІІІ фази </w:t>
      </w:r>
      <w:r w:rsidR="00613A69">
        <w:rPr>
          <w:rStyle w:val="cs5e98e93011"/>
          <w:lang w:val="uk-UA"/>
        </w:rPr>
        <w:t>пембролізумабу (МК-3475)</w:t>
      </w:r>
      <w:r w:rsidR="00613A69">
        <w:rPr>
          <w:rStyle w:val="csa16174ba11"/>
          <w:lang w:val="uk-UA"/>
        </w:rPr>
        <w:t xml:space="preserve">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код дослідження </w:t>
      </w:r>
      <w:r w:rsidR="00613A69">
        <w:rPr>
          <w:rStyle w:val="cs5e98e93011"/>
          <w:lang w:val="uk-UA"/>
        </w:rPr>
        <w:t>MK-3475-585</w:t>
      </w:r>
      <w:r w:rsidR="00613A69">
        <w:rPr>
          <w:rStyle w:val="csa16174ba11"/>
          <w:lang w:val="uk-UA"/>
        </w:rPr>
        <w:t>, з інкорпорованою поправкою 09 від 24 серпня 2022 року; спонсор - ТОВ Мерк Шарп енд Доум, США (Merck Sharp &amp; Dohme LLC, USA)</w:t>
      </w:r>
    </w:p>
    <w:p w:rsidR="00F30FAC" w:rsidRDefault="00F30FAC" w:rsidP="00F30FA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Pr="00F30FAC" w:rsidRDefault="00613A69">
      <w:pPr>
        <w:pStyle w:val="cs80d9435b"/>
        <w:rPr>
          <w:lang w:val="uk-UA"/>
        </w:rPr>
      </w:pPr>
      <w:r>
        <w:rPr>
          <w:rStyle w:val="csa16174ba11"/>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87027" w:rsidTr="005547C9">
        <w:trPr>
          <w:trHeight w:val="213"/>
        </w:trPr>
        <w:tc>
          <w:tcPr>
            <w:tcW w:w="4819" w:type="dxa"/>
            <w:tcMar>
              <w:top w:w="0" w:type="dxa"/>
              <w:left w:w="108" w:type="dxa"/>
              <w:bottom w:w="0" w:type="dxa"/>
              <w:right w:w="108" w:type="dxa"/>
            </w:tcMar>
            <w:hideMark/>
          </w:tcPr>
          <w:p w:rsidR="00F87027" w:rsidRPr="005547C9" w:rsidRDefault="00613A69">
            <w:pPr>
              <w:pStyle w:val="cs2e86d3a6"/>
              <w:rPr>
                <w:b/>
              </w:rPr>
            </w:pPr>
            <w:r w:rsidRPr="005547C9">
              <w:rPr>
                <w:rStyle w:val="csa16174ba11"/>
                <w:b/>
              </w:rPr>
              <w:t>БУЛО</w:t>
            </w:r>
          </w:p>
        </w:tc>
        <w:tc>
          <w:tcPr>
            <w:tcW w:w="4820" w:type="dxa"/>
            <w:tcMar>
              <w:top w:w="0" w:type="dxa"/>
              <w:left w:w="108" w:type="dxa"/>
              <w:bottom w:w="0" w:type="dxa"/>
              <w:right w:w="108" w:type="dxa"/>
            </w:tcMar>
            <w:hideMark/>
          </w:tcPr>
          <w:p w:rsidR="00F87027" w:rsidRPr="005547C9" w:rsidRDefault="00613A69">
            <w:pPr>
              <w:pStyle w:val="cs2e86d3a6"/>
              <w:rPr>
                <w:b/>
              </w:rPr>
            </w:pPr>
            <w:r w:rsidRPr="005547C9">
              <w:rPr>
                <w:rStyle w:val="csa16174ba11"/>
                <w:b/>
              </w:rPr>
              <w:t>СТАЛО</w:t>
            </w:r>
          </w:p>
        </w:tc>
      </w:tr>
      <w:tr w:rsidR="00F87027" w:rsidRPr="00A830BD" w:rsidTr="005547C9">
        <w:trPr>
          <w:trHeight w:val="213"/>
        </w:trPr>
        <w:tc>
          <w:tcPr>
            <w:tcW w:w="4819" w:type="dxa"/>
            <w:tcMar>
              <w:top w:w="0" w:type="dxa"/>
              <w:left w:w="108" w:type="dxa"/>
              <w:bottom w:w="0" w:type="dxa"/>
              <w:right w:w="108" w:type="dxa"/>
            </w:tcMar>
            <w:hideMark/>
          </w:tcPr>
          <w:p w:rsidR="00F87027" w:rsidRPr="00AA4EF1" w:rsidRDefault="00613A69">
            <w:pPr>
              <w:pStyle w:val="cs80d9435b"/>
              <w:rPr>
                <w:lang w:val="ru-RU"/>
              </w:rPr>
            </w:pPr>
            <w:r w:rsidRPr="00AA4EF1">
              <w:rPr>
                <w:rStyle w:val="csa16174ba11"/>
                <w:lang w:val="ru-RU"/>
              </w:rPr>
              <w:t>зав. від. Войтко Н.Л.</w:t>
            </w:r>
          </w:p>
          <w:p w:rsidR="00F87027" w:rsidRPr="00AA4EF1" w:rsidRDefault="00613A69">
            <w:pPr>
              <w:pStyle w:val="cs80d9435b"/>
              <w:rPr>
                <w:lang w:val="ru-RU"/>
              </w:rPr>
            </w:pPr>
            <w:r w:rsidRPr="00AA4EF1">
              <w:rPr>
                <w:rStyle w:val="cs5e98e93011"/>
                <w:lang w:val="ru-RU"/>
              </w:rPr>
              <w:t>Київський міський клінічний онкологічний центр, відділення хіміотерапії №2</w:t>
            </w:r>
            <w:r w:rsidRPr="00AA4EF1">
              <w:rPr>
                <w:rStyle w:val="csa16174ba11"/>
                <w:lang w:val="ru-RU"/>
              </w:rPr>
              <w:t>, м. Київ</w:t>
            </w:r>
          </w:p>
        </w:tc>
        <w:tc>
          <w:tcPr>
            <w:tcW w:w="4820" w:type="dxa"/>
            <w:tcMar>
              <w:top w:w="0" w:type="dxa"/>
              <w:left w:w="108" w:type="dxa"/>
              <w:bottom w:w="0" w:type="dxa"/>
              <w:right w:w="108" w:type="dxa"/>
            </w:tcMar>
            <w:hideMark/>
          </w:tcPr>
          <w:p w:rsidR="00F87027" w:rsidRPr="00AA4EF1" w:rsidRDefault="00613A69">
            <w:pPr>
              <w:pStyle w:val="csf06cd379"/>
              <w:rPr>
                <w:lang w:val="ru-RU"/>
              </w:rPr>
            </w:pPr>
            <w:r w:rsidRPr="00AA4EF1">
              <w:rPr>
                <w:rStyle w:val="csa16174ba11"/>
                <w:lang w:val="ru-RU"/>
              </w:rPr>
              <w:t>зав. від. Войтко Н.Л.</w:t>
            </w:r>
          </w:p>
          <w:p w:rsidR="00F87027" w:rsidRPr="00AA4EF1" w:rsidRDefault="00613A69">
            <w:pPr>
              <w:pStyle w:val="cs80d9435b"/>
              <w:rPr>
                <w:lang w:val="ru-RU"/>
              </w:rPr>
            </w:pPr>
            <w:r w:rsidRPr="00AA4EF1">
              <w:rPr>
                <w:rStyle w:val="cs5e98e9301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№2</w:t>
            </w:r>
            <w:r w:rsidRPr="00AA4EF1">
              <w:rPr>
                <w:rStyle w:val="csa16174ba11"/>
                <w:lang w:val="ru-RU"/>
              </w:rPr>
              <w:t>, м. Київ</w:t>
            </w:r>
          </w:p>
        </w:tc>
      </w:tr>
    </w:tbl>
    <w:p w:rsidR="00F87027" w:rsidRDefault="00613A69" w:rsidP="00F30FAC">
      <w:pPr>
        <w:pStyle w:val="cs95e872d0"/>
        <w:rPr>
          <w:rFonts w:ascii="Arial" w:hAnsi="Arial" w:cs="Arial"/>
          <w:sz w:val="20"/>
          <w:szCs w:val="20"/>
          <w:lang w:val="uk-UA"/>
        </w:rPr>
      </w:pPr>
      <w:r>
        <w:rPr>
          <w:rStyle w:val="csa16174ba11"/>
          <w:lang w:val="uk-UA"/>
        </w:rPr>
        <w:t> </w:t>
      </w:r>
    </w:p>
    <w:p w:rsidR="00F87027" w:rsidRDefault="00F87027">
      <w:pPr>
        <w:jc w:val="both"/>
        <w:rPr>
          <w:rFonts w:ascii="Arial" w:hAnsi="Arial" w:cs="Arial"/>
          <w:sz w:val="20"/>
          <w:szCs w:val="20"/>
          <w:lang w:val="uk-UA"/>
        </w:rPr>
      </w:pPr>
    </w:p>
    <w:p w:rsidR="00F87027" w:rsidRPr="00AA4EF1" w:rsidRDefault="00F30FAC" w:rsidP="00F30FAC">
      <w:pPr>
        <w:jc w:val="both"/>
        <w:rPr>
          <w:lang w:val="uk-UA"/>
        </w:rPr>
      </w:pPr>
      <w:r>
        <w:rPr>
          <w:rStyle w:val="cs5e98e93012"/>
          <w:lang w:val="uk-UA"/>
        </w:rPr>
        <w:t xml:space="preserve">12. </w:t>
      </w:r>
      <w:r w:rsidR="00613A69">
        <w:rPr>
          <w:rStyle w:val="cs5e98e93012"/>
          <w:lang w:val="uk-UA"/>
        </w:rPr>
        <w:t>Оновлена брошура дослідника Tirzepatide [LY3298176], видання від 28 жовтня 2022 року, англійською мовою</w:t>
      </w:r>
      <w:r w:rsidR="00613A69">
        <w:rPr>
          <w:rStyle w:val="csa16174ba12"/>
          <w:lang w:val="uk-UA"/>
        </w:rPr>
        <w:t xml:space="preserve"> до протоколу клінічного дослідження «Дослідження впливу препарату </w:t>
      </w:r>
      <w:r w:rsidR="00613A69">
        <w:rPr>
          <w:rStyle w:val="cs5e98e93012"/>
          <w:lang w:val="uk-UA"/>
        </w:rPr>
        <w:t>Тірзепатід</w:t>
      </w:r>
      <w:r w:rsidR="00613A69">
        <w:rPr>
          <w:rStyle w:val="csa16174ba12"/>
          <w:lang w:val="uk-UA"/>
        </w:rPr>
        <w:t xml:space="preserve"> в порівнянні з препаратом Дулаглутид на розвиток значних несприятливих серцево-судинних подій у пацієнтів з цукровим д</w:t>
      </w:r>
      <w:r w:rsidR="005547C9">
        <w:rPr>
          <w:rStyle w:val="csa16174ba12"/>
          <w:lang w:val="uk-UA"/>
        </w:rPr>
        <w:t xml:space="preserve">іабетом 2 типу (SURPASS-CVOT)», </w:t>
      </w:r>
      <w:r w:rsidR="00613A69">
        <w:rPr>
          <w:rStyle w:val="csa16174ba12"/>
          <w:lang w:val="uk-UA"/>
        </w:rPr>
        <w:t xml:space="preserve">код дослідження </w:t>
      </w:r>
      <w:r w:rsidR="00613A69">
        <w:rPr>
          <w:rStyle w:val="cs5e98e93012"/>
          <w:lang w:val="uk-UA"/>
        </w:rPr>
        <w:t>I8F-MC-GPGN</w:t>
      </w:r>
      <w:r w:rsidR="00613A69">
        <w:rPr>
          <w:rStyle w:val="csa16174ba12"/>
          <w:lang w:val="uk-UA"/>
        </w:rPr>
        <w:t>, з інкорпорованою поправкою (d) від 14 грудня 2021 року; спонсор - Елі Ліллі енд Компані, США / Eli Lilly and Company, USA </w:t>
      </w:r>
    </w:p>
    <w:p w:rsidR="00F87027" w:rsidRDefault="00613A69">
      <w:pPr>
        <w:jc w:val="both"/>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6274CB" w:rsidRDefault="006274CB">
      <w:pPr>
        <w:jc w:val="both"/>
        <w:rPr>
          <w:rFonts w:ascii="Arial" w:hAnsi="Arial" w:cs="Arial"/>
          <w:sz w:val="20"/>
          <w:szCs w:val="20"/>
          <w:lang w:val="uk-UA"/>
        </w:rPr>
      </w:pPr>
    </w:p>
    <w:p w:rsidR="006274CB" w:rsidRDefault="006274CB">
      <w:pPr>
        <w:jc w:val="both"/>
        <w:rPr>
          <w:rFonts w:ascii="Arial" w:hAnsi="Arial" w:cs="Arial"/>
          <w:sz w:val="20"/>
          <w:szCs w:val="20"/>
          <w:lang w:val="uk-UA"/>
        </w:rPr>
      </w:pPr>
    </w:p>
    <w:p w:rsidR="00F87027" w:rsidRPr="00AA4EF1" w:rsidRDefault="00F30FAC" w:rsidP="006A7269">
      <w:pPr>
        <w:jc w:val="both"/>
        <w:rPr>
          <w:lang w:val="uk-UA"/>
        </w:rPr>
      </w:pPr>
      <w:r>
        <w:rPr>
          <w:rStyle w:val="cs5e98e93013"/>
          <w:lang w:val="uk-UA"/>
        </w:rPr>
        <w:t xml:space="preserve">13. </w:t>
      </w:r>
      <w:r w:rsidR="00613A69">
        <w:rPr>
          <w:rStyle w:val="cs5e98e93013"/>
          <w:lang w:val="uk-UA"/>
        </w:rPr>
        <w:t xml:space="preserve">Брошура дослідника Олапариб (Olaparib) (AZD2281, KU-0059436), видання 21.1 від 14 червня 2022 року, англійською мовою; Брошура дослідника Олапариб (Olaparib) (AZD2281, KU-0059436), видання 21.2 від 04 жовтня 2022 року, англійською мовою; Україна, MK-7339-009, Інформація та документ про інформовану згоду для пацієнта, версія 2.01 від 09 грудня 2022 р. українською мовою </w:t>
      </w:r>
      <w:r w:rsidR="00613A69">
        <w:rPr>
          <w:rStyle w:val="csa16174ba13"/>
          <w:lang w:val="uk-UA"/>
        </w:rPr>
        <w:t xml:space="preserve">до протоколу клінічного дослідження «Pандомізоване відкрите дослідження фази 2 та 3 </w:t>
      </w:r>
      <w:r w:rsidR="00613A69" w:rsidRPr="0032271C">
        <w:rPr>
          <w:rStyle w:val="csa16174ba13"/>
          <w:b/>
          <w:lang w:val="uk-UA"/>
        </w:rPr>
        <w:t>Олапарибу</w:t>
      </w:r>
      <w:r w:rsidR="00613A69">
        <w:rPr>
          <w:rStyle w:val="csa16174ba13"/>
          <w:lang w:val="uk-UA"/>
        </w:rPr>
        <w:t xml:space="preserve"> у комбінації з </w:t>
      </w:r>
      <w:r w:rsidR="00613A69" w:rsidRPr="0032271C">
        <w:rPr>
          <w:rStyle w:val="cs5e98e93013"/>
          <w:b w:val="0"/>
          <w:lang w:val="uk-UA"/>
        </w:rPr>
        <w:t>Пембролізумабом</w:t>
      </w:r>
      <w:r w:rsidR="00613A69">
        <w:rPr>
          <w:rStyle w:val="csa16174ba13"/>
          <w:lang w:val="uk-UA"/>
        </w:rPr>
        <w:t xml:space="preserve">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(TNBC) (KEYLYNK-009)», код дослідження </w:t>
      </w:r>
      <w:r w:rsidR="00613A69">
        <w:rPr>
          <w:rStyle w:val="cs5e98e93013"/>
          <w:lang w:val="uk-UA"/>
        </w:rPr>
        <w:t>MK-7339-009</w:t>
      </w:r>
      <w:r w:rsidR="00613A69">
        <w:rPr>
          <w:rStyle w:val="csa16174ba13"/>
          <w:lang w:val="uk-UA"/>
        </w:rPr>
        <w:t>, з інкорпорованою поправкою 02 від 18 травня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4"/>
          <w:lang w:val="uk-UA"/>
        </w:rPr>
        <w:t xml:space="preserve">14. </w:t>
      </w:r>
      <w:r w:rsidR="00613A69">
        <w:rPr>
          <w:rStyle w:val="cs5e98e93014"/>
          <w:lang w:val="uk-UA"/>
        </w:rPr>
        <w:t>Додаток №3, Локальна версія номер 3.0 українською та російською мовами, дата версії 12 грудня 2022 року, на основі Мастер версії від 17 листопада 2022 року до Інформації та форми згоди для дорослих учасників дослідження, локальна версія номер 4.1 для України українською та російською мовами, дата версії 08 квітня 2022 року, на основі Mастер версії номер 5.0 від 24 липня 2018 року</w:t>
      </w:r>
      <w:r w:rsidR="00613A69">
        <w:rPr>
          <w:rStyle w:val="csa16174ba14"/>
          <w:lang w:val="uk-UA"/>
        </w:rPr>
        <w:t xml:space="preserve"> 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00613A69">
        <w:rPr>
          <w:rStyle w:val="cs5e98e93014"/>
          <w:lang w:val="uk-UA"/>
        </w:rPr>
        <w:t>Саволітінібу</w:t>
      </w:r>
      <w:r w:rsidR="00613A69">
        <w:rPr>
          <w:rStyle w:val="csa16174ba14"/>
          <w:lang w:val="uk-UA"/>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дослідження </w:t>
      </w:r>
      <w:r w:rsidR="00613A69">
        <w:rPr>
          <w:rStyle w:val="cs5e98e93014"/>
          <w:lang w:val="uk-UA"/>
        </w:rPr>
        <w:t>D5082C00003</w:t>
      </w:r>
      <w:r w:rsidR="00613A69">
        <w:rPr>
          <w:rStyle w:val="csa16174ba14"/>
          <w:lang w:val="uk-UA"/>
        </w:rPr>
        <w:t>, версія 6.0 від 19 грудня 2018 року; спонсор - AstraZeneca AB, Sweden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5"/>
          <w:lang w:val="uk-UA"/>
        </w:rPr>
        <w:lastRenderedPageBreak/>
        <w:t xml:space="preserve">15. </w:t>
      </w:r>
      <w:r w:rsidR="00613A69">
        <w:rPr>
          <w:rStyle w:val="cs5e98e93015"/>
          <w:lang w:val="uk-UA"/>
        </w:rPr>
        <w:t>Брошура дослідника Олапариб (Olaparib) (AZD2281, KU-0059436), видання 21.1 від 14 червня 2022 року, англійською мовою; Брошура дослідника Олапариб (Olaparib) (AZD2281, KU-0059436), видання 21.2 від 04 жовтня 2022 року, англійською мовою; Брошура дослідника MK-3475, видання 23 від 26 жовтня 2022 р., англійською мовою; Інформація та документ про інформовану згоду для пацієнта, Україна, MK-7339-008, версія 6.02 від 12 грудня 2022 р., українською мовою</w:t>
      </w:r>
      <w:r w:rsidR="00613A69">
        <w:rPr>
          <w:rStyle w:val="csa16174ba15"/>
          <w:lang w:val="uk-UA"/>
        </w:rPr>
        <w:t xml:space="preserve"> до протоколу клінічного дослідження «Дослідження ІІІ фази для </w:t>
      </w:r>
      <w:r w:rsidR="00613A69">
        <w:rPr>
          <w:rStyle w:val="cs5e98e93015"/>
          <w:lang w:val="uk-UA"/>
        </w:rPr>
        <w:t>пембролізумабу</w:t>
      </w:r>
      <w:r w:rsidR="00613A69">
        <w:rPr>
          <w:rStyle w:val="csa16174ba15"/>
          <w:lang w:val="uk-UA"/>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дослідження </w:t>
      </w:r>
      <w:r w:rsidR="00613A69">
        <w:rPr>
          <w:rStyle w:val="cs5e98e93015"/>
          <w:lang w:val="uk-UA"/>
        </w:rPr>
        <w:t>MK-7339-008</w:t>
      </w:r>
      <w:r w:rsidR="00613A69">
        <w:rPr>
          <w:rStyle w:val="csa16174ba15"/>
          <w:lang w:val="uk-UA"/>
        </w:rPr>
        <w:t>, з інкорпорованою поправкою 06 від 09 вересня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6"/>
          <w:lang w:val="uk-UA"/>
        </w:rPr>
        <w:t xml:space="preserve">16. </w:t>
      </w:r>
      <w:r w:rsidR="00613A69">
        <w:rPr>
          <w:rStyle w:val="cs5e98e93016"/>
          <w:lang w:val="uk-UA"/>
        </w:rPr>
        <w:t>Україна, MK-3475-B68, Інформація та документ про інформовану згоду для пацієнта, версія 2.02 від 07 грудня 2022р. українською мовою; Брошура дослідника MK-3475, видання 23 від 26 жовтня 2022 р., англійською мовою</w:t>
      </w:r>
      <w:r w:rsidR="00613A69">
        <w:rPr>
          <w:rStyle w:val="csa16174ba16"/>
          <w:lang w:val="uk-UA"/>
        </w:rPr>
        <w:t xml:space="preserve"> до протоколу клінічного дослідження «Дослідження ІІ фази </w:t>
      </w:r>
      <w:r w:rsidR="00613A69">
        <w:rPr>
          <w:rStyle w:val="cs5e98e93016"/>
          <w:lang w:val="uk-UA"/>
        </w:rPr>
        <w:t>пембролізумабу</w:t>
      </w:r>
      <w:r w:rsidR="00613A69">
        <w:rPr>
          <w:rStyle w:val="csa16174ba16"/>
          <w:lang w:val="uk-UA"/>
        </w:rPr>
        <w:t xml:space="preserve"> (MK-3475)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код дослідження </w:t>
      </w:r>
      <w:r w:rsidR="00613A69">
        <w:rPr>
          <w:rStyle w:val="cs5e98e93016"/>
          <w:lang w:val="uk-UA"/>
        </w:rPr>
        <w:t>MK-3475-B68</w:t>
      </w:r>
      <w:r w:rsidR="00613A69">
        <w:rPr>
          <w:rStyle w:val="csa16174ba16"/>
          <w:lang w:val="uk-UA"/>
        </w:rPr>
        <w:t>, з інкорпорованою поправкою 03 від 16 вересня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7"/>
          <w:lang w:val="uk-UA"/>
        </w:rPr>
        <w:t xml:space="preserve">17. </w:t>
      </w:r>
      <w:r w:rsidR="00613A69">
        <w:rPr>
          <w:rStyle w:val="cs5e98e93017"/>
          <w:lang w:val="uk-UA"/>
        </w:rPr>
        <w:t>Україна, МK-3475-867, Інформація та документ про інформовану згоду для пацієнта, версія 4.01 від 16 грудня 2022 р. українською мовою</w:t>
      </w:r>
      <w:r w:rsidR="00613A69">
        <w:rPr>
          <w:rStyle w:val="csa16174ba17"/>
          <w:lang w:val="uk-UA"/>
        </w:rPr>
        <w:t xml:space="preserve"> до протоколу клінічного дослідження «Рандомізоване, плацебо-контрольоване клінічне дослідження ІІІ фази з оцінки безпеки та ефективності стереотаксичної радіотерапії (SBRT) у поєднанні з </w:t>
      </w:r>
      <w:r w:rsidR="00613A69">
        <w:rPr>
          <w:rStyle w:val="cs5e98e93017"/>
          <w:lang w:val="uk-UA"/>
        </w:rPr>
        <w:t>Пембролізумабом</w:t>
      </w:r>
      <w:r w:rsidR="00613A69">
        <w:rPr>
          <w:rStyle w:val="csa16174ba17"/>
          <w:lang w:val="uk-UA"/>
        </w:rPr>
        <w:t xml:space="preserve"> (МК-3475) або без нього у пацієнтів з неоперабельним недрібноклітинним раком легенів (НДКРЛ) стадії I або II (KEYNOTE-867)», код дослідження </w:t>
      </w:r>
      <w:r w:rsidR="00613A69">
        <w:rPr>
          <w:rStyle w:val="cs5e98e93017"/>
          <w:lang w:val="uk-UA"/>
        </w:rPr>
        <w:t>MK-3475-867</w:t>
      </w:r>
      <w:r w:rsidR="00613A69">
        <w:rPr>
          <w:rStyle w:val="csa16174ba17"/>
          <w:lang w:val="uk-UA"/>
        </w:rPr>
        <w:t>, з інкорпорованою поправкою 05 від 07 червня 2022;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6A7269" w:rsidRDefault="006A7269">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8"/>
          <w:lang w:val="uk-UA"/>
        </w:rPr>
        <w:t xml:space="preserve">18. </w:t>
      </w:r>
      <w:r w:rsidR="00613A69">
        <w:rPr>
          <w:rStyle w:val="cs5e98e93018"/>
          <w:lang w:val="uk-UA"/>
        </w:rPr>
        <w:t>Оновлена Брошура дослідника (HDM SLIT-tablet), редакція 17 від 10 листопада 2022 р.</w:t>
      </w:r>
      <w:r w:rsidR="00613A69">
        <w:rPr>
          <w:rStyle w:val="csa16174ba18"/>
          <w:lang w:val="uk-UA"/>
        </w:rPr>
        <w:t xml:space="preserve"> до протоколу клінічного дослідження «Однорічне плацебо-контрольоване дослідження III фази з оцінки ефективності та безпеки таблетки для сублінгвальної імунотерапії </w:t>
      </w:r>
      <w:r w:rsidR="00613A69">
        <w:rPr>
          <w:rStyle w:val="cs5e98e93018"/>
          <w:lang w:val="uk-UA"/>
        </w:rPr>
        <w:t>(SLIT-tablet)</w:t>
      </w:r>
      <w:r w:rsidR="00613A69">
        <w:rPr>
          <w:rStyle w:val="csa16174ba18"/>
          <w:lang w:val="uk-UA"/>
        </w:rPr>
        <w:t xml:space="preserve"> при алергії на кліща домашнього пилу у дітей (5–11 років) з ринітом/ринокон'юнктивітом, викликаним кліщем домашнього пилу, з або без астми», код дослідження </w:t>
      </w:r>
      <w:r w:rsidR="00613A69">
        <w:rPr>
          <w:rStyle w:val="cs5e98e93018"/>
          <w:lang w:val="uk-UA"/>
        </w:rPr>
        <w:t>MT-12</w:t>
      </w:r>
      <w:r w:rsidR="00613A69">
        <w:rPr>
          <w:rStyle w:val="csa16174ba18"/>
          <w:lang w:val="uk-UA"/>
        </w:rPr>
        <w:t>, версія 5.0 від 19 березня 2021 р.; спонсор - АЛК-Абелло А/С, Данія (ALK-Abello A/S, Denmark)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«МБ Квест»,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19"/>
          <w:lang w:val="uk-UA"/>
        </w:rPr>
        <w:t xml:space="preserve">19. </w:t>
      </w:r>
      <w:r w:rsidR="00613A69">
        <w:rPr>
          <w:rStyle w:val="cs5e98e93019"/>
          <w:lang w:val="uk-UA"/>
        </w:rPr>
        <w:t xml:space="preserve">Брошура дослідника Pembrolizumab (MK-3475), видання 23 від 26 жовтня 2022 року, англійською мовою; Україна, MK-3475-A86, Інформація та документ про інформовану згоду для пацієнта, версія 1.01 від 09 грудня 2022 р. українською мовою; Оновлений розділ 3.2.S.2.1 Manufacture досьє досліджуваного лікарського засобу MK-3475 Pembrolizumab SC, версія 086LGZ від 08 грудня 2022 року, англійською мовою; Зміна маркування досліджуваних лікарських засобів: CLP_MK-3475-A86-05-M1_Ukrainian_MK-3475 Syringe Kit_MANUAL_V2.0_R, версія 2.0 від 25 жовтня 2022 року, англійською та українською мовами; CLP_MK-3475-A86-05-M1_Ukrainian_MK-3475 Syringe_MANUAL_V2.0_R, версія 2.0 від 25 жовтня 2022 року, англійською та українською мовами; CLP_MK-3475-A86-05 M1_Ukrainian_MK-3475 Kit_MANUAL_V2.0_R, версія 2.0 від 23 вересня 2022 року, англійською та українською мовами; CLP_MK-3475-A86-05 M1_Ukrainian_MK-3475 Vial_MANUAL_V2.0_R, версія 2.0 від 23 вересня 2022 року, англійською та українською мовами; CLP_MK-3475-A86-01_(M1)_Ukrainian_ Pemetrexed Kit_MANUAL_V2.0_R, версія 2.0 від 08 квітня 2022 року, англійською та українською мовами; CLP_MK-3475-A86-01_(M1)_Ukrainian_ Pemetrexed Vial_MANUAL_V2.0_R, версія 2.0 від 08 квітня 2022 року, англійською та українською мовами; CLP_MK-3475-A86-05-(M1)_Ukrainian_ Nab Paclitaxel Kit_MANUAL_V2.0_R, версія 2.0 від 25 жовтня 2022 року, англійською та українською мовами; CLP_MK-3475-A86-05-(M1)_Ukrainian_ Nab Paclitaxel Vial_MANUAL_V2.0_R, версія 2.0 від 25 жовтня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МК-3475-A86, версія 2.0 від 09 лиcтопада 2022 р., українською мовою </w:t>
      </w:r>
      <w:r w:rsidR="00613A69">
        <w:rPr>
          <w:rStyle w:val="csa16174ba19"/>
          <w:lang w:val="uk-UA"/>
        </w:rPr>
        <w:t xml:space="preserve">до протоколу клінічного </w:t>
      </w:r>
      <w:r w:rsidR="00613A69">
        <w:rPr>
          <w:rStyle w:val="csa16174ba19"/>
          <w:lang w:val="uk-UA"/>
        </w:rPr>
        <w:lastRenderedPageBreak/>
        <w:t xml:space="preserve">дослідження «Відкрите, рандомізоване дослідження III фази для вивчення фармакокінетики та безпечності </w:t>
      </w:r>
      <w:r w:rsidR="00613A69">
        <w:rPr>
          <w:rStyle w:val="cs5e98e93019"/>
          <w:lang w:val="uk-UA"/>
        </w:rPr>
        <w:t>пембролізумабу</w:t>
      </w:r>
      <w:r w:rsidR="00613A69">
        <w:rPr>
          <w:rStyle w:val="csa16174ba19"/>
          <w:lang w:val="uk-UA"/>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613A69">
        <w:rPr>
          <w:rStyle w:val="cs5e98e93019"/>
          <w:lang w:val="uk-UA"/>
        </w:rPr>
        <w:t>MK-3475-A86</w:t>
      </w:r>
      <w:r w:rsidR="00613A69">
        <w:rPr>
          <w:rStyle w:val="csa16174ba19"/>
          <w:lang w:val="uk-UA"/>
        </w:rPr>
        <w:t>, версія з інкорпорованою поправкою 05 від 21 липня 2022 року;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20"/>
          <w:lang w:val="uk-UA"/>
        </w:rPr>
        <w:t xml:space="preserve">20. </w:t>
      </w:r>
      <w:r w:rsidR="00613A69">
        <w:rPr>
          <w:rStyle w:val="cs5e98e93020"/>
          <w:lang w:val="uk-UA"/>
        </w:rPr>
        <w:t>Оновлений протокол клінічного дослідження MOR208C310, остаточна редакція 7.0 від 28 жовтня 2022 р.; Синопсис оновленого протоколу дослідження, остаточна редакція 7.0 від 28 жовтня 2022 р., переклад з англійської мови на українську мову від 23 листопада 2022 р.; Інформаційний листок пацієнта і форма інформованої згоди (на основі редакції 7.0), остаточна редакція 4.0 англійською мовою для України від 30 листопада 2022 р., остаточна редакція 4.0 українською мовою для України від 30 листопада 2022 р., остаточна редакція 4.0 російською мовою для України від 30 листопада 2022 р.; Брошура для дослідника з препарату тафаситамаб (MOR00208), редакція №17 від 07 жовтня 2022 р.; Лист-роз’яснення до протоколу дослідження від 08 грудня 2022 р., переклад з англійської мови на українську мову від 14 грудня 2022 р.</w:t>
      </w:r>
      <w:r w:rsidR="00613A69">
        <w:rPr>
          <w:rStyle w:val="csa16174ba20"/>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ефективності та безпечності лікування </w:t>
      </w:r>
      <w:r w:rsidR="00613A69">
        <w:rPr>
          <w:rStyle w:val="cs5e98e93020"/>
          <w:lang w:val="uk-UA"/>
        </w:rPr>
        <w:t>тафаситамабом</w:t>
      </w:r>
      <w:r w:rsidR="00613A69">
        <w:rPr>
          <w:rStyle w:val="csa16174ba20"/>
          <w:lang w:val="uk-UA"/>
        </w:rPr>
        <w:t xml:space="preserve">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613A69">
        <w:rPr>
          <w:rStyle w:val="cs5e98e93020"/>
          <w:lang w:val="uk-UA"/>
        </w:rPr>
        <w:t>MOR208C310</w:t>
      </w:r>
      <w:r w:rsidR="00613A69">
        <w:rPr>
          <w:rStyle w:val="csa16174ba20"/>
          <w:lang w:val="uk-UA"/>
        </w:rPr>
        <w:t>, остаточна редакція 6.0 від 12 липня 2022 р.; спонсор - «МорфоСис АГ» [MorphoSys AG], Німеччина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rStyle w:val="cs80d9435b21"/>
          <w:lang w:val="uk-UA"/>
        </w:rPr>
      </w:pPr>
      <w:r>
        <w:rPr>
          <w:rStyle w:val="cs5e98e93021"/>
          <w:lang w:val="uk-UA"/>
        </w:rPr>
        <w:t xml:space="preserve">21. </w:t>
      </w:r>
      <w:r w:rsidR="00613A69">
        <w:rPr>
          <w:rStyle w:val="cs5e98e93021"/>
          <w:lang w:val="uk-UA"/>
        </w:rPr>
        <w:t xml:space="preserve">Брошура дослідника Enpatoran (M5049), версія 6.0 від 15 листопада 2022 року, англійською мовою; Інформаційний листок та форма згоди версія 5.0 для України від 03 серпня 2022 року, адаптована на основі майстер-версії основної ФІЗ, версії 5.0 від 18 липня 2022 року, «Мерк Хелскеа КГаА», Протокол MS200569_0004, англійською та українською мовами; Додаток до Інформаційного листка та форми згоди версія 5.0 для України від 03 серпня 2022 року, адаптована на основі майстер-версії основної ФІЗ, версії 5.0 від 18 липня 2022 року, «Мерк Хелскеа КГаА», Протокол MS200569_0004, англійською та українською мовами; Досьє досліджуваного лікарського засобу Enpatoran (M5049), версія 15.0 за жовтень 2022 року, англійською мовою; Зміна місця проведення клінічного випробування; Продовження терміну проведення клінічного випробування MS200569_0004 в усіх країнах, де проводиться клінічне випробування та в Україні до 02 років 06 місяців </w:t>
      </w:r>
      <w:r w:rsidR="00613A69">
        <w:rPr>
          <w:rStyle w:val="csa16174ba21"/>
          <w:lang w:val="uk-UA"/>
        </w:rPr>
        <w:t xml:space="preserve">до протоколу клінічного дослідження «Рандомізоване, подвійне сліпе, плацебо-контрольоване дослідження Ib фази для оцінки безпечності та фармакокінетики препарату </w:t>
      </w:r>
      <w:r w:rsidR="00613A69">
        <w:rPr>
          <w:rStyle w:val="cs5e98e93021"/>
          <w:lang w:val="uk-UA"/>
        </w:rPr>
        <w:t>M5049</w:t>
      </w:r>
      <w:r w:rsidR="00613A69">
        <w:rPr>
          <w:rStyle w:val="csa16174ba21"/>
          <w:lang w:val="uk-UA"/>
        </w:rPr>
        <w:t xml:space="preserve">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код дослідження </w:t>
      </w:r>
      <w:r w:rsidR="00613A69">
        <w:rPr>
          <w:rStyle w:val="cs5e98e93021"/>
          <w:lang w:val="uk-UA"/>
        </w:rPr>
        <w:t>MS200569_0004</w:t>
      </w:r>
      <w:r w:rsidR="00613A69">
        <w:rPr>
          <w:rStyle w:val="csa16174ba21"/>
          <w:lang w:val="uk-UA"/>
        </w:rPr>
        <w:t>, версія 4.0 від 21 жовтня 2021 року; спонсор - Merck Healthcare KGaA, Darmstadt, Germany / «Мерк Хелскеа КГаА», Дармштадт, Німеччина</w:t>
      </w:r>
    </w:p>
    <w:p w:rsidR="006A7269" w:rsidRDefault="006A7269" w:rsidP="006A726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F87027" w:rsidRPr="006A7269" w:rsidRDefault="00613A69">
      <w:pPr>
        <w:pStyle w:val="cs80d9435b"/>
        <w:rPr>
          <w:lang w:val="uk-UA"/>
        </w:rPr>
      </w:pPr>
      <w:r>
        <w:rPr>
          <w:rStyle w:val="csa16174ba21"/>
          <w:lang w:val="uk-UA"/>
        </w:rPr>
        <w:t> </w:t>
      </w:r>
    </w:p>
    <w:tbl>
      <w:tblPr>
        <w:tblW w:w="0" w:type="auto"/>
        <w:tblInd w:w="-5" w:type="dxa"/>
        <w:tblCellMar>
          <w:left w:w="0" w:type="dxa"/>
          <w:right w:w="0" w:type="dxa"/>
        </w:tblCellMar>
        <w:tblLook w:val="04A0" w:firstRow="1" w:lastRow="0" w:firstColumn="1" w:lastColumn="0" w:noHBand="0" w:noVBand="1"/>
      </w:tblPr>
      <w:tblGrid>
        <w:gridCol w:w="4811"/>
        <w:gridCol w:w="4812"/>
      </w:tblGrid>
      <w:tr w:rsidR="00F87027" w:rsidTr="000E2F08">
        <w:trPr>
          <w:trHeight w:val="213"/>
        </w:trPr>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7027" w:rsidRPr="00EF4D57" w:rsidRDefault="00613A69">
            <w:pPr>
              <w:pStyle w:val="cs2e86d3a6"/>
              <w:rPr>
                <w:b/>
              </w:rPr>
            </w:pPr>
            <w:r w:rsidRPr="00EF4D57">
              <w:rPr>
                <w:rStyle w:val="csa16174ba21"/>
                <w:b/>
              </w:rPr>
              <w:t>БУЛО</w:t>
            </w:r>
          </w:p>
        </w:tc>
        <w:tc>
          <w:tcPr>
            <w:tcW w:w="4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7027" w:rsidRPr="00EF4D57" w:rsidRDefault="00613A69">
            <w:pPr>
              <w:pStyle w:val="cs2e86d3a6"/>
              <w:rPr>
                <w:b/>
              </w:rPr>
            </w:pPr>
            <w:r w:rsidRPr="00EF4D57">
              <w:rPr>
                <w:rStyle w:val="csa16174ba21"/>
                <w:b/>
              </w:rPr>
              <w:t>СТАЛО</w:t>
            </w:r>
          </w:p>
        </w:tc>
      </w:tr>
      <w:tr w:rsidR="00F87027" w:rsidRPr="00A830BD" w:rsidTr="000E2F08">
        <w:trPr>
          <w:trHeight w:val="213"/>
        </w:trPr>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7027" w:rsidRPr="00AA4EF1" w:rsidRDefault="00613A69">
            <w:pPr>
              <w:pStyle w:val="cs80d9435b"/>
              <w:rPr>
                <w:lang w:val="ru-RU"/>
              </w:rPr>
            </w:pPr>
            <w:r w:rsidRPr="00AA4EF1">
              <w:rPr>
                <w:rStyle w:val="csa16174ba21"/>
                <w:lang w:val="ru-RU"/>
              </w:rPr>
              <w:t xml:space="preserve">к.м.н. Коваленко С.О. </w:t>
            </w:r>
          </w:p>
          <w:p w:rsidR="00F87027" w:rsidRPr="00AA4EF1" w:rsidRDefault="00613A69">
            <w:pPr>
              <w:pStyle w:val="cs80d9435b"/>
              <w:rPr>
                <w:lang w:val="ru-RU"/>
              </w:rPr>
            </w:pPr>
            <w:r w:rsidRPr="00444AC4">
              <w:rPr>
                <w:rStyle w:val="csa16174ba21"/>
                <w:b/>
                <w:lang w:val="ru-RU"/>
              </w:rPr>
              <w:t>Медичний центр товариства з обмеженою відповідальністю</w:t>
            </w:r>
            <w:r w:rsidR="00444AC4">
              <w:rPr>
                <w:rStyle w:val="cs5e98e93021"/>
                <w:lang w:val="ru-RU"/>
              </w:rPr>
              <w:t xml:space="preserve"> </w:t>
            </w:r>
            <w:r w:rsidRPr="00AA4EF1">
              <w:rPr>
                <w:rStyle w:val="cs5e98e93021"/>
                <w:lang w:val="ru-RU"/>
              </w:rPr>
              <w:t xml:space="preserve">«Гармонія краси», відділення клінічних випробувань, </w:t>
            </w:r>
            <w:r w:rsidRPr="00AA4EF1">
              <w:rPr>
                <w:rStyle w:val="csa16174ba21"/>
                <w:lang w:val="ru-RU"/>
              </w:rPr>
              <w:t>м. Київ</w:t>
            </w:r>
          </w:p>
        </w:tc>
        <w:tc>
          <w:tcPr>
            <w:tcW w:w="4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7027" w:rsidRPr="00AA4EF1" w:rsidRDefault="00613A69">
            <w:pPr>
              <w:pStyle w:val="csf06cd379"/>
              <w:rPr>
                <w:lang w:val="ru-RU"/>
              </w:rPr>
            </w:pPr>
            <w:r w:rsidRPr="00AA4EF1">
              <w:rPr>
                <w:rStyle w:val="csa16174ba21"/>
                <w:lang w:val="ru-RU"/>
              </w:rPr>
              <w:t>к.м.н. Коваленко С.О.</w:t>
            </w:r>
          </w:p>
          <w:p w:rsidR="00F87027" w:rsidRPr="00AA4EF1" w:rsidRDefault="00613A69">
            <w:pPr>
              <w:pStyle w:val="cs80d9435b"/>
              <w:rPr>
                <w:lang w:val="ru-RU"/>
              </w:rPr>
            </w:pPr>
            <w:r w:rsidRPr="00444AC4">
              <w:rPr>
                <w:rStyle w:val="csa16174ba21"/>
                <w:b/>
                <w:lang w:val="ru-RU"/>
              </w:rPr>
              <w:t>Медичний центр товариства з обмеженою відповідальністю</w:t>
            </w:r>
            <w:r w:rsidRPr="00AA4EF1">
              <w:rPr>
                <w:rStyle w:val="cs5e98e93021"/>
                <w:lang w:val="ru-RU"/>
              </w:rPr>
              <w:t xml:space="preserve"> «Аренсія Експлораторі Медісін», відділ клінічних досліджень, </w:t>
            </w:r>
            <w:r w:rsidRPr="00AA4EF1">
              <w:rPr>
                <w:rStyle w:val="csa16174ba21"/>
                <w:lang w:val="ru-RU"/>
              </w:rPr>
              <w:t>м. Київ</w:t>
            </w:r>
          </w:p>
        </w:tc>
      </w:tr>
    </w:tbl>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22"/>
          <w:lang w:val="uk-UA"/>
        </w:rPr>
        <w:t xml:space="preserve">22. </w:t>
      </w:r>
      <w:r w:rsidR="00613A69">
        <w:rPr>
          <w:rStyle w:val="cs5e98e93022"/>
          <w:lang w:val="uk-UA"/>
        </w:rPr>
        <w:t xml:space="preserve">Брошура дослідника Pembrolizumab (MK-3475), видання 23 від 26 жовтня 2022 року, англійською мовою; Україна, МK-3475-859, Інформація та документ про інформовану згоду для пацієнта, версія 14 від 13 грудня 2022 р., українською мовою </w:t>
      </w:r>
      <w:r w:rsidR="00613A69">
        <w:rPr>
          <w:rStyle w:val="csa16174ba22"/>
          <w:lang w:val="uk-UA"/>
        </w:rPr>
        <w:t xml:space="preserve">до протоколу клінічного дослідження «Рандомізоване, подвійне сліпе клінічне дослідження фази 3 </w:t>
      </w:r>
      <w:r w:rsidR="00613A69">
        <w:rPr>
          <w:rStyle w:val="cs5e98e93022"/>
          <w:lang w:val="uk-UA"/>
        </w:rPr>
        <w:t>пембролізумабу (MK-3475)</w:t>
      </w:r>
      <w:r w:rsidR="00613A69">
        <w:rPr>
          <w:rStyle w:val="csa16174ba22"/>
          <w:lang w:val="uk-UA"/>
        </w:rPr>
        <w:t xml:space="preserve">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 код дослідження </w:t>
      </w:r>
      <w:r w:rsidR="00613A69">
        <w:rPr>
          <w:rStyle w:val="cs5e98e93022"/>
          <w:lang w:val="uk-UA"/>
        </w:rPr>
        <w:t>MK-3475-859</w:t>
      </w:r>
      <w:r w:rsidR="00613A69">
        <w:rPr>
          <w:rStyle w:val="csa16174ba22"/>
          <w:lang w:val="uk-UA"/>
        </w:rPr>
        <w:t>, з інкорпорованою поправкою 06 від 28 вересня 2022 року; спонсор - ТОВ Мерк Шарп енд Доум, США (Merck Sharp &amp; Dohme LLC, USA)</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23"/>
          <w:lang w:val="uk-UA"/>
        </w:rPr>
        <w:t xml:space="preserve">23. </w:t>
      </w:r>
      <w:r w:rsidR="00613A69">
        <w:rPr>
          <w:rStyle w:val="cs5e98e93023"/>
          <w:lang w:val="uk-UA"/>
        </w:rPr>
        <w:t>Брошура дослідника AB-729, версія 6.0, від 09 листопада 2022 року, англійською мовою</w:t>
      </w:r>
      <w:r w:rsidR="00613A69">
        <w:rPr>
          <w:rStyle w:val="csa16174ba23"/>
          <w:lang w:val="uk-UA"/>
        </w:rPr>
        <w:t xml:space="preserve"> до протоколу клінічного дослідження «Рандомізоване, відкрите, багатоцентрове дослідження з вивчення лікування препаратом </w:t>
      </w:r>
      <w:r w:rsidR="00613A69">
        <w:rPr>
          <w:rStyle w:val="cs5e98e93023"/>
          <w:lang w:val="uk-UA"/>
        </w:rPr>
        <w:t>AB-729</w:t>
      </w:r>
      <w:r w:rsidR="00613A69">
        <w:rPr>
          <w:rStyle w:val="csa16174ba23"/>
          <w:lang w:val="uk-UA"/>
        </w:rPr>
        <w:t xml:space="preserve">, аналогом нуклеоз(т)идів та пегільованим інтерфероном альфа-2а у пацієнтів з хронічною інфекцією вірусу гепатиту В», код дослідження </w:t>
      </w:r>
      <w:r w:rsidR="00613A69">
        <w:rPr>
          <w:rStyle w:val="cs5e98e93023"/>
          <w:lang w:val="uk-UA"/>
        </w:rPr>
        <w:t>AB-729-201</w:t>
      </w:r>
      <w:r w:rsidR="00613A69">
        <w:rPr>
          <w:rStyle w:val="csa16174ba23"/>
          <w:lang w:val="uk-UA"/>
        </w:rPr>
        <w:t>, версія 3.0 від 17 червня 2022 року; спонсор - Арбутус Біофарма Корпорейшн, США/ Arbutus Biopharma Corporation,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lang w:val="uk-UA"/>
        </w:rPr>
      </w:pPr>
      <w:r>
        <w:rPr>
          <w:rStyle w:val="cs5e98e93024"/>
          <w:lang w:val="uk-UA"/>
        </w:rPr>
        <w:t xml:space="preserve">24. </w:t>
      </w:r>
      <w:r w:rsidR="00613A69">
        <w:rPr>
          <w:rStyle w:val="cs5e98e93024"/>
          <w:lang w:val="uk-UA"/>
        </w:rPr>
        <w:t>Брошура дослідника MK-3475, видання 23 від 26 жовтня 2022 р., англійською мовою</w:t>
      </w:r>
      <w:r w:rsidR="00613A69">
        <w:rPr>
          <w:rStyle w:val="csa16174ba24"/>
          <w:lang w:val="uk-UA"/>
        </w:rPr>
        <w:t xml:space="preserve"> до протоколу клінічного дослідження «Рандомізоване, відкрите клінічне дослідження ІІІ фази порівняння </w:t>
      </w:r>
      <w:r w:rsidR="00613A69">
        <w:rPr>
          <w:rStyle w:val="cs5e98e93024"/>
          <w:lang w:val="uk-UA"/>
        </w:rPr>
        <w:t xml:space="preserve">пембролізумабу </w:t>
      </w:r>
      <w:r w:rsidR="00613A69">
        <w:rPr>
          <w:rStyle w:val="csa16174ba24"/>
          <w:lang w:val="uk-UA"/>
        </w:rPr>
        <w:t xml:space="preserve">та брентуксимабу ведотину у пацієнтів з рецидивуючою або резистентною до лікування класичною лімфомою Ходжкіна», код дослідження </w:t>
      </w:r>
      <w:r w:rsidR="00613A69">
        <w:rPr>
          <w:rStyle w:val="cs5e98e93024"/>
          <w:lang w:val="uk-UA"/>
        </w:rPr>
        <w:t>MK-3475-204</w:t>
      </w:r>
      <w:r w:rsidR="00613A69">
        <w:rPr>
          <w:rStyle w:val="csa16174ba24"/>
          <w:lang w:val="uk-UA"/>
        </w:rPr>
        <w:t>, з інкорпорованою поправкою 06 від 24 червня 2022; спонсор - ТОВ Мерк Шарп енд Доум, США (Merck Sharp &amp; Dohme LLC, USA) </w:t>
      </w:r>
    </w:p>
    <w:p w:rsidR="00F87027" w:rsidRDefault="0061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87027" w:rsidRDefault="00F87027">
      <w:pPr>
        <w:jc w:val="both"/>
        <w:rPr>
          <w:rFonts w:ascii="Arial" w:hAnsi="Arial" w:cs="Arial"/>
          <w:sz w:val="20"/>
          <w:szCs w:val="20"/>
          <w:lang w:val="uk-UA"/>
        </w:rPr>
      </w:pPr>
    </w:p>
    <w:p w:rsidR="00F87027" w:rsidRDefault="00F87027">
      <w:pPr>
        <w:jc w:val="both"/>
        <w:rPr>
          <w:rFonts w:ascii="Arial" w:hAnsi="Arial" w:cs="Arial"/>
          <w:sz w:val="20"/>
          <w:szCs w:val="20"/>
          <w:lang w:val="uk-UA"/>
        </w:rPr>
      </w:pPr>
    </w:p>
    <w:p w:rsidR="00F87027" w:rsidRPr="00AA4EF1" w:rsidRDefault="006A7269" w:rsidP="006A7269">
      <w:pPr>
        <w:jc w:val="both"/>
        <w:rPr>
          <w:rStyle w:val="cs80d9435b25"/>
          <w:lang w:val="uk-UA"/>
        </w:rPr>
      </w:pPr>
      <w:r>
        <w:rPr>
          <w:rStyle w:val="cs5e98e93025"/>
          <w:lang w:val="uk-UA"/>
        </w:rPr>
        <w:t xml:space="preserve">25. </w:t>
      </w:r>
      <w:r w:rsidR="00613A69">
        <w:rPr>
          <w:rStyle w:val="cs5e98e93025"/>
          <w:lang w:val="uk-UA"/>
        </w:rPr>
        <w:t>Оновлений протокол клінічного дослідження P3-IMU-838-RMS-02, остаточна редакція 3.0 від 22 вересня 2022 року, англійською мовою; Синопсис протоколу клінічного дослідження P3-IMU-838-RMS-02, остаточна редакція 3.0 від 22 вересня 2022 року, українською мовою; Інформація для пацієнта та форма інформованої згоди, версія 3.1 для України від 05 жовтня 2022 р., англійською мовою, переклад українською та російською мовами; Брошура для дослідника з препарату IMU-838 (відофлудимус кальцію), версія 7.0 від 10 березня 2022 р., англійською мовою; Зміна відповідального дослідника та назви місця проведення клінічного випробування; Залучення додаткового місця проведення клінічного випробування</w:t>
      </w:r>
      <w:r w:rsidR="00613A69">
        <w:rPr>
          <w:rStyle w:val="csa16174ba25"/>
          <w:lang w:val="uk-UA"/>
        </w:rPr>
        <w:t xml:space="preserve"> до протоколу клінічного випробування «Багатоцентрове рандомізоване подвійно сліпе дослідження III фази, що проводиться з метою оцінки ефективності, безпечності та переносимості препарату </w:t>
      </w:r>
      <w:r w:rsidR="00613A69">
        <w:rPr>
          <w:rStyle w:val="cs5e98e93025"/>
          <w:lang w:val="uk-UA"/>
        </w:rPr>
        <w:t>IMU-838</w:t>
      </w:r>
      <w:r w:rsidR="00613A69">
        <w:rPr>
          <w:rStyle w:val="csa16174ba25"/>
          <w:lang w:val="uk-UA"/>
        </w:rPr>
        <w:t xml:space="preserve"> у порівнянні з плацебо при лікуванні дорослих пацієнтів із рецидивуючим розсіяним склерозом (кодове позначення: ENSURE-2)», код дослідження </w:t>
      </w:r>
      <w:r w:rsidR="00613A69">
        <w:rPr>
          <w:rStyle w:val="cs5e98e93025"/>
          <w:lang w:val="uk-UA"/>
        </w:rPr>
        <w:t>P3-IMU-838-RMS-02</w:t>
      </w:r>
      <w:r w:rsidR="00613A69">
        <w:rPr>
          <w:rStyle w:val="csa16174ba25"/>
          <w:lang w:val="uk-UA"/>
        </w:rPr>
        <w:t xml:space="preserve">, остаточна редакція 2.0 від 16 </w:t>
      </w:r>
      <w:r w:rsidR="00F73F8C">
        <w:rPr>
          <w:rStyle w:val="csa16174ba25"/>
          <w:lang w:val="uk-UA"/>
        </w:rPr>
        <w:t>серпня</w:t>
      </w:r>
      <w:r w:rsidR="00613A69">
        <w:rPr>
          <w:rStyle w:val="csa16174ba25"/>
          <w:lang w:val="uk-UA"/>
        </w:rPr>
        <w:t xml:space="preserve"> 2021 року; спонсор - «Іммунік АГ» [Immunic AG], Німеччина</w:t>
      </w:r>
    </w:p>
    <w:p w:rsidR="006A7269" w:rsidRDefault="006A7269" w:rsidP="006A7269">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F87027" w:rsidRDefault="00F87027">
      <w:pPr>
        <w:pStyle w:val="cs80d9435b"/>
        <w:rPr>
          <w:rFonts w:ascii="Arial" w:hAnsi="Arial" w:cs="Arial"/>
          <w:sz w:val="20"/>
          <w:szCs w:val="20"/>
          <w:lang w:val="uk-UA"/>
        </w:rPr>
      </w:pPr>
    </w:p>
    <w:tbl>
      <w:tblPr>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7"/>
        <w:gridCol w:w="4928"/>
      </w:tblGrid>
      <w:tr w:rsidR="00F87027" w:rsidTr="00496DED">
        <w:trPr>
          <w:trHeight w:val="213"/>
        </w:trPr>
        <w:tc>
          <w:tcPr>
            <w:tcW w:w="4927" w:type="dxa"/>
            <w:tcMar>
              <w:top w:w="0" w:type="dxa"/>
              <w:left w:w="108" w:type="dxa"/>
              <w:bottom w:w="0" w:type="dxa"/>
              <w:right w:w="108" w:type="dxa"/>
            </w:tcMar>
            <w:hideMark/>
          </w:tcPr>
          <w:p w:rsidR="00F87027" w:rsidRPr="00496DED" w:rsidRDefault="00613A69">
            <w:pPr>
              <w:pStyle w:val="cs2e86d3a6"/>
              <w:rPr>
                <w:b/>
              </w:rPr>
            </w:pPr>
            <w:r w:rsidRPr="00496DED">
              <w:rPr>
                <w:rStyle w:val="csa16174ba25"/>
                <w:b/>
              </w:rPr>
              <w:t>БУЛО</w:t>
            </w:r>
          </w:p>
        </w:tc>
        <w:tc>
          <w:tcPr>
            <w:tcW w:w="4928" w:type="dxa"/>
            <w:tcMar>
              <w:top w:w="0" w:type="dxa"/>
              <w:left w:w="108" w:type="dxa"/>
              <w:bottom w:w="0" w:type="dxa"/>
              <w:right w:w="108" w:type="dxa"/>
            </w:tcMar>
            <w:hideMark/>
          </w:tcPr>
          <w:p w:rsidR="00F87027" w:rsidRPr="00496DED" w:rsidRDefault="00613A69">
            <w:pPr>
              <w:pStyle w:val="cs2e86d3a6"/>
              <w:rPr>
                <w:b/>
              </w:rPr>
            </w:pPr>
            <w:r w:rsidRPr="00496DED">
              <w:rPr>
                <w:rStyle w:val="csa16174ba25"/>
                <w:b/>
              </w:rPr>
              <w:t>СТАЛО</w:t>
            </w:r>
          </w:p>
        </w:tc>
      </w:tr>
      <w:tr w:rsidR="00F87027" w:rsidRPr="00A830BD" w:rsidTr="00496DED">
        <w:trPr>
          <w:trHeight w:val="213"/>
        </w:trPr>
        <w:tc>
          <w:tcPr>
            <w:tcW w:w="4927" w:type="dxa"/>
            <w:tcMar>
              <w:top w:w="0" w:type="dxa"/>
              <w:left w:w="108" w:type="dxa"/>
              <w:bottom w:w="0" w:type="dxa"/>
              <w:right w:w="108" w:type="dxa"/>
            </w:tcMar>
            <w:hideMark/>
          </w:tcPr>
          <w:p w:rsidR="00F87027" w:rsidRPr="009F01FB" w:rsidRDefault="00613A69">
            <w:pPr>
              <w:pStyle w:val="cs95e872d0"/>
              <w:rPr>
                <w:b/>
                <w:lang w:val="ru-RU"/>
              </w:rPr>
            </w:pPr>
            <w:r w:rsidRPr="009F01FB">
              <w:rPr>
                <w:rStyle w:val="csa16174ba25"/>
                <w:b/>
                <w:lang w:val="ru-RU"/>
              </w:rPr>
              <w:t xml:space="preserve">д.м.н., проф. Логановський К.М. </w:t>
            </w:r>
          </w:p>
          <w:p w:rsidR="00F87027" w:rsidRPr="00496DED" w:rsidRDefault="00613A69">
            <w:pPr>
              <w:pStyle w:val="cs80d9435b"/>
              <w:rPr>
                <w:rFonts w:ascii="Arial" w:hAnsi="Arial" w:cs="Arial"/>
                <w:color w:val="000000"/>
                <w:sz w:val="20"/>
                <w:szCs w:val="20"/>
                <w:lang w:val="ru-RU"/>
              </w:rPr>
            </w:pPr>
            <w:r w:rsidRPr="00AA4EF1">
              <w:rPr>
                <w:rStyle w:val="csa16174ba25"/>
                <w:lang w:val="ru-RU"/>
              </w:rPr>
              <w:t xml:space="preserve">Державна установа «Національний науковий центр радіаційної медицини Національної академії медичних наук України», </w:t>
            </w:r>
            <w:r w:rsidRPr="0049749E">
              <w:rPr>
                <w:rStyle w:val="csa16174ba25"/>
                <w:b/>
                <w:lang w:val="ru-RU"/>
              </w:rPr>
              <w:t>відділ радіаційної психоневрології Інституту клінічної радіології на базі відділення ра</w:t>
            </w:r>
            <w:r w:rsidR="00496DED" w:rsidRPr="0049749E">
              <w:rPr>
                <w:rStyle w:val="csa16174ba25"/>
                <w:b/>
                <w:lang w:val="ru-RU"/>
              </w:rPr>
              <w:t>діаційної психоневрології</w:t>
            </w:r>
            <w:r w:rsidR="00496DED">
              <w:rPr>
                <w:rStyle w:val="csa16174ba25"/>
                <w:lang w:val="ru-RU"/>
              </w:rPr>
              <w:t xml:space="preserve">,             </w:t>
            </w:r>
            <w:r w:rsidRPr="00AA4EF1">
              <w:rPr>
                <w:rStyle w:val="csa16174ba25"/>
                <w:lang w:val="ru-RU"/>
              </w:rPr>
              <w:t>м. Київ</w:t>
            </w:r>
          </w:p>
        </w:tc>
        <w:tc>
          <w:tcPr>
            <w:tcW w:w="4928" w:type="dxa"/>
            <w:tcMar>
              <w:top w:w="0" w:type="dxa"/>
              <w:left w:w="108" w:type="dxa"/>
              <w:bottom w:w="0" w:type="dxa"/>
              <w:right w:w="108" w:type="dxa"/>
            </w:tcMar>
            <w:hideMark/>
          </w:tcPr>
          <w:p w:rsidR="00F87027" w:rsidRPr="009F01FB" w:rsidRDefault="00613A69">
            <w:pPr>
              <w:pStyle w:val="csfeeeeb43"/>
              <w:rPr>
                <w:b/>
                <w:lang w:val="ru-RU"/>
              </w:rPr>
            </w:pPr>
            <w:r w:rsidRPr="009F01FB">
              <w:rPr>
                <w:rStyle w:val="csa16174ba25"/>
                <w:b/>
                <w:lang w:val="ru-RU"/>
              </w:rPr>
              <w:t xml:space="preserve">к.м.н. Колосинська О.О. </w:t>
            </w:r>
          </w:p>
          <w:p w:rsidR="00F87027" w:rsidRPr="00AA4EF1" w:rsidRDefault="00613A69">
            <w:pPr>
              <w:pStyle w:val="cs80d9435b"/>
              <w:rPr>
                <w:lang w:val="ru-RU"/>
              </w:rPr>
            </w:pPr>
            <w:r w:rsidRPr="00AA4EF1">
              <w:rPr>
                <w:rStyle w:val="csa16174ba25"/>
                <w:lang w:val="ru-RU"/>
              </w:rPr>
              <w:t xml:space="preserve">Державна установа «Національний науковий центр радіаційної медицини Національної академії медичних наук України», </w:t>
            </w:r>
            <w:r w:rsidRPr="0049749E">
              <w:rPr>
                <w:rStyle w:val="csa16174ba25"/>
                <w:b/>
                <w:lang w:val="ru-RU"/>
              </w:rPr>
              <w:t>відділ радіаційної психоневрології Інституту клінічної радіології ННЦРМ</w:t>
            </w:r>
            <w:r w:rsidRPr="00AA4EF1">
              <w:rPr>
                <w:rStyle w:val="csa16174ba25"/>
                <w:lang w:val="ru-RU"/>
              </w:rPr>
              <w:t>, м. Київ</w:t>
            </w:r>
          </w:p>
        </w:tc>
      </w:tr>
    </w:tbl>
    <w:p w:rsidR="00F87027" w:rsidRDefault="00F87027">
      <w:pPr>
        <w:pStyle w:val="cs80d9435b"/>
        <w:rPr>
          <w:lang w:val="uk-UA"/>
        </w:rPr>
      </w:pPr>
    </w:p>
    <w:tbl>
      <w:tblPr>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5"/>
        <w:gridCol w:w="9180"/>
      </w:tblGrid>
      <w:tr w:rsidR="00F87027" w:rsidRPr="00A830BD" w:rsidTr="00496DED">
        <w:tc>
          <w:tcPr>
            <w:tcW w:w="675" w:type="dxa"/>
            <w:tcMar>
              <w:top w:w="0" w:type="dxa"/>
              <w:left w:w="108" w:type="dxa"/>
              <w:bottom w:w="0" w:type="dxa"/>
              <w:right w:w="108" w:type="dxa"/>
            </w:tcMar>
            <w:hideMark/>
          </w:tcPr>
          <w:p w:rsidR="00F87027" w:rsidRDefault="00613A69">
            <w:pPr>
              <w:pStyle w:val="cs2e86d3a6"/>
            </w:pPr>
            <w:r>
              <w:rPr>
                <w:rStyle w:val="cs5e98e93025"/>
              </w:rPr>
              <w:t>№ п/п</w:t>
            </w:r>
          </w:p>
        </w:tc>
        <w:tc>
          <w:tcPr>
            <w:tcW w:w="9180" w:type="dxa"/>
            <w:tcMar>
              <w:top w:w="0" w:type="dxa"/>
              <w:left w:w="108" w:type="dxa"/>
              <w:bottom w:w="0" w:type="dxa"/>
              <w:right w:w="108" w:type="dxa"/>
            </w:tcMar>
            <w:hideMark/>
          </w:tcPr>
          <w:p w:rsidR="00F87027" w:rsidRPr="00AA4EF1" w:rsidRDefault="00613A69">
            <w:pPr>
              <w:pStyle w:val="cs202b20ac"/>
              <w:rPr>
                <w:lang w:val="ru-RU"/>
              </w:rPr>
            </w:pPr>
            <w:r w:rsidRPr="00AA4EF1">
              <w:rPr>
                <w:rStyle w:val="cs5e98e93025"/>
                <w:lang w:val="ru-RU"/>
              </w:rPr>
              <w:t>П.І.Б. відповідального дослідника</w:t>
            </w:r>
          </w:p>
          <w:p w:rsidR="00F87027" w:rsidRPr="00AA4EF1" w:rsidRDefault="00613A69">
            <w:pPr>
              <w:pStyle w:val="cs2e86d3a6"/>
              <w:rPr>
                <w:lang w:val="ru-RU"/>
              </w:rPr>
            </w:pPr>
            <w:r w:rsidRPr="00AA4EF1">
              <w:rPr>
                <w:rStyle w:val="cs5e98e93025"/>
                <w:lang w:val="ru-RU"/>
              </w:rPr>
              <w:t>Назва місця проведення клінічного випробування</w:t>
            </w:r>
          </w:p>
        </w:tc>
      </w:tr>
      <w:tr w:rsidR="00F87027" w:rsidTr="00496DED">
        <w:tc>
          <w:tcPr>
            <w:tcW w:w="675" w:type="dxa"/>
            <w:tcMar>
              <w:top w:w="0" w:type="dxa"/>
              <w:left w:w="108" w:type="dxa"/>
              <w:bottom w:w="0" w:type="dxa"/>
              <w:right w:w="108" w:type="dxa"/>
            </w:tcMar>
            <w:hideMark/>
          </w:tcPr>
          <w:p w:rsidR="00F87027" w:rsidRDefault="00613A69">
            <w:pPr>
              <w:pStyle w:val="cs2e86d3a6"/>
            </w:pPr>
            <w:r>
              <w:rPr>
                <w:rStyle w:val="csa16174ba25"/>
              </w:rPr>
              <w:t>1.</w:t>
            </w:r>
          </w:p>
        </w:tc>
        <w:tc>
          <w:tcPr>
            <w:tcW w:w="9180" w:type="dxa"/>
            <w:tcMar>
              <w:top w:w="0" w:type="dxa"/>
              <w:left w:w="108" w:type="dxa"/>
              <w:bottom w:w="0" w:type="dxa"/>
              <w:right w:w="108" w:type="dxa"/>
            </w:tcMar>
            <w:hideMark/>
          </w:tcPr>
          <w:p w:rsidR="00F87027" w:rsidRDefault="00613A69">
            <w:pPr>
              <w:pStyle w:val="csfeeeeb43"/>
            </w:pPr>
            <w:r>
              <w:rPr>
                <w:rStyle w:val="csa16174ba25"/>
              </w:rPr>
              <w:t>лікар Мотрічук О.О.</w:t>
            </w:r>
          </w:p>
          <w:p w:rsidR="00F87027" w:rsidRDefault="00613A69">
            <w:pPr>
              <w:pStyle w:val="cs80d9435b"/>
            </w:pPr>
            <w:r>
              <w:rPr>
                <w:rStyle w:val="csa16174ba25"/>
              </w:rPr>
              <w:t>Комунальне некомерційне підприємство «Перша Черкаська міська лікарня», неврологічне відділення, м. Черкаси</w:t>
            </w:r>
          </w:p>
        </w:tc>
      </w:tr>
    </w:tbl>
    <w:p w:rsidR="00F87027" w:rsidRDefault="00613A69" w:rsidP="00496DED">
      <w:pPr>
        <w:pStyle w:val="cs80d9435b"/>
        <w:rPr>
          <w:rFonts w:ascii="Arial" w:hAnsi="Arial" w:cs="Arial"/>
          <w:sz w:val="20"/>
          <w:szCs w:val="20"/>
          <w:lang w:val="uk-UA"/>
        </w:rPr>
      </w:pPr>
      <w:r>
        <w:rPr>
          <w:rStyle w:val="csa16174ba25"/>
          <w:lang w:val="uk-UA"/>
        </w:rPr>
        <w:t> </w:t>
      </w:r>
      <w:bookmarkStart w:id="0" w:name="_GoBack"/>
      <w:bookmarkEnd w:id="0"/>
    </w:p>
    <w:sectPr w:rsidR="00F8702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27" w:rsidRDefault="00613A69">
      <w:pPr>
        <w:rPr>
          <w:lang w:val="ru-RU"/>
        </w:rPr>
      </w:pPr>
      <w:r>
        <w:rPr>
          <w:lang w:val="ru-RU"/>
        </w:rPr>
        <w:separator/>
      </w:r>
    </w:p>
  </w:endnote>
  <w:endnote w:type="continuationSeparator" w:id="0">
    <w:p w:rsidR="00F87027" w:rsidRDefault="00613A69">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F87027">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613A69">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6A7269" w:rsidRPr="006A7269">
      <w:rPr>
        <w:noProof/>
        <w:sz w:val="20"/>
        <w:szCs w:val="20"/>
        <w:lang w:val="ru-RU"/>
      </w:rPr>
      <w:t>6</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F87027">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27" w:rsidRDefault="00613A69">
      <w:pPr>
        <w:rPr>
          <w:lang w:val="ru-RU"/>
        </w:rPr>
      </w:pPr>
      <w:r>
        <w:rPr>
          <w:lang w:val="ru-RU"/>
        </w:rPr>
        <w:separator/>
      </w:r>
    </w:p>
  </w:footnote>
  <w:footnote w:type="continuationSeparator" w:id="0">
    <w:p w:rsidR="00F87027" w:rsidRDefault="00613A69">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F87027">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F87027">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27" w:rsidRDefault="00F87027">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9C"/>
    <w:rsid w:val="00020B48"/>
    <w:rsid w:val="000E2F08"/>
    <w:rsid w:val="000E6D11"/>
    <w:rsid w:val="00142935"/>
    <w:rsid w:val="001B2B93"/>
    <w:rsid w:val="001B375B"/>
    <w:rsid w:val="001D0964"/>
    <w:rsid w:val="001F378E"/>
    <w:rsid w:val="00252224"/>
    <w:rsid w:val="002A10F2"/>
    <w:rsid w:val="00311F4C"/>
    <w:rsid w:val="0032271C"/>
    <w:rsid w:val="0033455F"/>
    <w:rsid w:val="00340BE8"/>
    <w:rsid w:val="00371A84"/>
    <w:rsid w:val="00376CAE"/>
    <w:rsid w:val="00393FF0"/>
    <w:rsid w:val="00436657"/>
    <w:rsid w:val="004435F0"/>
    <w:rsid w:val="00444AC4"/>
    <w:rsid w:val="00451965"/>
    <w:rsid w:val="00496DED"/>
    <w:rsid w:val="0049749E"/>
    <w:rsid w:val="005033EE"/>
    <w:rsid w:val="005162A6"/>
    <w:rsid w:val="005547C9"/>
    <w:rsid w:val="005E7AA0"/>
    <w:rsid w:val="00613A69"/>
    <w:rsid w:val="006226BE"/>
    <w:rsid w:val="006274CB"/>
    <w:rsid w:val="006A7269"/>
    <w:rsid w:val="006C22C1"/>
    <w:rsid w:val="007866E3"/>
    <w:rsid w:val="00795EDD"/>
    <w:rsid w:val="007A6D10"/>
    <w:rsid w:val="007B5F07"/>
    <w:rsid w:val="00882555"/>
    <w:rsid w:val="008A11A7"/>
    <w:rsid w:val="008C2519"/>
    <w:rsid w:val="00973D6C"/>
    <w:rsid w:val="009F01FB"/>
    <w:rsid w:val="00A67B98"/>
    <w:rsid w:val="00A830BD"/>
    <w:rsid w:val="00AA4EF1"/>
    <w:rsid w:val="00AD039B"/>
    <w:rsid w:val="00AD58A3"/>
    <w:rsid w:val="00B84A2F"/>
    <w:rsid w:val="00C00FCD"/>
    <w:rsid w:val="00CC6F56"/>
    <w:rsid w:val="00CD1BC1"/>
    <w:rsid w:val="00D25680"/>
    <w:rsid w:val="00D64578"/>
    <w:rsid w:val="00D70A8D"/>
    <w:rsid w:val="00D8597F"/>
    <w:rsid w:val="00D87F8E"/>
    <w:rsid w:val="00DE79E8"/>
    <w:rsid w:val="00E57B68"/>
    <w:rsid w:val="00EB403D"/>
    <w:rsid w:val="00ED5E2E"/>
    <w:rsid w:val="00EF4D57"/>
    <w:rsid w:val="00F30FAC"/>
    <w:rsid w:val="00F73F8C"/>
    <w:rsid w:val="00F80B0F"/>
    <w:rsid w:val="00F848CF"/>
    <w:rsid w:val="00F87027"/>
    <w:rsid w:val="00F9489C"/>
    <w:rsid w:val="00FF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426B820"/>
  <w15:chartTrackingRefBased/>
  <w15:docId w15:val="{30C4B288-070B-48C0-92F4-857EBD3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95e872d0">
    <w:name w:val="cs95e872d0"/>
    <w:basedOn w:val="a"/>
    <w:rPr>
      <w:rFonts w:eastAsiaTheme="minorEastAsia"/>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2e0a7bda">
    <w:name w:val="cs2e0a7bd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2516ebb">
    <w:name w:val="cs62516e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rPr>
      <w:rFonts w:eastAsiaTheme="minorEastAsia"/>
    </w:rPr>
  </w:style>
  <w:style w:type="paragraph" w:customStyle="1" w:styleId="cs9914f840">
    <w:name w:val="cs9914f84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4c29137">
    <w:name w:val="cs44c2913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099ea03">
    <w:name w:val="csa099ea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5195c69">
    <w:name w:val="cs35195c6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paragraph" w:customStyle="1" w:styleId="cs725e38d7">
    <w:name w:val="cs725e38d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c153a63">
    <w:name w:val="cs4c153a6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F3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1A32-729E-4D96-9992-A9987C52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3916</Words>
  <Characters>26646</Characters>
  <Application>Microsoft Office Word</Application>
  <DocSecurity>0</DocSecurity>
  <Lines>222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70</cp:revision>
  <cp:lastPrinted>2014-04-25T09:08:00Z</cp:lastPrinted>
  <dcterms:created xsi:type="dcterms:W3CDTF">2023-01-18T10:46:00Z</dcterms:created>
  <dcterms:modified xsi:type="dcterms:W3CDTF">2023-01-18T12:53:00Z</dcterms:modified>
</cp:coreProperties>
</file>