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2C" w:rsidRPr="00891CBC" w:rsidRDefault="002B212C" w:rsidP="002B212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Аналіз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спонтанних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повідомлень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випадки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побічних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реакцій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пов'язані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із</w:t>
      </w:r>
      <w:proofErr w:type="spellEnd"/>
      <w:proofErr w:type="gram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застосуванням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лікарських засобів при </w:t>
      </w:r>
      <w:r w:rsidRPr="00891CBC">
        <w:rPr>
          <w:rFonts w:ascii="Times New Roman" w:eastAsia="Calibri" w:hAnsi="Times New Roman" w:cs="Times New Roman"/>
          <w:b/>
          <w:sz w:val="24"/>
          <w:szCs w:val="24"/>
        </w:rPr>
        <w:t>лікуванні</w:t>
      </w:r>
      <w:r w:rsidRPr="00891C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COVID19, та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надійшли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VigiBase</w:t>
      </w:r>
      <w:proofErr w:type="spellEnd"/>
      <w:r w:rsidR="000F0701"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Pr="00891C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891CBC">
        <w:rPr>
          <w:rFonts w:ascii="Times New Roman" w:eastAsia="Calibri" w:hAnsi="Times New Roman" w:cs="Times New Roman"/>
          <w:b/>
          <w:sz w:val="24"/>
          <w:szCs w:val="24"/>
        </w:rPr>
        <w:t>треті проміжні результати</w:t>
      </w:r>
    </w:p>
    <w:p w:rsidR="002B212C" w:rsidRPr="00891CBC" w:rsidRDefault="002B212C" w:rsidP="002B212C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</w:pPr>
    </w:p>
    <w:p w:rsidR="00ED30AB" w:rsidRPr="00891CBC" w:rsidRDefault="002B212C" w:rsidP="00753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C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ED30AB" w:rsidRPr="00891CB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D30AB" w:rsidRPr="00891CBC">
        <w:rPr>
          <w:rFonts w:ascii="Times New Roman" w:eastAsia="Calibri" w:hAnsi="Times New Roman" w:cs="Times New Roman"/>
          <w:sz w:val="24"/>
          <w:szCs w:val="24"/>
        </w:rPr>
        <w:t xml:space="preserve">Центр моніторингу </w:t>
      </w:r>
      <w:proofErr w:type="spellStart"/>
      <w:r w:rsidR="00ED30AB" w:rsidRPr="00891CBC">
        <w:rPr>
          <w:rFonts w:ascii="Times New Roman" w:eastAsia="Calibri" w:hAnsi="Times New Roman" w:cs="Times New Roman"/>
          <w:sz w:val="24"/>
          <w:szCs w:val="24"/>
        </w:rPr>
        <w:t>Уппсали</w:t>
      </w:r>
      <w:proofErr w:type="spellEnd"/>
      <w:r w:rsidR="00ED30AB" w:rsidRPr="00891CBC">
        <w:rPr>
          <w:rFonts w:ascii="Times New Roman" w:eastAsia="Calibri" w:hAnsi="Times New Roman" w:cs="Times New Roman"/>
          <w:sz w:val="24"/>
          <w:szCs w:val="24"/>
        </w:rPr>
        <w:t xml:space="preserve"> (UMC) у ролі Центру співпраці Всесвітньої організації охорони здоров'я (ВООЗ) з міжнародного контролю за лікарськими засобами отримує повідомлення про підозрювані побічні реакції (далі – ПР) на лікарські засоби (далі – ЛЗ) з Національних уповноважених органів, що беруть участь у Програмі ВООЗ щодо міжнародного контролю за лікарськими засобами.  Інформація зберігається у </w:t>
      </w:r>
      <w:proofErr w:type="spellStart"/>
      <w:r w:rsidR="00ED30AB" w:rsidRPr="00891CBC">
        <w:rPr>
          <w:rFonts w:ascii="Times New Roman" w:eastAsia="Calibri" w:hAnsi="Times New Roman" w:cs="Times New Roman"/>
          <w:sz w:val="24"/>
          <w:szCs w:val="24"/>
        </w:rPr>
        <w:t>VigiBase</w:t>
      </w:r>
      <w:proofErr w:type="spellEnd"/>
      <w:r w:rsidR="00ED30AB" w:rsidRPr="00891CBC">
        <w:rPr>
          <w:rFonts w:ascii="Times New Roman" w:eastAsia="Calibri" w:hAnsi="Times New Roman" w:cs="Times New Roman"/>
          <w:sz w:val="24"/>
          <w:szCs w:val="24"/>
        </w:rPr>
        <w:t xml:space="preserve"> -  глобальній базі даних ВООЗ повідомлень про індивідуальні випадки пов’язані з безпекою. </w:t>
      </w:r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B212C" w:rsidRPr="00891CBC" w:rsidRDefault="00ED30AB" w:rsidP="00ED30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UMC </w:t>
      </w:r>
      <w:r w:rsidR="00C44C85" w:rsidRPr="00891CBC">
        <w:rPr>
          <w:rFonts w:ascii="Times New Roman" w:eastAsia="Calibri" w:hAnsi="Times New Roman" w:cs="Times New Roman"/>
          <w:sz w:val="24"/>
          <w:szCs w:val="24"/>
        </w:rPr>
        <w:t xml:space="preserve">повідомляє, що </w:t>
      </w:r>
      <w:r w:rsidR="00DF608B" w:rsidRPr="00891CBC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="00DF608B" w:rsidRPr="00891CBC">
        <w:rPr>
          <w:rFonts w:ascii="Times New Roman" w:eastAsia="Calibri" w:hAnsi="Times New Roman" w:cs="Times New Roman"/>
          <w:sz w:val="24"/>
          <w:szCs w:val="24"/>
        </w:rPr>
        <w:t>VigiBase</w:t>
      </w:r>
      <w:proofErr w:type="spellEnd"/>
      <w:r w:rsidR="00DF608B" w:rsidRPr="00891CBC">
        <w:rPr>
          <w:rFonts w:ascii="Times New Roman" w:eastAsia="Calibri" w:hAnsi="Times New Roman" w:cs="Times New Roman"/>
          <w:sz w:val="24"/>
          <w:szCs w:val="24"/>
        </w:rPr>
        <w:t xml:space="preserve">  продовжують надходити </w:t>
      </w:r>
      <w:r w:rsidR="00C44C85" w:rsidRPr="00891CBC">
        <w:rPr>
          <w:rFonts w:ascii="Times New Roman" w:eastAsia="Calibri" w:hAnsi="Times New Roman" w:cs="Times New Roman"/>
          <w:sz w:val="24"/>
          <w:szCs w:val="24"/>
        </w:rPr>
        <w:t>і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ндивідуальні звіти з безпеки </w:t>
      </w:r>
      <w:r w:rsidR="00DF608B" w:rsidRPr="00891CBC">
        <w:rPr>
          <w:rFonts w:ascii="Times New Roman" w:hAnsi="Times New Roman" w:cs="Times New Roman"/>
          <w:sz w:val="24"/>
          <w:szCs w:val="24"/>
        </w:rPr>
        <w:t>на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 </w:t>
      </w:r>
      <w:r w:rsidR="00DF608B" w:rsidRPr="00891CBC">
        <w:rPr>
          <w:rFonts w:ascii="Times New Roman" w:hAnsi="Times New Roman" w:cs="Times New Roman"/>
          <w:sz w:val="24"/>
          <w:szCs w:val="24"/>
        </w:rPr>
        <w:t>ЛЗ</w:t>
      </w:r>
      <w:r w:rsidR="002B212C" w:rsidRPr="00891CBC">
        <w:rPr>
          <w:rFonts w:ascii="Times New Roman" w:hAnsi="Times New Roman" w:cs="Times New Roman"/>
          <w:sz w:val="24"/>
          <w:szCs w:val="24"/>
        </w:rPr>
        <w:t>, що застосовуються при лікуванні COVID19</w:t>
      </w:r>
      <w:r w:rsidR="00DF608B" w:rsidRPr="00891CBC">
        <w:rPr>
          <w:rFonts w:ascii="Times New Roman" w:hAnsi="Times New Roman" w:cs="Times New Roman"/>
          <w:sz w:val="24"/>
          <w:szCs w:val="24"/>
        </w:rPr>
        <w:t>.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 Більшість звітів надійшли з Європейського регіону, але географічне поширення продовжує збільшуватися, оскільки </w:t>
      </w:r>
      <w:r w:rsidR="00DF608B" w:rsidRPr="00891CBC">
        <w:rPr>
          <w:rFonts w:ascii="Times New Roman" w:hAnsi="Times New Roman" w:cs="Times New Roman"/>
          <w:sz w:val="24"/>
          <w:szCs w:val="24"/>
        </w:rPr>
        <w:t xml:space="preserve">із регіону Західного Середземномор'я почали надходити </w:t>
      </w:r>
      <w:r w:rsidR="002B212C" w:rsidRPr="00891CBC">
        <w:rPr>
          <w:rFonts w:ascii="Times New Roman" w:hAnsi="Times New Roman" w:cs="Times New Roman"/>
          <w:sz w:val="24"/>
          <w:szCs w:val="24"/>
        </w:rPr>
        <w:t>перші звіти</w:t>
      </w:r>
      <w:r w:rsidR="00DF608B" w:rsidRPr="00891CBC">
        <w:rPr>
          <w:rFonts w:ascii="Times New Roman" w:hAnsi="Times New Roman" w:cs="Times New Roman"/>
          <w:sz w:val="24"/>
          <w:szCs w:val="24"/>
        </w:rPr>
        <w:t>, які зазначаються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 в цьому щотижневому огляді. Найчастіше повідомляється про </w:t>
      </w:r>
      <w:r w:rsidR="00DF608B" w:rsidRPr="00891CBC">
        <w:rPr>
          <w:rFonts w:ascii="Times New Roman" w:hAnsi="Times New Roman" w:cs="Times New Roman"/>
          <w:sz w:val="24"/>
          <w:szCs w:val="24"/>
        </w:rPr>
        <w:t>ПР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, що зазначені в наявній інформації про </w:t>
      </w:r>
      <w:r w:rsidR="00273289" w:rsidRPr="00891CBC">
        <w:rPr>
          <w:rFonts w:ascii="Times New Roman" w:hAnsi="Times New Roman" w:cs="Times New Roman"/>
          <w:sz w:val="24"/>
          <w:szCs w:val="24"/>
        </w:rPr>
        <w:t>ЛЗ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 та у інструкції для медичного застосування </w:t>
      </w:r>
      <w:r w:rsidR="00273289" w:rsidRPr="00891CBC">
        <w:rPr>
          <w:rFonts w:ascii="Times New Roman" w:hAnsi="Times New Roman" w:cs="Times New Roman"/>
          <w:sz w:val="24"/>
          <w:szCs w:val="24"/>
        </w:rPr>
        <w:t>ЛЗ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. Загалом, подовження інтервалу QT та порушення з боку </w:t>
      </w:r>
      <w:proofErr w:type="spellStart"/>
      <w:r w:rsidR="002B212C" w:rsidRPr="00891CBC">
        <w:rPr>
          <w:rFonts w:ascii="Times New Roman" w:hAnsi="Times New Roman" w:cs="Times New Roman"/>
          <w:sz w:val="24"/>
          <w:szCs w:val="24"/>
        </w:rPr>
        <w:t>гепатобіліарної</w:t>
      </w:r>
      <w:proofErr w:type="spellEnd"/>
      <w:r w:rsidR="002B212C" w:rsidRPr="00891CBC">
        <w:rPr>
          <w:rFonts w:ascii="Times New Roman" w:hAnsi="Times New Roman" w:cs="Times New Roman"/>
          <w:sz w:val="24"/>
          <w:szCs w:val="24"/>
        </w:rPr>
        <w:t xml:space="preserve"> системи є найчастіше зареєстрованими </w:t>
      </w:r>
      <w:r w:rsidR="00DF608B" w:rsidRPr="00891CBC">
        <w:rPr>
          <w:rFonts w:ascii="Times New Roman" w:hAnsi="Times New Roman" w:cs="Times New Roman"/>
          <w:sz w:val="24"/>
          <w:szCs w:val="24"/>
        </w:rPr>
        <w:t>порушеннями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 у </w:t>
      </w:r>
      <w:r w:rsidR="00DF608B" w:rsidRPr="00891CBC">
        <w:rPr>
          <w:rFonts w:ascii="Times New Roman" w:hAnsi="Times New Roman" w:cs="Times New Roman"/>
          <w:sz w:val="24"/>
          <w:szCs w:val="24"/>
        </w:rPr>
        <w:t xml:space="preserve">випадках 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серйозних </w:t>
      </w:r>
      <w:r w:rsidR="00DF608B" w:rsidRPr="00891CBC">
        <w:rPr>
          <w:rFonts w:ascii="Times New Roman" w:hAnsi="Times New Roman" w:cs="Times New Roman"/>
          <w:sz w:val="24"/>
          <w:szCs w:val="24"/>
        </w:rPr>
        <w:t>ПР</w:t>
      </w:r>
      <w:r w:rsidR="002B212C" w:rsidRPr="00891CBC">
        <w:rPr>
          <w:rFonts w:ascii="Times New Roman" w:hAnsi="Times New Roman" w:cs="Times New Roman"/>
          <w:sz w:val="24"/>
          <w:szCs w:val="24"/>
        </w:rPr>
        <w:t xml:space="preserve">. Повідомлялося також про розлади з боку нирок і сечовидільної системи та прояви з боку шкіри, включаючи один випадок токсичного епідермального </w:t>
      </w:r>
      <w:proofErr w:type="spellStart"/>
      <w:r w:rsidR="002B212C" w:rsidRPr="00891CBC">
        <w:rPr>
          <w:rFonts w:ascii="Times New Roman" w:hAnsi="Times New Roman" w:cs="Times New Roman"/>
          <w:sz w:val="24"/>
          <w:szCs w:val="24"/>
        </w:rPr>
        <w:t>некролізу</w:t>
      </w:r>
      <w:proofErr w:type="spellEnd"/>
      <w:r w:rsidR="002B212C" w:rsidRPr="00891CBC">
        <w:rPr>
          <w:rFonts w:ascii="Times New Roman" w:hAnsi="Times New Roman" w:cs="Times New Roman"/>
          <w:sz w:val="24"/>
          <w:szCs w:val="24"/>
        </w:rPr>
        <w:t>.</w:t>
      </w:r>
    </w:p>
    <w:p w:rsidR="007531F9" w:rsidRPr="00891CBC" w:rsidRDefault="00726F6A" w:rsidP="007531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BC">
        <w:rPr>
          <w:rFonts w:ascii="Times New Roman" w:eastAsia="Calibri" w:hAnsi="Times New Roman" w:cs="Times New Roman"/>
          <w:sz w:val="24"/>
          <w:szCs w:val="24"/>
        </w:rPr>
        <w:t>Звіти про побічні реакції надійшли до Національних уповноважених органів у період з 1 січня по 19 квітня</w:t>
      </w:r>
      <w:r w:rsidR="00DB47A0" w:rsidRPr="00891CB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, та були надіслані до </w:t>
      </w:r>
      <w:proofErr w:type="spellStart"/>
      <w:r w:rsidRPr="00891CBC">
        <w:rPr>
          <w:rFonts w:ascii="Times New Roman" w:eastAsia="Calibri" w:hAnsi="Times New Roman" w:cs="Times New Roman"/>
          <w:sz w:val="24"/>
          <w:szCs w:val="24"/>
        </w:rPr>
        <w:t>VigiBase</w:t>
      </w:r>
      <w:proofErr w:type="spellEnd"/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 не пізніше 19 квітня</w:t>
      </w:r>
      <w:r w:rsidR="00DB47A0" w:rsidRPr="00891CBC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891CBC">
        <w:rPr>
          <w:rFonts w:ascii="Times New Roman" w:eastAsia="Calibri" w:hAnsi="Times New Roman" w:cs="Times New Roman"/>
          <w:sz w:val="24"/>
          <w:szCs w:val="24"/>
        </w:rPr>
        <w:t>.</w:t>
      </w:r>
      <w:r w:rsidR="007531F9" w:rsidRPr="00891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1F9" w:rsidRPr="00891CBC">
        <w:rPr>
          <w:rFonts w:ascii="Times New Roman" w:hAnsi="Times New Roman" w:cs="Times New Roman"/>
          <w:sz w:val="24"/>
          <w:szCs w:val="24"/>
        </w:rPr>
        <w:t xml:space="preserve">Всього за обраною стратегією пошуку було визначено 182 нових повідомлення про випадки </w:t>
      </w:r>
      <w:r w:rsidR="00DB47A0" w:rsidRPr="00891CBC">
        <w:rPr>
          <w:rFonts w:ascii="Times New Roman" w:hAnsi="Times New Roman" w:cs="Times New Roman"/>
          <w:sz w:val="24"/>
          <w:szCs w:val="24"/>
        </w:rPr>
        <w:t>ПР</w:t>
      </w:r>
      <w:r w:rsidR="007531F9" w:rsidRPr="00891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1F9" w:rsidRPr="00891CBC" w:rsidRDefault="007531F9" w:rsidP="007531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BC">
        <w:rPr>
          <w:rFonts w:ascii="Times New Roman" w:hAnsi="Times New Roman" w:cs="Times New Roman"/>
          <w:sz w:val="24"/>
          <w:szCs w:val="24"/>
        </w:rPr>
        <w:t>Загалом було опубліковано 456 повідомлень із 4 регіонів ВООЗ, найбільша кількість з  європейського регіону (87,7%). 66% повідомлень були класифіковані як «серйозні». Чоловіки складають 68% повідомлень, а жінки 29%.</w:t>
      </w:r>
    </w:p>
    <w:p w:rsidR="007531F9" w:rsidRPr="00891CBC" w:rsidRDefault="007531F9" w:rsidP="000F52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BC">
        <w:rPr>
          <w:rFonts w:ascii="Times New Roman" w:hAnsi="Times New Roman" w:cs="Times New Roman"/>
          <w:sz w:val="24"/>
          <w:szCs w:val="24"/>
        </w:rPr>
        <w:t>Більшість випадків включали принаймні один із препаратів проекту «</w:t>
      </w:r>
      <w:r w:rsidR="000F52B5" w:rsidRPr="00891CBC">
        <w:rPr>
          <w:rFonts w:ascii="Times New Roman" w:hAnsi="Times New Roman" w:cs="Times New Roman"/>
          <w:sz w:val="24"/>
          <w:szCs w:val="24"/>
        </w:rPr>
        <w:t>SOLIDARITY</w:t>
      </w:r>
      <w:r w:rsidRPr="00891CBC">
        <w:rPr>
          <w:rFonts w:ascii="Times New Roman" w:hAnsi="Times New Roman" w:cs="Times New Roman"/>
          <w:sz w:val="24"/>
          <w:szCs w:val="24"/>
        </w:rPr>
        <w:t>», у якості «підозрюваного» або «взаємодіючого». Під час пошуку було виявлено додаткові повідомлення, що описують застосування інших  лікарські засоби, які, як відомо, застосовуються при лікуванні COVID19.</w:t>
      </w:r>
    </w:p>
    <w:p w:rsidR="00777108" w:rsidRPr="00891CBC" w:rsidRDefault="00777108" w:rsidP="00D5494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1CBC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 звітів про побічні реакції щодо лікарських засобів, включених до випробування «SOLIDARITY»</w:t>
      </w:r>
    </w:p>
    <w:p w:rsidR="00777108" w:rsidRPr="00891CBC" w:rsidRDefault="00A47979" w:rsidP="00D5494E">
      <w:pPr>
        <w:spacing w:before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Повідомлення про ПР при застосуванні </w:t>
      </w:r>
      <w:proofErr w:type="spellStart"/>
      <w:r w:rsidR="00777108" w:rsidRPr="00891CBC">
        <w:rPr>
          <w:rFonts w:ascii="Times New Roman" w:eastAsia="Calibri" w:hAnsi="Times New Roman" w:cs="Times New Roman"/>
          <w:b/>
          <w:sz w:val="24"/>
          <w:szCs w:val="24"/>
        </w:rPr>
        <w:t>Гідроксихлорохін</w:t>
      </w:r>
      <w:r w:rsidRPr="00891CBC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spellEnd"/>
      <w:r w:rsidR="00D5494E"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5494E" w:rsidRPr="00891C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HCQ</w:t>
      </w:r>
      <w:r w:rsidR="00D5494E" w:rsidRPr="00891CB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77108"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 самостійно або в поєднанні з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777108" w:rsidRPr="00891CBC">
        <w:rPr>
          <w:rFonts w:ascii="Times New Roman" w:eastAsia="Calibri" w:hAnsi="Times New Roman" w:cs="Times New Roman"/>
          <w:b/>
          <w:sz w:val="24"/>
          <w:szCs w:val="24"/>
        </w:rPr>
        <w:t>зитроміцином</w:t>
      </w:r>
      <w:proofErr w:type="spellEnd"/>
      <w:r w:rsidR="00D5494E"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5494E" w:rsidRPr="00891C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AZM</w:t>
      </w:r>
      <w:r w:rsidR="00D5494E" w:rsidRPr="00891CB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A330E"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 за період з 13.04. по 19.04.2020</w:t>
      </w:r>
    </w:p>
    <w:p w:rsidR="00D5494E" w:rsidRPr="00891CBC" w:rsidRDefault="00D5494E" w:rsidP="00D5494E">
      <w:pPr>
        <w:spacing w:before="120" w:line="240" w:lineRule="auto"/>
        <w:jc w:val="right"/>
        <w:rPr>
          <w:rFonts w:ascii="Times New Roman" w:eastAsia="Calibri" w:hAnsi="Times New Roman" w:cs="Times New Roman"/>
        </w:rPr>
      </w:pPr>
      <w:r w:rsidRPr="00891CBC">
        <w:rPr>
          <w:rFonts w:ascii="Times New Roman" w:eastAsia="Calibri" w:hAnsi="Times New Roman" w:cs="Times New Roman"/>
        </w:rPr>
        <w:t>Таблиця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1418"/>
        <w:gridCol w:w="2546"/>
      </w:tblGrid>
      <w:tr w:rsidR="001E1E71" w:rsidRPr="00891CBC" w:rsidTr="001E1E71">
        <w:tc>
          <w:tcPr>
            <w:tcW w:w="988" w:type="dxa"/>
          </w:tcPr>
          <w:p w:rsidR="00D5494E" w:rsidRPr="00891CBC" w:rsidRDefault="00D5494E" w:rsidP="006A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Усього повідомлень</w:t>
            </w:r>
          </w:p>
        </w:tc>
        <w:tc>
          <w:tcPr>
            <w:tcW w:w="1134" w:type="dxa"/>
          </w:tcPr>
          <w:p w:rsidR="00D5494E" w:rsidRPr="00891CBC" w:rsidRDefault="00D5494E" w:rsidP="0075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D5494E" w:rsidRPr="00891CBC" w:rsidRDefault="00D5494E" w:rsidP="0075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D5494E" w:rsidRPr="00891CBC" w:rsidRDefault="00D5494E" w:rsidP="0075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1418" w:type="dxa"/>
          </w:tcPr>
          <w:p w:rsidR="00D5494E" w:rsidRPr="00891CBC" w:rsidRDefault="00D5494E" w:rsidP="007531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  <w:lang w:val="en-US"/>
              </w:rPr>
              <w:t>HCQ + AZM</w:t>
            </w:r>
          </w:p>
        </w:tc>
        <w:tc>
          <w:tcPr>
            <w:tcW w:w="2546" w:type="dxa"/>
          </w:tcPr>
          <w:p w:rsidR="00D5494E" w:rsidRPr="00891CBC" w:rsidRDefault="006A330E" w:rsidP="006A33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1E1E71" w:rsidRPr="00891CBC" w:rsidTr="001E1E71">
        <w:tc>
          <w:tcPr>
            <w:tcW w:w="988" w:type="dxa"/>
          </w:tcPr>
          <w:p w:rsidR="00D5494E" w:rsidRPr="00891CBC" w:rsidRDefault="006A330E" w:rsidP="00446400">
            <w:pPr>
              <w:jc w:val="center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D5494E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Чоловіки – 92</w:t>
            </w:r>
          </w:p>
          <w:p w:rsidR="00D517DA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Жінки – 33</w:t>
            </w:r>
          </w:p>
          <w:p w:rsidR="00D517DA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Стать не відома - 2</w:t>
            </w:r>
          </w:p>
        </w:tc>
        <w:tc>
          <w:tcPr>
            <w:tcW w:w="1984" w:type="dxa"/>
          </w:tcPr>
          <w:p w:rsidR="00D5494E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Європейський регіон – 104</w:t>
            </w:r>
          </w:p>
          <w:p w:rsidR="00D517DA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Америка – 22</w:t>
            </w:r>
          </w:p>
          <w:p w:rsidR="00D517DA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CBC">
              <w:rPr>
                <w:rFonts w:ascii="Times New Roman" w:hAnsi="Times New Roman" w:cs="Times New Roman"/>
              </w:rPr>
              <w:t>Західнотихоокеанський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регіон – 1</w:t>
            </w:r>
          </w:p>
          <w:p w:rsidR="00D517DA" w:rsidRPr="00891CBC" w:rsidRDefault="00D517DA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891CBC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891CBC">
              <w:rPr>
                <w:rFonts w:ascii="Times New Roman" w:hAnsi="Times New Roman" w:cs="Times New Roman"/>
                <w:lang w:val="en-US"/>
              </w:rPr>
              <w:t>’</w:t>
            </w:r>
            <w:r w:rsidRPr="00891CBC">
              <w:rPr>
                <w:rFonts w:ascii="Times New Roman" w:hAnsi="Times New Roman" w:cs="Times New Roman"/>
              </w:rPr>
              <w:t>я - 1</w:t>
            </w:r>
          </w:p>
        </w:tc>
        <w:tc>
          <w:tcPr>
            <w:tcW w:w="1559" w:type="dxa"/>
          </w:tcPr>
          <w:p w:rsidR="00D5494E" w:rsidRPr="00891CBC" w:rsidRDefault="00A47979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18-44 роки – 22</w:t>
            </w:r>
          </w:p>
          <w:p w:rsidR="00A47979" w:rsidRPr="00891CBC" w:rsidRDefault="00A47979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45-64 роки – 51</w:t>
            </w:r>
          </w:p>
          <w:p w:rsidR="00A47979" w:rsidRPr="00891CBC" w:rsidRDefault="00A47979" w:rsidP="007531F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65-74 роки – 29</w:t>
            </w:r>
          </w:p>
          <w:p w:rsidR="00A47979" w:rsidRPr="00891CBC" w:rsidRDefault="00A47979" w:rsidP="00A4797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75 років та старше – 21</w:t>
            </w:r>
          </w:p>
          <w:p w:rsidR="00A47979" w:rsidRPr="00891CBC" w:rsidRDefault="00A47979" w:rsidP="00A4797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Вікова група невідома - 4 </w:t>
            </w:r>
          </w:p>
        </w:tc>
        <w:tc>
          <w:tcPr>
            <w:tcW w:w="1418" w:type="dxa"/>
          </w:tcPr>
          <w:p w:rsidR="00D5494E" w:rsidRPr="00891CBC" w:rsidRDefault="00A47979" w:rsidP="00446400">
            <w:pPr>
              <w:jc w:val="center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51</w:t>
            </w:r>
          </w:p>
          <w:p w:rsidR="001E1E71" w:rsidRPr="00891CBC" w:rsidRDefault="001E1E71" w:rsidP="001E1E71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З них у 46 - </w:t>
            </w:r>
            <w:r w:rsidRPr="00891CBC">
              <w:rPr>
                <w:rFonts w:ascii="Times New Roman" w:hAnsi="Times New Roman" w:cs="Times New Roman"/>
                <w:lang w:val="en-US"/>
              </w:rPr>
              <w:t>AZM</w:t>
            </w:r>
            <w:r w:rsidRPr="00891CBC">
              <w:rPr>
                <w:rFonts w:ascii="Times New Roman" w:hAnsi="Times New Roman" w:cs="Times New Roman"/>
              </w:rPr>
              <w:t xml:space="preserve"> зазначений як «підозрюваний або взаємодіючий»;</w:t>
            </w:r>
          </w:p>
          <w:p w:rsidR="001E1E71" w:rsidRPr="00891CBC" w:rsidRDefault="001E1E71" w:rsidP="001E1E71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У 5 – як </w:t>
            </w:r>
            <w:r w:rsidR="00446400" w:rsidRPr="00891CBC">
              <w:rPr>
                <w:rFonts w:ascii="Times New Roman" w:hAnsi="Times New Roman" w:cs="Times New Roman"/>
              </w:rPr>
              <w:t>«</w:t>
            </w:r>
            <w:r w:rsidRPr="00891CBC">
              <w:rPr>
                <w:rFonts w:ascii="Times New Roman" w:hAnsi="Times New Roman" w:cs="Times New Roman"/>
              </w:rPr>
              <w:t>супутній</w:t>
            </w:r>
            <w:r w:rsidR="00446400" w:rsidRPr="00891C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6" w:type="dxa"/>
          </w:tcPr>
          <w:p w:rsidR="00D5494E" w:rsidRPr="00891CBC" w:rsidRDefault="001E1E71" w:rsidP="00446400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1</w:t>
            </w:r>
            <w:r w:rsidR="00F55FA2" w:rsidRPr="00891CBC">
              <w:rPr>
                <w:rFonts w:ascii="Times New Roman" w:hAnsi="Times New Roman" w:cs="Times New Roman"/>
              </w:rPr>
              <w:t>.</w:t>
            </w:r>
            <w:r w:rsidRPr="00891CBC">
              <w:rPr>
                <w:rFonts w:ascii="Times New Roman" w:hAnsi="Times New Roman" w:cs="Times New Roman"/>
              </w:rPr>
              <w:t xml:space="preserve"> Порушення серцевої системи </w:t>
            </w:r>
            <w:r w:rsidR="00446400" w:rsidRPr="00891CBC">
              <w:rPr>
                <w:rFonts w:ascii="Times New Roman" w:hAnsi="Times New Roman" w:cs="Times New Roman"/>
              </w:rPr>
              <w:t>–</w:t>
            </w:r>
            <w:r w:rsidRPr="00891CBC">
              <w:rPr>
                <w:rFonts w:ascii="Times New Roman" w:hAnsi="Times New Roman" w:cs="Times New Roman"/>
              </w:rPr>
              <w:t xml:space="preserve"> </w:t>
            </w:r>
            <w:r w:rsidR="00446400" w:rsidRPr="00891CBC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="00446400" w:rsidRPr="00891CBC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="00446400" w:rsidRPr="00891CBC">
              <w:rPr>
                <w:rFonts w:ascii="Times New Roman" w:hAnsi="Times New Roman" w:cs="Times New Roman"/>
              </w:rPr>
              <w:t xml:space="preserve"> (36 повідомлень)</w:t>
            </w:r>
          </w:p>
          <w:p w:rsidR="00446400" w:rsidRPr="00891CBC" w:rsidRDefault="00446400" w:rsidP="00446400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2. Порушення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гепатобіліарної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системи – </w:t>
            </w:r>
            <w:r w:rsidRPr="00891CBC">
              <w:rPr>
                <w:rFonts w:ascii="Times New Roman" w:hAnsi="Times New Roman" w:cs="Times New Roman"/>
                <w:i/>
              </w:rPr>
              <w:t>гепатит</w:t>
            </w:r>
            <w:r w:rsidRPr="00891CBC">
              <w:rPr>
                <w:rFonts w:ascii="Times New Roman" w:hAnsi="Times New Roman" w:cs="Times New Roman"/>
              </w:rPr>
              <w:t xml:space="preserve"> (19 повідомлень) та </w:t>
            </w:r>
            <w:r w:rsidRPr="00891CBC">
              <w:rPr>
                <w:rFonts w:ascii="Times New Roman" w:hAnsi="Times New Roman" w:cs="Times New Roman"/>
                <w:i/>
              </w:rPr>
              <w:t>гострий гепатит</w:t>
            </w:r>
            <w:r w:rsidRPr="00891CBC">
              <w:rPr>
                <w:rFonts w:ascii="Times New Roman" w:hAnsi="Times New Roman" w:cs="Times New Roman"/>
              </w:rPr>
              <w:t xml:space="preserve"> (7 повідомлень)</w:t>
            </w:r>
          </w:p>
          <w:p w:rsidR="00446400" w:rsidRPr="00891CBC" w:rsidRDefault="00446400" w:rsidP="00735FC4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3. </w:t>
            </w:r>
            <w:r w:rsidR="00735FC4" w:rsidRPr="00891CBC">
              <w:rPr>
                <w:rFonts w:ascii="Times New Roman" w:hAnsi="Times New Roman" w:cs="Times New Roman"/>
              </w:rPr>
              <w:t xml:space="preserve">Розлади з боку шкіри та підшкірно-жирового шару  - </w:t>
            </w:r>
            <w:r w:rsidR="00735FC4" w:rsidRPr="00891CBC">
              <w:rPr>
                <w:rFonts w:ascii="Times New Roman" w:hAnsi="Times New Roman" w:cs="Times New Roman"/>
                <w:i/>
              </w:rPr>
              <w:t xml:space="preserve">токсичний </w:t>
            </w:r>
            <w:r w:rsidR="00735FC4" w:rsidRPr="00891CBC">
              <w:rPr>
                <w:rFonts w:ascii="Times New Roman" w:hAnsi="Times New Roman" w:cs="Times New Roman"/>
                <w:i/>
              </w:rPr>
              <w:lastRenderedPageBreak/>
              <w:t xml:space="preserve">епідермальний </w:t>
            </w:r>
            <w:proofErr w:type="spellStart"/>
            <w:r w:rsidR="00735FC4" w:rsidRPr="00891CBC">
              <w:rPr>
                <w:rFonts w:ascii="Times New Roman" w:hAnsi="Times New Roman" w:cs="Times New Roman"/>
                <w:i/>
              </w:rPr>
              <w:t>некроліз</w:t>
            </w:r>
            <w:proofErr w:type="spellEnd"/>
            <w:r w:rsidR="00735FC4" w:rsidRPr="00891CBC">
              <w:rPr>
                <w:rFonts w:ascii="Times New Roman" w:hAnsi="Times New Roman" w:cs="Times New Roman"/>
                <w:i/>
              </w:rPr>
              <w:t xml:space="preserve"> </w:t>
            </w:r>
            <w:r w:rsidR="00735FC4" w:rsidRPr="00891CBC">
              <w:rPr>
                <w:rFonts w:ascii="Times New Roman" w:hAnsi="Times New Roman" w:cs="Times New Roman"/>
              </w:rPr>
              <w:t xml:space="preserve">(1 повідомлення). У цьому випадку супутні ЛЗ – </w:t>
            </w:r>
            <w:proofErr w:type="spellStart"/>
            <w:r w:rsidR="00735FC4" w:rsidRPr="00891CBC">
              <w:rPr>
                <w:rFonts w:ascii="Times New Roman" w:hAnsi="Times New Roman" w:cs="Times New Roman"/>
              </w:rPr>
              <w:t>парацетамол</w:t>
            </w:r>
            <w:proofErr w:type="spellEnd"/>
            <w:r w:rsidR="00735FC4" w:rsidRPr="00891CB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735FC4" w:rsidRPr="00891CBC">
              <w:rPr>
                <w:rFonts w:ascii="Times New Roman" w:hAnsi="Times New Roman" w:cs="Times New Roman"/>
              </w:rPr>
              <w:t>цефртіаксон</w:t>
            </w:r>
            <w:proofErr w:type="spellEnd"/>
            <w:r w:rsidR="00735FC4" w:rsidRPr="00891CBC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20B6C" w:rsidRPr="00891CBC" w:rsidRDefault="00420B6C" w:rsidP="007531F9">
      <w:pPr>
        <w:spacing w:after="0"/>
        <w:jc w:val="both"/>
        <w:rPr>
          <w:rFonts w:ascii="Times New Roman" w:hAnsi="Times New Roman" w:cs="Times New Roman"/>
        </w:rPr>
      </w:pPr>
    </w:p>
    <w:p w:rsidR="00DB47A0" w:rsidRPr="00891CBC" w:rsidRDefault="00DB47A0" w:rsidP="00DB47A0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Повідомлення про ПР при застосуванні </w:t>
      </w:r>
      <w:proofErr w:type="spellStart"/>
      <w:r w:rsidRPr="00891CBC">
        <w:rPr>
          <w:rFonts w:ascii="Times New Roman" w:eastAsia="Calibri" w:hAnsi="Times New Roman" w:cs="Times New Roman"/>
          <w:b/>
          <w:sz w:val="24"/>
          <w:szCs w:val="24"/>
        </w:rPr>
        <w:t>Хлорохін</w:t>
      </w:r>
      <w:r w:rsidRPr="00891CBC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spellEnd"/>
      <w:r w:rsidRPr="00891C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1CB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F4A8A" w:rsidRPr="00891CB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F4A8A" w:rsidRPr="00891C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Pr="00891CBC">
        <w:rPr>
          <w:rFonts w:ascii="Times New Roman" w:eastAsia="Calibri" w:hAnsi="Times New Roman" w:cs="Times New Roman"/>
          <w:b/>
          <w:sz w:val="24"/>
          <w:szCs w:val="24"/>
        </w:rPr>
        <w:t>) за період з 13.04. по 19.04.2020</w:t>
      </w:r>
    </w:p>
    <w:p w:rsidR="00AF4A8A" w:rsidRPr="00891CBC" w:rsidRDefault="00AF4A8A" w:rsidP="00AF4A8A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  <w:r w:rsidRPr="00891CBC">
        <w:rPr>
          <w:rFonts w:ascii="Times New Roman" w:eastAsia="Calibri" w:hAnsi="Times New Roman" w:cs="Times New Roman"/>
        </w:rPr>
        <w:t>Таблиця 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3969"/>
      </w:tblGrid>
      <w:tr w:rsidR="001A19EC" w:rsidRPr="00891CBC" w:rsidTr="001A19EC">
        <w:tc>
          <w:tcPr>
            <w:tcW w:w="988" w:type="dxa"/>
          </w:tcPr>
          <w:p w:rsidR="001A19EC" w:rsidRPr="00891CBC" w:rsidRDefault="001A19EC" w:rsidP="00585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Усього повідомлень</w:t>
            </w:r>
          </w:p>
        </w:tc>
        <w:tc>
          <w:tcPr>
            <w:tcW w:w="1134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969" w:type="dxa"/>
          </w:tcPr>
          <w:p w:rsidR="001A19EC" w:rsidRPr="00891CBC" w:rsidRDefault="001A19EC" w:rsidP="00585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1A19EC" w:rsidRPr="00891CBC" w:rsidTr="001A19EC">
        <w:tc>
          <w:tcPr>
            <w:tcW w:w="988" w:type="dxa"/>
          </w:tcPr>
          <w:p w:rsidR="001A19EC" w:rsidRPr="00891CBC" w:rsidRDefault="001A19EC" w:rsidP="005857B9">
            <w:pPr>
              <w:jc w:val="center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Чоловіки – </w:t>
            </w:r>
            <w:r w:rsidRPr="00891CBC">
              <w:rPr>
                <w:rFonts w:ascii="Times New Roman" w:hAnsi="Times New Roman" w:cs="Times New Roman"/>
              </w:rPr>
              <w:t>16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Жінки – </w:t>
            </w:r>
            <w:r w:rsidRPr="00891CBC">
              <w:rPr>
                <w:rFonts w:ascii="Times New Roman" w:hAnsi="Times New Roman" w:cs="Times New Roman"/>
              </w:rPr>
              <w:t>15</w:t>
            </w:r>
          </w:p>
          <w:p w:rsidR="001A19EC" w:rsidRPr="00891CBC" w:rsidRDefault="001A19EC" w:rsidP="00AF4A8A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Стать не відома - </w:t>
            </w:r>
            <w:r w:rsidRPr="00891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Pr="00891CBC">
              <w:rPr>
                <w:rFonts w:ascii="Times New Roman" w:hAnsi="Times New Roman" w:cs="Times New Roman"/>
              </w:rPr>
              <w:t>17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Америка – </w:t>
            </w:r>
            <w:r w:rsidRPr="00891CBC">
              <w:rPr>
                <w:rFonts w:ascii="Times New Roman" w:hAnsi="Times New Roman" w:cs="Times New Roman"/>
              </w:rPr>
              <w:t>2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CBC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891CBC">
              <w:rPr>
                <w:rFonts w:ascii="Times New Roman" w:hAnsi="Times New Roman" w:cs="Times New Roman"/>
              </w:rPr>
              <w:t>-</w:t>
            </w:r>
            <w:r w:rsidRPr="00891CBC">
              <w:rPr>
                <w:rFonts w:ascii="Times New Roman" w:hAnsi="Times New Roman" w:cs="Times New Roman"/>
              </w:rPr>
              <w:t xml:space="preserve">тихоокеанський регіон – </w:t>
            </w:r>
            <w:r w:rsidRPr="00891CBC">
              <w:rPr>
                <w:rFonts w:ascii="Times New Roman" w:hAnsi="Times New Roman" w:cs="Times New Roman"/>
              </w:rPr>
              <w:t>11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891CBC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891CBC">
              <w:rPr>
                <w:rFonts w:ascii="Times New Roman" w:hAnsi="Times New Roman" w:cs="Times New Roman"/>
                <w:lang w:val="en-US"/>
              </w:rPr>
              <w:t>’</w:t>
            </w:r>
            <w:r w:rsidRPr="00891CBC">
              <w:rPr>
                <w:rFonts w:ascii="Times New Roman" w:hAnsi="Times New Roman" w:cs="Times New Roman"/>
              </w:rPr>
              <w:t>я - 1</w:t>
            </w:r>
          </w:p>
        </w:tc>
        <w:tc>
          <w:tcPr>
            <w:tcW w:w="1559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18-44 роки – </w:t>
            </w:r>
            <w:r w:rsidRPr="00891CBC">
              <w:rPr>
                <w:rFonts w:ascii="Times New Roman" w:hAnsi="Times New Roman" w:cs="Times New Roman"/>
              </w:rPr>
              <w:t>2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45-64 роки – </w:t>
            </w:r>
            <w:r w:rsidRPr="00891CBC">
              <w:rPr>
                <w:rFonts w:ascii="Times New Roman" w:hAnsi="Times New Roman" w:cs="Times New Roman"/>
              </w:rPr>
              <w:t>17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65-74 роки – </w:t>
            </w:r>
            <w:r w:rsidRPr="00891CBC">
              <w:rPr>
                <w:rFonts w:ascii="Times New Roman" w:hAnsi="Times New Roman" w:cs="Times New Roman"/>
              </w:rPr>
              <w:t>6</w:t>
            </w:r>
          </w:p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75 років та старше – </w:t>
            </w:r>
            <w:r w:rsidRPr="00891CBC">
              <w:rPr>
                <w:rFonts w:ascii="Times New Roman" w:hAnsi="Times New Roman" w:cs="Times New Roman"/>
              </w:rPr>
              <w:t>4</w:t>
            </w:r>
          </w:p>
          <w:p w:rsidR="001A19EC" w:rsidRPr="00891CBC" w:rsidRDefault="001A19EC" w:rsidP="00AF4A8A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Вікова група невідома - </w:t>
            </w:r>
            <w:r w:rsidRPr="00891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1A19EC" w:rsidRPr="00891CBC" w:rsidRDefault="001A19EC" w:rsidP="005857B9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1</w:t>
            </w:r>
            <w:r w:rsidR="00F55FA2" w:rsidRPr="00891CBC">
              <w:rPr>
                <w:rFonts w:ascii="Times New Roman" w:hAnsi="Times New Roman" w:cs="Times New Roman"/>
              </w:rPr>
              <w:t>.</w:t>
            </w:r>
            <w:r w:rsidRPr="00891CBC">
              <w:rPr>
                <w:rFonts w:ascii="Times New Roman" w:hAnsi="Times New Roman" w:cs="Times New Roman"/>
              </w:rPr>
              <w:t xml:space="preserve"> Порушення серцевої системи – </w:t>
            </w:r>
            <w:r w:rsidRPr="00891CBC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891CBC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Pr="00891CBC">
              <w:rPr>
                <w:rFonts w:ascii="Times New Roman" w:hAnsi="Times New Roman" w:cs="Times New Roman"/>
              </w:rPr>
              <w:t xml:space="preserve"> (</w:t>
            </w:r>
            <w:r w:rsidRPr="00891CBC">
              <w:rPr>
                <w:rFonts w:ascii="Times New Roman" w:hAnsi="Times New Roman" w:cs="Times New Roman"/>
              </w:rPr>
              <w:t>24</w:t>
            </w:r>
            <w:r w:rsidRPr="00891CBC">
              <w:rPr>
                <w:rFonts w:ascii="Times New Roman" w:hAnsi="Times New Roman" w:cs="Times New Roman"/>
              </w:rPr>
              <w:t xml:space="preserve"> повідомлен</w:t>
            </w:r>
            <w:r w:rsidRPr="00891CBC">
              <w:rPr>
                <w:rFonts w:ascii="Times New Roman" w:hAnsi="Times New Roman" w:cs="Times New Roman"/>
              </w:rPr>
              <w:t>ня</w:t>
            </w:r>
            <w:r w:rsidRPr="00891CBC">
              <w:rPr>
                <w:rFonts w:ascii="Times New Roman" w:hAnsi="Times New Roman" w:cs="Times New Roman"/>
              </w:rPr>
              <w:t>)</w:t>
            </w:r>
          </w:p>
          <w:p w:rsidR="001A19EC" w:rsidRPr="00891CBC" w:rsidRDefault="001A19EC" w:rsidP="001A19EC">
            <w:pPr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2. Порушення </w:t>
            </w:r>
            <w:r w:rsidRPr="00891CBC">
              <w:rPr>
                <w:rFonts w:ascii="Times New Roman" w:hAnsi="Times New Roman" w:cs="Times New Roman"/>
                <w:lang w:bidi="uk-UA"/>
              </w:rPr>
              <w:t xml:space="preserve">з боку кровотворної </w:t>
            </w:r>
            <w:r w:rsidRPr="00891CBC">
              <w:rPr>
                <w:rFonts w:ascii="Times New Roman" w:hAnsi="Times New Roman" w:cs="Times New Roman"/>
              </w:rPr>
              <w:t xml:space="preserve">системи – </w:t>
            </w:r>
            <w:proofErr w:type="spellStart"/>
            <w:r w:rsidRPr="00891CBC">
              <w:rPr>
                <w:rFonts w:ascii="Times New Roman" w:hAnsi="Times New Roman" w:cs="Times New Roman"/>
                <w:i/>
              </w:rPr>
              <w:t>метгемоглобінемія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(1 повідомлення)</w:t>
            </w:r>
          </w:p>
        </w:tc>
      </w:tr>
    </w:tbl>
    <w:p w:rsidR="00517DC4" w:rsidRPr="00891CBC" w:rsidRDefault="00517DC4" w:rsidP="007531F9">
      <w:pPr>
        <w:spacing w:after="0"/>
        <w:jc w:val="both"/>
        <w:rPr>
          <w:rFonts w:ascii="Times New Roman" w:hAnsi="Times New Roman" w:cs="Times New Roman"/>
        </w:rPr>
      </w:pPr>
    </w:p>
    <w:p w:rsidR="001A19EC" w:rsidRPr="00891CBC" w:rsidRDefault="001A19EC" w:rsidP="00891C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BC">
        <w:rPr>
          <w:rFonts w:ascii="Times New Roman" w:hAnsi="Times New Roman" w:cs="Times New Roman"/>
          <w:b/>
          <w:sz w:val="24"/>
          <w:szCs w:val="24"/>
        </w:rPr>
        <w:t xml:space="preserve">Повідомлення про ПР при застосуванні </w:t>
      </w:r>
      <w:proofErr w:type="spellStart"/>
      <w:r w:rsidR="00C52EE2" w:rsidRPr="00891CBC">
        <w:rPr>
          <w:rFonts w:ascii="Times New Roman" w:hAnsi="Times New Roman" w:cs="Times New Roman"/>
          <w:b/>
          <w:sz w:val="24"/>
          <w:szCs w:val="24"/>
        </w:rPr>
        <w:t>Лопінавір</w:t>
      </w:r>
      <w:proofErr w:type="spellEnd"/>
      <w:r w:rsidR="00C52EE2" w:rsidRPr="00891CB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2EE2" w:rsidRPr="00891CBC">
        <w:rPr>
          <w:rFonts w:ascii="Times New Roman" w:hAnsi="Times New Roman" w:cs="Times New Roman"/>
          <w:b/>
          <w:sz w:val="24"/>
          <w:szCs w:val="24"/>
        </w:rPr>
        <w:t>Р</w:t>
      </w:r>
      <w:r w:rsidR="00C52EE2" w:rsidRPr="00891CBC">
        <w:rPr>
          <w:rFonts w:ascii="Times New Roman" w:hAnsi="Times New Roman" w:cs="Times New Roman"/>
          <w:b/>
          <w:sz w:val="24"/>
          <w:szCs w:val="24"/>
        </w:rPr>
        <w:t>итонавір</w:t>
      </w:r>
      <w:proofErr w:type="spellEnd"/>
      <w:r w:rsidR="00C52EE2" w:rsidRPr="00891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2EE2" w:rsidRPr="00891CBC">
        <w:rPr>
          <w:rFonts w:ascii="Times New Roman" w:hAnsi="Times New Roman" w:cs="Times New Roman"/>
          <w:b/>
          <w:sz w:val="24"/>
          <w:szCs w:val="24"/>
          <w:lang w:val="en-US"/>
        </w:rPr>
        <w:t>LR</w:t>
      </w:r>
      <w:r w:rsidRPr="00891CBC">
        <w:rPr>
          <w:rFonts w:ascii="Times New Roman" w:hAnsi="Times New Roman" w:cs="Times New Roman"/>
          <w:b/>
          <w:sz w:val="24"/>
          <w:szCs w:val="24"/>
        </w:rPr>
        <w:t>) за період з 13.04. по 19.04.2020</w:t>
      </w:r>
    </w:p>
    <w:p w:rsidR="00C52EE2" w:rsidRPr="00891CBC" w:rsidRDefault="00C52EE2" w:rsidP="00891C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EC" w:rsidRPr="00891CBC" w:rsidRDefault="001A19EC" w:rsidP="00C52EE2">
      <w:pPr>
        <w:spacing w:after="0"/>
        <w:jc w:val="right"/>
        <w:rPr>
          <w:rFonts w:ascii="Times New Roman" w:hAnsi="Times New Roman" w:cs="Times New Roman"/>
        </w:rPr>
      </w:pPr>
      <w:r w:rsidRPr="00891CBC">
        <w:rPr>
          <w:rFonts w:ascii="Times New Roman" w:hAnsi="Times New Roman" w:cs="Times New Roman"/>
        </w:rPr>
        <w:t xml:space="preserve">Таблиця </w:t>
      </w:r>
      <w:r w:rsidR="00C52EE2" w:rsidRPr="00891CBC">
        <w:rPr>
          <w:rFonts w:ascii="Times New Roman" w:hAnsi="Times New Roman" w:cs="Times New Roman"/>
        </w:rPr>
        <w:t>3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3969"/>
      </w:tblGrid>
      <w:tr w:rsidR="001A19EC" w:rsidRPr="00891CBC" w:rsidTr="005857B9">
        <w:tc>
          <w:tcPr>
            <w:tcW w:w="988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Усього повідомлень</w:t>
            </w:r>
          </w:p>
        </w:tc>
        <w:tc>
          <w:tcPr>
            <w:tcW w:w="1134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969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1A19EC" w:rsidRPr="00891CBC" w:rsidTr="005857B9">
        <w:tc>
          <w:tcPr>
            <w:tcW w:w="988" w:type="dxa"/>
          </w:tcPr>
          <w:p w:rsidR="001A19EC" w:rsidRPr="00891CBC" w:rsidRDefault="00C52EE2" w:rsidP="001A19EC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1CBC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134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</w:rPr>
              <w:t xml:space="preserve">Чоловіки – </w:t>
            </w:r>
            <w:r w:rsidR="00C52EE2" w:rsidRPr="00891CBC">
              <w:rPr>
                <w:rFonts w:ascii="Times New Roman" w:hAnsi="Times New Roman" w:cs="Times New Roman"/>
                <w:lang w:val="ru-RU"/>
              </w:rPr>
              <w:t>35</w:t>
            </w:r>
          </w:p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</w:rPr>
              <w:t xml:space="preserve">Жінки – </w:t>
            </w:r>
            <w:r w:rsidR="00C52EE2" w:rsidRPr="00891CBC">
              <w:rPr>
                <w:rFonts w:ascii="Times New Roman" w:hAnsi="Times New Roman" w:cs="Times New Roman"/>
                <w:lang w:val="ru-RU"/>
              </w:rPr>
              <w:t>12</w:t>
            </w:r>
          </w:p>
          <w:p w:rsidR="001A19EC" w:rsidRPr="00891CBC" w:rsidRDefault="001A19EC" w:rsidP="00C52EE2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</w:rPr>
              <w:t xml:space="preserve">Стать не відома - </w:t>
            </w:r>
            <w:r w:rsidR="00C52EE2" w:rsidRPr="00891CB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="00C52EE2" w:rsidRPr="00891CBC">
              <w:rPr>
                <w:rFonts w:ascii="Times New Roman" w:hAnsi="Times New Roman" w:cs="Times New Roman"/>
                <w:lang w:val="ru-RU"/>
              </w:rPr>
              <w:t>45</w:t>
            </w:r>
          </w:p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91CBC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 w:rsidR="00C52EE2" w:rsidRPr="00891CBC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891CBC">
              <w:rPr>
                <w:rFonts w:ascii="Times New Roman" w:hAnsi="Times New Roman" w:cs="Times New Roman"/>
              </w:rPr>
              <w:t>Середземномор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>’</w:t>
            </w:r>
            <w:r w:rsidRPr="00891CBC">
              <w:rPr>
                <w:rFonts w:ascii="Times New Roman" w:hAnsi="Times New Roman" w:cs="Times New Roman"/>
              </w:rPr>
              <w:t>я - 1</w:t>
            </w:r>
          </w:p>
        </w:tc>
        <w:tc>
          <w:tcPr>
            <w:tcW w:w="1559" w:type="dxa"/>
          </w:tcPr>
          <w:p w:rsidR="00C52EE2" w:rsidRPr="00891CBC" w:rsidRDefault="001A19EC" w:rsidP="00C52EE2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1CBC">
              <w:rPr>
                <w:rFonts w:ascii="Times New Roman" w:hAnsi="Times New Roman" w:cs="Times New Roman"/>
              </w:rPr>
              <w:t>18-</w:t>
            </w:r>
            <w:r w:rsidR="00C52EE2" w:rsidRPr="00891CBC">
              <w:rPr>
                <w:rFonts w:ascii="Times New Roman" w:hAnsi="Times New Roman" w:cs="Times New Roman"/>
                <w:lang w:val="en-US"/>
              </w:rPr>
              <w:t xml:space="preserve">78 </w:t>
            </w:r>
            <w:r w:rsidR="00C52EE2" w:rsidRPr="00891CBC">
              <w:rPr>
                <w:rFonts w:ascii="Times New Roman" w:hAnsi="Times New Roman" w:cs="Times New Roman"/>
              </w:rPr>
              <w:t>роки</w:t>
            </w:r>
            <w:r w:rsidR="00C52EE2" w:rsidRPr="00891CBC">
              <w:rPr>
                <w:rFonts w:ascii="Times New Roman" w:hAnsi="Times New Roman" w:cs="Times New Roman"/>
                <w:lang w:val="en-US"/>
              </w:rPr>
              <w:t xml:space="preserve"> - 45</w:t>
            </w:r>
          </w:p>
          <w:p w:rsidR="001A19EC" w:rsidRPr="00891CBC" w:rsidRDefault="001A19EC" w:rsidP="00C52EE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Вікова група невідома - </w:t>
            </w:r>
            <w:r w:rsidR="00C52EE2" w:rsidRPr="00891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1A19EC" w:rsidRPr="00891CBC" w:rsidRDefault="001A19EC" w:rsidP="001A19EC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91CBC">
              <w:rPr>
                <w:rFonts w:ascii="Times New Roman" w:hAnsi="Times New Roman" w:cs="Times New Roman"/>
              </w:rPr>
              <w:t>1</w:t>
            </w:r>
            <w:r w:rsidR="00F55FA2" w:rsidRPr="00891CBC">
              <w:rPr>
                <w:rFonts w:ascii="Times New Roman" w:hAnsi="Times New Roman" w:cs="Times New Roman"/>
              </w:rPr>
              <w:t>.</w:t>
            </w:r>
            <w:r w:rsidRPr="00891CBC">
              <w:rPr>
                <w:rFonts w:ascii="Times New Roman" w:hAnsi="Times New Roman" w:cs="Times New Roman"/>
              </w:rPr>
              <w:t xml:space="preserve"> Порушення серцевої системи – </w:t>
            </w:r>
            <w:r w:rsidRPr="00891CBC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891CBC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Pr="00891CBC">
              <w:rPr>
                <w:rFonts w:ascii="Times New Roman" w:hAnsi="Times New Roman" w:cs="Times New Roman"/>
              </w:rPr>
              <w:t xml:space="preserve"> (</w:t>
            </w:r>
            <w:r w:rsidR="0087236C" w:rsidRPr="00891CBC">
              <w:rPr>
                <w:rFonts w:ascii="Times New Roman" w:hAnsi="Times New Roman" w:cs="Times New Roman"/>
              </w:rPr>
              <w:t>11</w:t>
            </w:r>
            <w:r w:rsidRPr="00891CBC">
              <w:rPr>
                <w:rFonts w:ascii="Times New Roman" w:hAnsi="Times New Roman" w:cs="Times New Roman"/>
              </w:rPr>
              <w:t xml:space="preserve"> повідомлен</w:t>
            </w:r>
            <w:r w:rsidR="0087236C" w:rsidRPr="00891CBC">
              <w:rPr>
                <w:rFonts w:ascii="Times New Roman" w:hAnsi="Times New Roman" w:cs="Times New Roman"/>
              </w:rPr>
              <w:t>ь</w:t>
            </w:r>
            <w:r w:rsidRPr="00891CBC">
              <w:rPr>
                <w:rFonts w:ascii="Times New Roman" w:hAnsi="Times New Roman" w:cs="Times New Roman"/>
              </w:rPr>
              <w:t>)</w:t>
            </w:r>
            <w:r w:rsidR="0087236C" w:rsidRPr="00891CBC">
              <w:rPr>
                <w:rFonts w:ascii="Times New Roman" w:hAnsi="Times New Roman" w:cs="Times New Roman"/>
              </w:rPr>
              <w:t xml:space="preserve">. У 3 з них – супутнє лікування </w:t>
            </w:r>
            <w:r w:rsidR="0087236C" w:rsidRPr="00891CBC">
              <w:rPr>
                <w:rFonts w:ascii="Times New Roman" w:hAnsi="Times New Roman" w:cs="Times New Roman"/>
                <w:b/>
                <w:lang w:val="en-US"/>
              </w:rPr>
              <w:t>HCQ</w:t>
            </w:r>
            <w:r w:rsidR="0087236C" w:rsidRPr="00891CBC">
              <w:rPr>
                <w:rFonts w:ascii="Times New Roman" w:hAnsi="Times New Roman" w:cs="Times New Roman"/>
                <w:b/>
              </w:rPr>
              <w:t xml:space="preserve">. </w:t>
            </w:r>
            <w:r w:rsidR="0087236C" w:rsidRPr="00891CBC">
              <w:rPr>
                <w:rFonts w:ascii="Times New Roman" w:hAnsi="Times New Roman" w:cs="Times New Roman"/>
              </w:rPr>
              <w:t xml:space="preserve">Та 1 випадок – </w:t>
            </w:r>
            <w:r w:rsidR="0087236C" w:rsidRPr="00891CBC">
              <w:rPr>
                <w:rFonts w:ascii="Times New Roman" w:hAnsi="Times New Roman" w:cs="Times New Roman"/>
                <w:i/>
              </w:rPr>
              <w:t>зупинка серця.</w:t>
            </w:r>
          </w:p>
          <w:p w:rsidR="001A19EC" w:rsidRPr="00891CBC" w:rsidRDefault="001A19EC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2. Порушення </w:t>
            </w:r>
            <w:r w:rsidRPr="00891CBC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="0087236C" w:rsidRPr="00891CBC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="0087236C" w:rsidRPr="00891CBC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Pr="00891CBC">
              <w:rPr>
                <w:rFonts w:ascii="Times New Roman" w:hAnsi="Times New Roman" w:cs="Times New Roman"/>
              </w:rPr>
              <w:t xml:space="preserve"> – </w:t>
            </w:r>
            <w:r w:rsidR="00DB6123" w:rsidRPr="00891CBC">
              <w:rPr>
                <w:rFonts w:ascii="Times New Roman" w:hAnsi="Times New Roman" w:cs="Times New Roman"/>
                <w:i/>
              </w:rPr>
              <w:t>гепатит</w:t>
            </w:r>
            <w:r w:rsidRPr="00891CBC">
              <w:rPr>
                <w:rFonts w:ascii="Times New Roman" w:hAnsi="Times New Roman" w:cs="Times New Roman"/>
              </w:rPr>
              <w:t xml:space="preserve"> (</w:t>
            </w:r>
            <w:r w:rsidR="00DB6123" w:rsidRPr="00891CBC">
              <w:rPr>
                <w:rFonts w:ascii="Times New Roman" w:hAnsi="Times New Roman" w:cs="Times New Roman"/>
              </w:rPr>
              <w:t>5</w:t>
            </w:r>
            <w:r w:rsidRPr="00891CBC">
              <w:rPr>
                <w:rFonts w:ascii="Times New Roman" w:hAnsi="Times New Roman" w:cs="Times New Roman"/>
              </w:rPr>
              <w:t xml:space="preserve"> повідомлення)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1CBC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891CBC">
              <w:rPr>
                <w:rFonts w:ascii="Times New Roman" w:hAnsi="Times New Roman" w:cs="Times New Roman"/>
                <w:i/>
              </w:rPr>
              <w:t xml:space="preserve"> ураження</w:t>
            </w:r>
            <w:r w:rsidRPr="00891CBC">
              <w:rPr>
                <w:rFonts w:ascii="Times New Roman" w:hAnsi="Times New Roman" w:cs="Times New Roman"/>
              </w:rPr>
              <w:t xml:space="preserve"> – (4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r w:rsidRPr="00891CBC">
              <w:rPr>
                <w:rFonts w:ascii="Times New Roman" w:hAnsi="Times New Roman" w:cs="Times New Roman"/>
                <w:i/>
              </w:rPr>
              <w:t>підвищення рівня білірубіну</w:t>
            </w:r>
            <w:r w:rsidRPr="00891CBC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1CBC">
              <w:rPr>
                <w:rFonts w:ascii="Times New Roman" w:hAnsi="Times New Roman" w:cs="Times New Roman"/>
                <w:i/>
              </w:rPr>
              <w:t>холестаз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( 2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91CBC">
              <w:rPr>
                <w:rFonts w:ascii="Times New Roman" w:hAnsi="Times New Roman" w:cs="Times New Roman"/>
                <w:i/>
              </w:rPr>
              <w:t>гіпербілірубінемія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r w:rsidRPr="00891CBC">
              <w:rPr>
                <w:rFonts w:ascii="Times New Roman" w:hAnsi="Times New Roman" w:cs="Times New Roman"/>
                <w:i/>
              </w:rPr>
              <w:t xml:space="preserve">підвищення рівня </w:t>
            </w:r>
            <w:proofErr w:type="spellStart"/>
            <w:r w:rsidRPr="00891CBC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r w:rsidRPr="00891CBC">
              <w:rPr>
                <w:rFonts w:ascii="Times New Roman" w:hAnsi="Times New Roman" w:cs="Times New Roman"/>
                <w:i/>
              </w:rPr>
              <w:t>змішане ураження печінки</w:t>
            </w:r>
            <w:r w:rsidRPr="00891CBC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DB6123" w:rsidRPr="00891CBC" w:rsidRDefault="00DB6123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r w:rsidRPr="00891CBC">
              <w:rPr>
                <w:rFonts w:ascii="Times New Roman" w:hAnsi="Times New Roman" w:cs="Times New Roman"/>
                <w:i/>
              </w:rPr>
              <w:t>гострий гепатит</w:t>
            </w:r>
            <w:r w:rsidRPr="00891CBC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8A7D90" w:rsidRPr="00891CBC" w:rsidRDefault="008A7D90" w:rsidP="00DB612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Шлунково-кишкові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розлади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діарея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(11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повідомлень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>).</w:t>
            </w:r>
          </w:p>
        </w:tc>
      </w:tr>
    </w:tbl>
    <w:p w:rsidR="001A19EC" w:rsidRPr="00891CBC" w:rsidRDefault="001A19EC" w:rsidP="007531F9">
      <w:pPr>
        <w:spacing w:after="0"/>
        <w:jc w:val="both"/>
        <w:rPr>
          <w:rFonts w:ascii="Times New Roman" w:hAnsi="Times New Roman" w:cs="Times New Roman"/>
        </w:rPr>
      </w:pPr>
    </w:p>
    <w:p w:rsidR="008A7D90" w:rsidRPr="00891CBC" w:rsidRDefault="008A7D90" w:rsidP="008A7D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BC">
        <w:rPr>
          <w:rFonts w:ascii="Times New Roman" w:hAnsi="Times New Roman" w:cs="Times New Roman"/>
          <w:b/>
          <w:sz w:val="24"/>
          <w:szCs w:val="24"/>
        </w:rPr>
        <w:t xml:space="preserve">Повідомлення про ПР при застосуванні </w:t>
      </w:r>
      <w:proofErr w:type="spellStart"/>
      <w:r w:rsidR="00317ADD" w:rsidRPr="00891CBC">
        <w:rPr>
          <w:rFonts w:ascii="Times New Roman" w:hAnsi="Times New Roman" w:cs="Times New Roman"/>
          <w:b/>
          <w:sz w:val="24"/>
          <w:szCs w:val="24"/>
        </w:rPr>
        <w:t>Ремдезевір</w:t>
      </w:r>
      <w:proofErr w:type="spellEnd"/>
      <w:r w:rsidRPr="00891CB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317ADD" w:rsidRPr="00891CBC">
        <w:rPr>
          <w:rFonts w:ascii="Times New Roman" w:hAnsi="Times New Roman" w:cs="Times New Roman"/>
          <w:b/>
          <w:sz w:val="24"/>
          <w:szCs w:val="24"/>
          <w:lang w:val="en-US"/>
        </w:rPr>
        <w:t>RMD</w:t>
      </w:r>
      <w:r w:rsidRPr="00891CBC">
        <w:rPr>
          <w:rFonts w:ascii="Times New Roman" w:hAnsi="Times New Roman" w:cs="Times New Roman"/>
          <w:b/>
          <w:sz w:val="24"/>
          <w:szCs w:val="24"/>
        </w:rPr>
        <w:t>) за період з 13.04. по 19.04.2020</w:t>
      </w:r>
    </w:p>
    <w:p w:rsidR="008A7D90" w:rsidRPr="00891CBC" w:rsidRDefault="008A7D90" w:rsidP="008A7D90">
      <w:pPr>
        <w:spacing w:after="0"/>
        <w:jc w:val="both"/>
        <w:rPr>
          <w:rFonts w:ascii="Times New Roman" w:hAnsi="Times New Roman" w:cs="Times New Roman"/>
          <w:b/>
        </w:rPr>
      </w:pPr>
    </w:p>
    <w:p w:rsidR="008A7D90" w:rsidRPr="00891CBC" w:rsidRDefault="008A7D90" w:rsidP="008A7D90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891CBC">
        <w:rPr>
          <w:rFonts w:ascii="Times New Roman" w:hAnsi="Times New Roman" w:cs="Times New Roman"/>
        </w:rPr>
        <w:t xml:space="preserve">Таблиця </w:t>
      </w:r>
      <w:r w:rsidR="00317ADD" w:rsidRPr="00891CBC">
        <w:rPr>
          <w:rFonts w:ascii="Times New Roman" w:hAnsi="Times New Roman" w:cs="Times New Roman"/>
        </w:rPr>
        <w:t>4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3969"/>
      </w:tblGrid>
      <w:tr w:rsidR="008A7D90" w:rsidRPr="00891CBC" w:rsidTr="005857B9">
        <w:tc>
          <w:tcPr>
            <w:tcW w:w="988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Усього повідомлень</w:t>
            </w:r>
          </w:p>
        </w:tc>
        <w:tc>
          <w:tcPr>
            <w:tcW w:w="1134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3969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1CB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8A7D90" w:rsidRPr="00891CBC" w:rsidTr="005857B9">
        <w:tc>
          <w:tcPr>
            <w:tcW w:w="988" w:type="dxa"/>
          </w:tcPr>
          <w:p w:rsidR="008A7D90" w:rsidRPr="00891CBC" w:rsidRDefault="00F55FA2" w:rsidP="008A7D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1CBC">
              <w:rPr>
                <w:rFonts w:ascii="Times New Roman" w:hAnsi="Times New Roman" w:cs="Times New Roman"/>
              </w:rPr>
              <w:t xml:space="preserve">Чоловіки – </w:t>
            </w:r>
            <w:r w:rsidR="00317ADD" w:rsidRPr="00891CBC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1CBC">
              <w:rPr>
                <w:rFonts w:ascii="Times New Roman" w:hAnsi="Times New Roman" w:cs="Times New Roman"/>
              </w:rPr>
              <w:t xml:space="preserve">Жінки – </w:t>
            </w:r>
            <w:r w:rsidR="00317ADD" w:rsidRPr="00891CBC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="00317ADD" w:rsidRPr="00891CBC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7D90" w:rsidRPr="00891CBC" w:rsidRDefault="00317ADD" w:rsidP="008A7D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  <w:lang w:val="en-US"/>
              </w:rPr>
              <w:t>39</w:t>
            </w:r>
            <w:r w:rsidR="008A7D90" w:rsidRPr="00891CBC">
              <w:rPr>
                <w:rFonts w:ascii="Times New Roman" w:hAnsi="Times New Roman" w:cs="Times New Roman"/>
              </w:rPr>
              <w:t>-</w:t>
            </w:r>
            <w:r w:rsidRPr="00891CBC">
              <w:rPr>
                <w:rFonts w:ascii="Times New Roman" w:hAnsi="Times New Roman" w:cs="Times New Roman"/>
                <w:lang w:val="en-US"/>
              </w:rPr>
              <w:t>81</w:t>
            </w:r>
            <w:r w:rsidR="008A7D90" w:rsidRPr="00891C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7D90" w:rsidRPr="00891CBC">
              <w:rPr>
                <w:rFonts w:ascii="Times New Roman" w:hAnsi="Times New Roman" w:cs="Times New Roman"/>
              </w:rPr>
              <w:t>рок</w:t>
            </w:r>
            <w:r w:rsidRPr="00891CBC">
              <w:rPr>
                <w:rFonts w:ascii="Times New Roman" w:hAnsi="Times New Roman" w:cs="Times New Roman"/>
              </w:rPr>
              <w:t>ів</w:t>
            </w:r>
            <w:r w:rsidR="008A7D90" w:rsidRPr="00891CBC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891CBC">
              <w:rPr>
                <w:rFonts w:ascii="Times New Roman" w:hAnsi="Times New Roman" w:cs="Times New Roman"/>
              </w:rPr>
              <w:t>7</w:t>
            </w:r>
          </w:p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A7D90" w:rsidRPr="00891CBC" w:rsidRDefault="008A7D90" w:rsidP="00F55FA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>1</w:t>
            </w:r>
            <w:r w:rsidR="00F55FA2" w:rsidRPr="00891CBC">
              <w:rPr>
                <w:rFonts w:ascii="Times New Roman" w:hAnsi="Times New Roman" w:cs="Times New Roman"/>
              </w:rPr>
              <w:t>.</w:t>
            </w:r>
            <w:r w:rsidRPr="00891CBC">
              <w:rPr>
                <w:rFonts w:ascii="Times New Roman" w:hAnsi="Times New Roman" w:cs="Times New Roman"/>
              </w:rPr>
              <w:t xml:space="preserve">  Порушення </w:t>
            </w:r>
            <w:r w:rsidRPr="00891CBC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Pr="00891CBC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Pr="00891CBC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Pr="00891CBC">
              <w:rPr>
                <w:rFonts w:ascii="Times New Roman" w:hAnsi="Times New Roman" w:cs="Times New Roman"/>
              </w:rPr>
              <w:t xml:space="preserve"> – </w:t>
            </w:r>
          </w:p>
          <w:p w:rsidR="008A7D90" w:rsidRPr="00891CBC" w:rsidRDefault="008A7D90" w:rsidP="008A7D9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891CBC">
              <w:rPr>
                <w:rFonts w:ascii="Times New Roman" w:hAnsi="Times New Roman" w:cs="Times New Roman"/>
              </w:rPr>
              <w:t xml:space="preserve">- </w:t>
            </w:r>
            <w:r w:rsidRPr="00891CBC">
              <w:rPr>
                <w:rFonts w:ascii="Times New Roman" w:hAnsi="Times New Roman" w:cs="Times New Roman"/>
                <w:i/>
              </w:rPr>
              <w:t xml:space="preserve">підвищення рівня </w:t>
            </w:r>
            <w:proofErr w:type="spellStart"/>
            <w:r w:rsidRPr="00891CBC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891CBC">
              <w:rPr>
                <w:rFonts w:ascii="Times New Roman" w:hAnsi="Times New Roman" w:cs="Times New Roman"/>
              </w:rPr>
              <w:t xml:space="preserve"> (</w:t>
            </w:r>
            <w:r w:rsidR="00852EA8" w:rsidRPr="00891CBC">
              <w:rPr>
                <w:rFonts w:ascii="Times New Roman" w:hAnsi="Times New Roman" w:cs="Times New Roman"/>
              </w:rPr>
              <w:t>2</w:t>
            </w:r>
            <w:r w:rsidRPr="00891C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</w:rPr>
              <w:t>.)</w:t>
            </w:r>
          </w:p>
          <w:p w:rsidR="00852EA8" w:rsidRPr="00891CBC" w:rsidRDefault="00852EA8" w:rsidP="00852EA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</w:rPr>
              <w:t>2</w:t>
            </w:r>
            <w:r w:rsidR="008A7D90" w:rsidRPr="00891C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Порушення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з боку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дихальної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="008A7D90" w:rsidRPr="00891CBC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легенева</w:t>
            </w:r>
            <w:proofErr w:type="spellEnd"/>
            <w:r w:rsidRPr="00891CB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емболія</w:t>
            </w:r>
            <w:proofErr w:type="spellEnd"/>
            <w:r w:rsidR="008A7D90" w:rsidRPr="00891CB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891CBC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>.</w:t>
            </w:r>
            <w:r w:rsidR="008A7D90" w:rsidRPr="00891CB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8A7D90" w:rsidRPr="00891CBC" w:rsidRDefault="00852EA8" w:rsidP="00852EA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Порушення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з боку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нирок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сечовидільної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B27FB" w:rsidRPr="00891CBC">
              <w:rPr>
                <w:rFonts w:ascii="Times New Roman" w:hAnsi="Times New Roman" w:cs="Times New Roman"/>
                <w:lang w:val="ru-RU"/>
              </w:rPr>
              <w:t>–</w:t>
            </w:r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B27FB" w:rsidRPr="00891CBC">
              <w:rPr>
                <w:rFonts w:ascii="Times New Roman" w:hAnsi="Times New Roman" w:cs="Times New Roman"/>
                <w:i/>
                <w:lang w:val="ru-RU"/>
              </w:rPr>
              <w:t>ниркова</w:t>
            </w:r>
            <w:proofErr w:type="spellEnd"/>
            <w:r w:rsidR="005B27FB" w:rsidRPr="00891CB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5B27FB" w:rsidRPr="00891CBC">
              <w:rPr>
                <w:rFonts w:ascii="Times New Roman" w:hAnsi="Times New Roman" w:cs="Times New Roman"/>
                <w:i/>
                <w:lang w:val="ru-RU"/>
              </w:rPr>
              <w:t>недостатність</w:t>
            </w:r>
            <w:proofErr w:type="spellEnd"/>
            <w:r w:rsidR="005B27FB" w:rsidRPr="00891CBC">
              <w:rPr>
                <w:rFonts w:ascii="Times New Roman" w:hAnsi="Times New Roman" w:cs="Times New Roman"/>
                <w:lang w:val="ru-RU"/>
              </w:rPr>
              <w:t xml:space="preserve"> (1 </w:t>
            </w:r>
            <w:proofErr w:type="spellStart"/>
            <w:r w:rsidR="005B27FB" w:rsidRPr="00891CBC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="005B27FB" w:rsidRPr="00891CBC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5B27FB" w:rsidRPr="00891CBC" w:rsidRDefault="005B27FB" w:rsidP="00852EA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підвищення</w:t>
            </w:r>
            <w:proofErr w:type="spellEnd"/>
            <w:r w:rsidRPr="00891CB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креатиніну</w:t>
            </w:r>
            <w:proofErr w:type="spellEnd"/>
            <w:r w:rsidRPr="00891CBC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сечовини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(1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5B27FB" w:rsidRPr="00891CBC" w:rsidRDefault="005B27FB" w:rsidP="00852EA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Порушення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з боку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шкіри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підшкірної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клітковини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891CBC">
              <w:rPr>
                <w:rFonts w:ascii="Times New Roman" w:hAnsi="Times New Roman" w:cs="Times New Roman"/>
                <w:i/>
                <w:lang w:val="ru-RU"/>
              </w:rPr>
              <w:t>висип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F0234F" w:rsidRPr="00891CBC">
              <w:rPr>
                <w:rFonts w:ascii="Times New Roman" w:hAnsi="Times New Roman" w:cs="Times New Roman"/>
                <w:lang w:val="ru-RU"/>
              </w:rPr>
              <w:t>1</w:t>
            </w:r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5B27FB" w:rsidRPr="00891CBC" w:rsidRDefault="005B27FB" w:rsidP="00852EA8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CBC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макулопапульозний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висип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 xml:space="preserve"> (1 </w:t>
            </w:r>
            <w:proofErr w:type="spellStart"/>
            <w:r w:rsidRPr="00891CBC">
              <w:rPr>
                <w:rFonts w:ascii="Times New Roman" w:hAnsi="Times New Roman" w:cs="Times New Roman"/>
                <w:lang w:val="ru-RU"/>
              </w:rPr>
              <w:t>пов</w:t>
            </w:r>
            <w:proofErr w:type="spellEnd"/>
            <w:r w:rsidRPr="00891CBC">
              <w:rPr>
                <w:rFonts w:ascii="Times New Roman" w:hAnsi="Times New Roman" w:cs="Times New Roman"/>
                <w:lang w:val="ru-RU"/>
              </w:rPr>
              <w:t>.)</w:t>
            </w:r>
          </w:p>
          <w:p w:rsidR="00852EA8" w:rsidRPr="00891CBC" w:rsidRDefault="00852EA8" w:rsidP="00852EA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D90" w:rsidRPr="00891CBC" w:rsidRDefault="008A7D90" w:rsidP="008A7D90">
      <w:pPr>
        <w:spacing w:after="0"/>
        <w:jc w:val="both"/>
        <w:rPr>
          <w:rFonts w:ascii="Times New Roman" w:hAnsi="Times New Roman" w:cs="Times New Roman"/>
        </w:rPr>
      </w:pPr>
    </w:p>
    <w:p w:rsidR="00377E37" w:rsidRPr="00891CBC" w:rsidRDefault="00377E37" w:rsidP="00377E3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CBC">
        <w:rPr>
          <w:rFonts w:ascii="Times New Roman" w:hAnsi="Times New Roman" w:cs="Times New Roman"/>
          <w:b/>
          <w:i/>
          <w:sz w:val="24"/>
          <w:szCs w:val="24"/>
        </w:rPr>
        <w:t xml:space="preserve">Повідомлення про побічні реакції що надані до </w:t>
      </w:r>
      <w:proofErr w:type="spellStart"/>
      <w:r w:rsidRPr="00891CBC">
        <w:rPr>
          <w:rFonts w:ascii="Times New Roman" w:hAnsi="Times New Roman" w:cs="Times New Roman"/>
          <w:b/>
          <w:i/>
          <w:sz w:val="24"/>
          <w:szCs w:val="24"/>
        </w:rPr>
        <w:t>VigiBase</w:t>
      </w:r>
      <w:proofErr w:type="spellEnd"/>
      <w:r w:rsidRPr="00891CBC">
        <w:rPr>
          <w:rFonts w:ascii="Times New Roman" w:hAnsi="Times New Roman" w:cs="Times New Roman"/>
          <w:b/>
          <w:i/>
          <w:sz w:val="24"/>
          <w:szCs w:val="24"/>
        </w:rPr>
        <w:t xml:space="preserve"> та стосуються лікарських засобів, що  не входять до випробовування «</w:t>
      </w:r>
      <w:r w:rsidRPr="00891CBC">
        <w:rPr>
          <w:rFonts w:ascii="Times New Roman" w:hAnsi="Times New Roman" w:cs="Times New Roman"/>
          <w:b/>
          <w:i/>
          <w:sz w:val="24"/>
          <w:szCs w:val="24"/>
        </w:rPr>
        <w:t>SOLIDARITY</w:t>
      </w:r>
      <w:r w:rsidRPr="00891CBC">
        <w:rPr>
          <w:rFonts w:ascii="Times New Roman" w:hAnsi="Times New Roman" w:cs="Times New Roman"/>
          <w:b/>
          <w:i/>
          <w:sz w:val="24"/>
          <w:szCs w:val="24"/>
        </w:rPr>
        <w:t>», але використовувались для лікування COVID19.</w:t>
      </w:r>
    </w:p>
    <w:p w:rsidR="00377E37" w:rsidRPr="00891CBC" w:rsidRDefault="00377E37" w:rsidP="00377E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CBC">
        <w:rPr>
          <w:rFonts w:ascii="Times New Roman" w:hAnsi="Times New Roman" w:cs="Times New Roman"/>
          <w:sz w:val="24"/>
          <w:szCs w:val="24"/>
        </w:rPr>
        <w:t xml:space="preserve">Більшість повідомлень, що виявлені за результатами пошуку, містять інформацію про використання інших </w:t>
      </w:r>
      <w:r w:rsidRPr="00891CBC">
        <w:rPr>
          <w:rFonts w:ascii="Times New Roman" w:hAnsi="Times New Roman" w:cs="Times New Roman"/>
          <w:sz w:val="24"/>
          <w:szCs w:val="24"/>
        </w:rPr>
        <w:t>ЛЗ</w:t>
      </w:r>
      <w:r w:rsidRPr="00891CBC">
        <w:rPr>
          <w:rFonts w:ascii="Times New Roman" w:hAnsi="Times New Roman" w:cs="Times New Roman"/>
          <w:sz w:val="24"/>
          <w:szCs w:val="24"/>
        </w:rPr>
        <w:t xml:space="preserve"> для лікування COVID19.  До них відносяться інгібітори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інтерлейкіну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силтуксимаб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анакінра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), селективні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імунодепресанти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 (JAK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барицитиніб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, інгібітор термінального комплементу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екулізумаб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, антагоніст рецептора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брадикініну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ікатибант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>) та противірусні препарати (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озельтамівір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дарунавір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 окремо та в поєднанні з </w:t>
      </w:r>
      <w:proofErr w:type="spellStart"/>
      <w:r w:rsidRPr="00891CBC">
        <w:rPr>
          <w:rFonts w:ascii="Times New Roman" w:hAnsi="Times New Roman" w:cs="Times New Roman"/>
          <w:sz w:val="24"/>
          <w:szCs w:val="24"/>
        </w:rPr>
        <w:t>кобіцистатом</w:t>
      </w:r>
      <w:proofErr w:type="spellEnd"/>
      <w:r w:rsidRPr="00891CBC">
        <w:rPr>
          <w:rFonts w:ascii="Times New Roman" w:hAnsi="Times New Roman" w:cs="Times New Roman"/>
          <w:sz w:val="24"/>
          <w:szCs w:val="24"/>
        </w:rPr>
        <w:t xml:space="preserve">, інтерферон бета). У міру того, як накопичуватимуться дані, такі структури можуть бути описані більш детально у наступних щотижневих звітах. </w:t>
      </w:r>
    </w:p>
    <w:p w:rsidR="000A2750" w:rsidRPr="00891CBC" w:rsidRDefault="000A2750" w:rsidP="000A2750">
      <w:pPr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1CBC">
        <w:rPr>
          <w:rFonts w:ascii="Times New Roman" w:eastAsia="Calibri" w:hAnsi="Times New Roman" w:cs="Times New Roman"/>
          <w:b/>
          <w:sz w:val="24"/>
          <w:szCs w:val="24"/>
        </w:rPr>
        <w:t>Препарати, що входять до категорії «Інші лікарські засоби»</w:t>
      </w:r>
    </w:p>
    <w:p w:rsidR="000A2750" w:rsidRPr="00891CBC" w:rsidRDefault="000A2750" w:rsidP="000A2750">
      <w:pPr>
        <w:spacing w:before="120"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891CBC">
        <w:rPr>
          <w:rFonts w:ascii="Times New Roman" w:eastAsia="Calibri" w:hAnsi="Times New Roman" w:cs="Times New Roman"/>
        </w:rPr>
        <w:t>Таблиця 5</w:t>
      </w:r>
    </w:p>
    <w:p w:rsidR="00377E37" w:rsidRDefault="000A2750" w:rsidP="007531F9">
      <w:pPr>
        <w:spacing w:after="0"/>
        <w:jc w:val="both"/>
        <w:rPr>
          <w:i/>
        </w:rPr>
      </w:pPr>
      <w:r w:rsidRPr="000A2750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EF3C711" wp14:editId="6928E144">
            <wp:extent cx="6143625" cy="378206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750" w:rsidRPr="00891CBC" w:rsidRDefault="000A2750" w:rsidP="00891CBC">
      <w:pPr>
        <w:spacing w:after="0"/>
        <w:ind w:firstLine="708"/>
        <w:jc w:val="both"/>
        <w:rPr>
          <w:i/>
          <w:sz w:val="24"/>
          <w:szCs w:val="24"/>
        </w:rPr>
      </w:pPr>
      <w:bookmarkStart w:id="0" w:name="_GoBack"/>
      <w:bookmarkEnd w:id="0"/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 Підрахунки включають підозрювані, взаємодіючі та супутні </w:t>
      </w:r>
      <w:r w:rsidRPr="00891CBC">
        <w:rPr>
          <w:rFonts w:ascii="Times New Roman" w:eastAsia="Calibri" w:hAnsi="Times New Roman" w:cs="Times New Roman"/>
          <w:sz w:val="24"/>
          <w:szCs w:val="24"/>
        </w:rPr>
        <w:t>ЛЗ</w:t>
      </w:r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, якщо хоча б один із </w:t>
      </w:r>
      <w:r w:rsidRPr="00891CBC">
        <w:rPr>
          <w:rFonts w:ascii="Times New Roman" w:eastAsia="Calibri" w:hAnsi="Times New Roman" w:cs="Times New Roman"/>
          <w:sz w:val="24"/>
          <w:szCs w:val="24"/>
        </w:rPr>
        <w:t>ЛЗ</w:t>
      </w:r>
      <w:r w:rsidRPr="00891CBC">
        <w:rPr>
          <w:rFonts w:ascii="Times New Roman" w:eastAsia="Calibri" w:hAnsi="Times New Roman" w:cs="Times New Roman"/>
          <w:sz w:val="24"/>
          <w:szCs w:val="24"/>
        </w:rPr>
        <w:t xml:space="preserve">, описаних у цьому звіті, було зазначено як підозрюваний або взаємодіючий у кожному звіті. Оскільки один звіт може містити кілька </w:t>
      </w:r>
      <w:r w:rsidR="00891CBC" w:rsidRPr="00891CBC">
        <w:rPr>
          <w:rFonts w:ascii="Times New Roman" w:eastAsia="Calibri" w:hAnsi="Times New Roman" w:cs="Times New Roman"/>
          <w:sz w:val="24"/>
          <w:szCs w:val="24"/>
        </w:rPr>
        <w:t>ЛЗ</w:t>
      </w:r>
      <w:r w:rsidRPr="00891CBC">
        <w:rPr>
          <w:rFonts w:ascii="Times New Roman" w:eastAsia="Calibri" w:hAnsi="Times New Roman" w:cs="Times New Roman"/>
          <w:sz w:val="24"/>
          <w:szCs w:val="24"/>
        </w:rPr>
        <w:t>, рядки не є взаємовиключними. Усього (</w:t>
      </w:r>
      <w:proofErr w:type="spellStart"/>
      <w:r w:rsidRPr="00891CBC">
        <w:rPr>
          <w:rFonts w:ascii="Times New Roman" w:eastAsia="Calibri" w:hAnsi="Times New Roman" w:cs="Times New Roman"/>
          <w:sz w:val="24"/>
          <w:szCs w:val="24"/>
        </w:rPr>
        <w:t>Total</w:t>
      </w:r>
      <w:proofErr w:type="spellEnd"/>
      <w:r w:rsidRPr="00891CBC">
        <w:rPr>
          <w:rFonts w:ascii="Times New Roman" w:eastAsia="Calibri" w:hAnsi="Times New Roman" w:cs="Times New Roman"/>
          <w:sz w:val="24"/>
          <w:szCs w:val="24"/>
        </w:rPr>
        <w:t>)- це загальна кількість окремих повідомлень.</w:t>
      </w:r>
    </w:p>
    <w:sectPr w:rsidR="000A2750" w:rsidRPr="00891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1F"/>
    <w:rsid w:val="000A2750"/>
    <w:rsid w:val="000F0701"/>
    <w:rsid w:val="000F52B5"/>
    <w:rsid w:val="001217FE"/>
    <w:rsid w:val="001A19EC"/>
    <w:rsid w:val="001E1E71"/>
    <w:rsid w:val="00273289"/>
    <w:rsid w:val="002B212C"/>
    <w:rsid w:val="002E131F"/>
    <w:rsid w:val="00317ADD"/>
    <w:rsid w:val="00377E37"/>
    <w:rsid w:val="00420B6C"/>
    <w:rsid w:val="00446400"/>
    <w:rsid w:val="00517DC4"/>
    <w:rsid w:val="005B27FB"/>
    <w:rsid w:val="006A330E"/>
    <w:rsid w:val="00726F6A"/>
    <w:rsid w:val="00735FC4"/>
    <w:rsid w:val="007531F9"/>
    <w:rsid w:val="00777108"/>
    <w:rsid w:val="00852EA8"/>
    <w:rsid w:val="0087236C"/>
    <w:rsid w:val="00891CBC"/>
    <w:rsid w:val="008A7D90"/>
    <w:rsid w:val="009022A2"/>
    <w:rsid w:val="009E64D7"/>
    <w:rsid w:val="00A47979"/>
    <w:rsid w:val="00AF4A8A"/>
    <w:rsid w:val="00C44C85"/>
    <w:rsid w:val="00C52EE2"/>
    <w:rsid w:val="00D517DA"/>
    <w:rsid w:val="00D5494E"/>
    <w:rsid w:val="00DB47A0"/>
    <w:rsid w:val="00DB6123"/>
    <w:rsid w:val="00DF608B"/>
    <w:rsid w:val="00ED30AB"/>
    <w:rsid w:val="00F0234F"/>
    <w:rsid w:val="00F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CCCA-E4F6-420B-A0F5-1017310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Хоромська Олена Леонідівна</cp:lastModifiedBy>
  <cp:revision>7</cp:revision>
  <dcterms:created xsi:type="dcterms:W3CDTF">2020-05-06T06:28:00Z</dcterms:created>
  <dcterms:modified xsi:type="dcterms:W3CDTF">2020-05-07T07:27:00Z</dcterms:modified>
</cp:coreProperties>
</file>