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6DD0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sadovnychyi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ovnychyi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6DD0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МІНІСТЕРСТВО ОХОРОНИ ЗДОРОВ'Я УКРАЇНИ</w:t>
      </w:r>
    </w:p>
    <w:p w:rsidR="00000000" w:rsidRDefault="00D76DD0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p w:rsidR="00000000" w:rsidRDefault="00D76DD0">
      <w:pPr>
        <w:pStyle w:val="a3"/>
        <w:jc w:val="center"/>
      </w:pPr>
      <w:r>
        <w:rPr>
          <w:b/>
          <w:bCs/>
        </w:rPr>
        <w:t>від 20 липня 2011 року N 427</w:t>
      </w:r>
    </w:p>
    <w:p w:rsidR="00000000" w:rsidRDefault="00D76DD0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Єдиного термінологічного словника (Глосарій) з питань управління якості медичної допомоги</w:t>
      </w:r>
    </w:p>
    <w:p w:rsidR="00000000" w:rsidRDefault="00D76DD0">
      <w:pPr>
        <w:pStyle w:val="a3"/>
        <w:jc w:val="both"/>
      </w:pPr>
      <w:r>
        <w:t>Відповідно до Національного плану дій на 2011 рік щ</w:t>
      </w:r>
      <w:r>
        <w:t xml:space="preserve">одо впровадження Програми економічних реформ на 2010 - 2014 роки "Заможне суспільство, конкурентоспроможна економіка, ефективна держава", затвердженого </w:t>
      </w:r>
      <w:r>
        <w:rPr>
          <w:color w:val="0000FF"/>
        </w:rPr>
        <w:t>Указом Президента України від 27 квітня 2011 року N 504/2011</w:t>
      </w:r>
      <w:r>
        <w:t xml:space="preserve">, на виконання </w:t>
      </w:r>
      <w:r>
        <w:rPr>
          <w:color w:val="0000FF"/>
        </w:rPr>
        <w:t>наказу МОЗ України від 11 тра</w:t>
      </w:r>
      <w:r>
        <w:rPr>
          <w:color w:val="0000FF"/>
        </w:rPr>
        <w:t>вня 2011 року N 278 "Про затвердження плану заходів на 2011 щодо впровадження Програми економічних реформ на 2010 - 2014 роки "Заможне суспільство, конкурентоспроможна економіка, ефективна держава"</w:t>
      </w:r>
      <w:r>
        <w:t xml:space="preserve"> та з метою уніфікації медичної роботи </w:t>
      </w:r>
      <w:r>
        <w:rPr>
          <w:b/>
          <w:bCs/>
        </w:rPr>
        <w:t>наказую</w:t>
      </w:r>
      <w:r>
        <w:t>:</w:t>
      </w:r>
    </w:p>
    <w:p w:rsidR="00000000" w:rsidRDefault="00D76DD0">
      <w:pPr>
        <w:pStyle w:val="a3"/>
        <w:jc w:val="both"/>
      </w:pPr>
      <w:r>
        <w:t>1. Затверди</w:t>
      </w:r>
      <w:r>
        <w:t>ти Єдиний термінологічний словник (далі - Глосарій) з питань управління якості медичної допомоги (додається).</w:t>
      </w:r>
    </w:p>
    <w:p w:rsidR="00000000" w:rsidRDefault="00D76DD0">
      <w:pPr>
        <w:pStyle w:val="a3"/>
        <w:jc w:val="both"/>
      </w:pPr>
      <w:r>
        <w:t xml:space="preserve">2. Міністру охорони здоров'я АР Крим, начальникам управлінь (головних управлінь) охорони здоров'я обласних, Київської та Севастопольської міських </w:t>
      </w:r>
      <w:r>
        <w:t>державних адміністрацій забезпечити впровадження в медичну практику Глосарія.</w:t>
      </w:r>
    </w:p>
    <w:p w:rsidR="00000000" w:rsidRDefault="00D76DD0">
      <w:pPr>
        <w:pStyle w:val="a3"/>
        <w:jc w:val="both"/>
      </w:pPr>
      <w:r>
        <w:t>3. Контроль за виконанням наказу покласти на першого заступника Міністра охорони здоров'я України Моісеєнко Р. О.</w:t>
      </w:r>
    </w:p>
    <w:p w:rsidR="00000000" w:rsidRDefault="00D76DD0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D76DD0">
            <w:pPr>
              <w:pStyle w:val="a3"/>
              <w:jc w:val="center"/>
            </w:pPr>
            <w:r>
              <w:rPr>
                <w:b/>
                <w:bCs/>
              </w:rPr>
              <w:t>Міністр</w:t>
            </w:r>
          </w:p>
        </w:tc>
        <w:tc>
          <w:tcPr>
            <w:tcW w:w="2500" w:type="pct"/>
            <w:hideMark/>
          </w:tcPr>
          <w:p w:rsidR="00000000" w:rsidRDefault="00D76DD0">
            <w:pPr>
              <w:pStyle w:val="a3"/>
              <w:jc w:val="center"/>
            </w:pPr>
            <w:r>
              <w:rPr>
                <w:b/>
                <w:bCs/>
              </w:rPr>
              <w:t>О. В. Аніщенко</w:t>
            </w:r>
          </w:p>
        </w:tc>
      </w:tr>
    </w:tbl>
    <w:p w:rsidR="00000000" w:rsidRDefault="00D76DD0">
      <w:pPr>
        <w:pStyle w:val="a3"/>
        <w:jc w:val="both"/>
      </w:pPr>
      <w:r>
        <w:br w:type="textWrapping" w:clear="all"/>
      </w:r>
    </w:p>
    <w:p w:rsidR="00000000" w:rsidRDefault="00D76DD0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0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D76DD0">
            <w:pPr>
              <w:pStyle w:val="a3"/>
              <w:jc w:val="both"/>
            </w:pPr>
            <w:r>
              <w:t>ЗАТВЕРДЖЕНО</w:t>
            </w:r>
            <w:r>
              <w:br/>
              <w:t>наказ МОЗ України</w:t>
            </w:r>
            <w:r>
              <w:br/>
              <w:t>20.0</w:t>
            </w:r>
            <w:r>
              <w:t>7.2011 N 427</w:t>
            </w:r>
          </w:p>
        </w:tc>
      </w:tr>
    </w:tbl>
    <w:p w:rsidR="00000000" w:rsidRDefault="00D76DD0">
      <w:pPr>
        <w:pStyle w:val="a3"/>
        <w:jc w:val="both"/>
      </w:pPr>
      <w:r>
        <w:br w:type="textWrapping" w:clear="all"/>
      </w:r>
    </w:p>
    <w:p w:rsidR="00000000" w:rsidRDefault="00D76DD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lastRenderedPageBreak/>
        <w:t>Єдиний термінологічний словник (Глосарій) з питань управління якості медичної допомоги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8"/>
        <w:gridCol w:w="5991"/>
      </w:tblGrid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Якість</w:t>
            </w:r>
            <w:r>
              <w:br/>
            </w:r>
            <w:r>
              <w:rPr>
                <w:b/>
                <w:bCs/>
              </w:rPr>
              <w:t>(Quality)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Сукупність властивостей і характеристик продукції, які надають їй здатність задовольняти обумовлені або передбачувані потреби.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 xml:space="preserve">(Словник </w:t>
            </w:r>
            <w:r>
              <w:rPr>
                <w:i/>
                <w:iCs/>
              </w:rPr>
              <w:t>термінів з якості складений співробітниками журналу Quality Progress Д. Нелсеном і С. Деніелс, членами Американської організації якості Д. Боссартом, Р. Д. Рейдом, Дж. Руні і С. Руні, надрукований у 2007 році в червневому номері журналу Quality Progress.)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Адаптація клінічних рекомендацій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Процес аналізу прототипів з точки зору їх відповідності національній ресурсній і нормативній базі, можливості реалізації в Україні та фінансового забезпечення, використаних термінів та лікарських спеціальностей, переліку д</w:t>
            </w:r>
            <w:r>
              <w:t>озволених до застосування в Україні лікарських засобів та обладнання, з подальшим обґрунтуванням заходів, необхідних для імплементації положень КН з високим рівнем доведеності.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 xml:space="preserve">Наказ МОЗ України та АМН України від 19.02.2009 р. N 102/18 "Про затвердження </w:t>
            </w:r>
            <w:r>
              <w:rPr>
                <w:i/>
                <w:iCs/>
                <w:color w:val="0000FF"/>
              </w:rPr>
              <w:t>методичних рекомендацій "Уніфікована методика з розробки клінічних настанов, медичних стандартів, уніфікованих клінічних протоколів медичної допомоги, локальних протоколів медичної допомоги (клінічних маршрутів пацієнтів) на засадах доказової медицини (час</w:t>
            </w:r>
            <w:r>
              <w:rPr>
                <w:i/>
                <w:iCs/>
                <w:color w:val="0000FF"/>
              </w:rPr>
              <w:t>тина перша)"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Акредитація</w:t>
            </w:r>
            <w:r>
              <w:br/>
            </w:r>
            <w:r>
              <w:rPr>
                <w:b/>
                <w:bCs/>
              </w:rPr>
              <w:t>(Accreditation)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Офіційне визнання статусу закладу охорони здоров'я, наявності в ньому умов для надання певного рівня медико-санітарної допомоги, підтверджен</w:t>
            </w:r>
            <w:r>
              <w:t>ня його відповідності встановленим критеріям і гарантії високої якості професійної діяльності.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Постанова Кабінету Міністрів України N 765 від 15.07.97 "Про затвердження Порядку державної акредитації закладу охорони здоров'я"</w:t>
            </w:r>
            <w:r>
              <w:rPr>
                <w:i/>
                <w:iCs/>
              </w:rPr>
              <w:t xml:space="preserve">. </w:t>
            </w:r>
            <w:r>
              <w:rPr>
                <w:i/>
                <w:iCs/>
                <w:color w:val="0000FF"/>
              </w:rPr>
              <w:t>Порядок державної акредитації</w:t>
            </w:r>
            <w:r>
              <w:rPr>
                <w:i/>
                <w:iCs/>
                <w:color w:val="0000FF"/>
              </w:rPr>
              <w:t xml:space="preserve"> закладу охорони здоров'я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Атестація</w:t>
            </w:r>
            <w:r>
              <w:br/>
            </w:r>
            <w:r>
              <w:rPr>
                <w:b/>
                <w:bCs/>
              </w:rPr>
              <w:t>(Certification)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Результат, який вказує на те, що дана особа відповідає критеріям, встановленим організацією, що атестує.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(Словник термінів з якості складений співробітниками журналу Quality Progress Д. Нелсеном і С. Де</w:t>
            </w:r>
            <w:r>
              <w:rPr>
                <w:i/>
                <w:iCs/>
              </w:rPr>
              <w:t xml:space="preserve">ніелс, </w:t>
            </w:r>
            <w:r>
              <w:rPr>
                <w:i/>
                <w:iCs/>
              </w:rPr>
              <w:lastRenderedPageBreak/>
              <w:t>членами Американської організації якості Д. Боссартом, Р. Д. Рейдом, Дж. Руні і С. Руні, надрукований у 2007 році в червневому номері журналу Quality Progress.).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Аудит (перевірка) якості</w:t>
            </w:r>
            <w:r>
              <w:br/>
            </w:r>
            <w:r>
              <w:rPr>
                <w:b/>
                <w:bCs/>
              </w:rPr>
              <w:t>(Quality audit)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Систематичне незалежне дослідження для встановлення того, чи відповідають планам діяльність в сфері якості і отримані результати, наскільки ефективно реалізуються дані плани і чи підходять вони для досягнення поставлених цілей.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(Словник термінів з якості с</w:t>
            </w:r>
            <w:r>
              <w:rPr>
                <w:i/>
                <w:iCs/>
              </w:rPr>
              <w:t>кладений співробітниками журналу Quality Progress Д. Нелсеном і С. Деніелс, членами Американської організації якості Д. Боссартом, Р. Д. Рейдом, Дж. Руні і С. Руні, надрукований у 2007 році в червневому номері журналу Quality Progress.).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Безперервне покра</w:t>
            </w:r>
            <w:r>
              <w:rPr>
                <w:b/>
                <w:bCs/>
              </w:rPr>
              <w:t xml:space="preserve">щання якості </w:t>
            </w:r>
            <w:r>
              <w:br/>
            </w:r>
            <w:r>
              <w:rPr>
                <w:b/>
                <w:bCs/>
              </w:rPr>
              <w:t>(continuous quality improvement)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Управлінська діяльність по безперервному вивченню та удосконаленню процесів надання медичної допомоги з метою задоволення потреб пацієнтів і інших споживачів.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 xml:space="preserve">("Качество медицинской помощи. Глоссарий - Россия </w:t>
            </w:r>
            <w:r>
              <w:rPr>
                <w:i/>
                <w:iCs/>
              </w:rPr>
              <w:t>- США, 1999. - 61 с.")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Бенчмаркінг</w:t>
            </w:r>
            <w:r>
              <w:br/>
            </w:r>
            <w:r>
              <w:rPr>
                <w:b/>
                <w:bCs/>
              </w:rPr>
              <w:t>(Benchmarking)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Метод, за допомогою якого та чи інша організація вимірює ефективність своєї діяльності в порівнянні з ефективністю діяльності кращих у своєму класі організацій, визначає, як дані організації досягли такого рівня ефективності, і використовує отриману інформ</w:t>
            </w:r>
            <w:r>
              <w:t>ацію для вдосконалення своєї діяльності. До об'єктів бенчмаркінгу можуть належати стратегії, операції і процеси.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(Словник термінів з якості складений співробітниками журналу Quality Progress Д. Нелсеном і С. Деніелс, членами Американської організації якост</w:t>
            </w:r>
            <w:r>
              <w:rPr>
                <w:i/>
                <w:iCs/>
              </w:rPr>
              <w:t>і Д. Боссартом, Р. Д. Рейдом, Дж. Руні і С. Руні, надрукований у 2007 році в червневому номері журналу Quality Progress.).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Впровадження клінічних рекомендацій і стандартів медичної допомоги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Система заходів із поширення та застосування на практиці стандарт</w:t>
            </w:r>
            <w:r>
              <w:t>ів медичної допомоги, розроблених на основі клінічних рекомендацій.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МОЗ України та АМН України від 19.02.2009 р. N 102/18 "Про затвердження методичних рекомендацій "Уніфікована методика з розробки клінічних настанов, медичних стандартів, уніфіковани</w:t>
            </w:r>
            <w:r>
              <w:rPr>
                <w:i/>
                <w:iCs/>
                <w:color w:val="0000FF"/>
              </w:rPr>
              <w:t xml:space="preserve">х клінічних протоколів медичної допомоги, локальних протоколів </w:t>
            </w:r>
            <w:r>
              <w:rPr>
                <w:i/>
                <w:iCs/>
                <w:color w:val="0000FF"/>
              </w:rPr>
              <w:lastRenderedPageBreak/>
              <w:t>медичної допомоги (клінічних маршрутів пацієнтів) на засадах доказової медицини (частина перша)"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Демінга-Шухарта цикл</w:t>
            </w:r>
            <w:r>
              <w:br/>
            </w:r>
            <w:r>
              <w:rPr>
                <w:b/>
                <w:bCs/>
              </w:rPr>
              <w:t>(Deming cycle)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Цикл "планування - виконання - вивчення - прийняття заходів".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(Словник термінів з якості складений співробітниками журналу Quality Progress Д. Нелсеном і С. Деніелс, членами Американської організації якості Д. Боссартом, Р. Д. Рейдом, Дж. Ру</w:t>
            </w:r>
            <w:r>
              <w:rPr>
                <w:i/>
                <w:iCs/>
              </w:rPr>
              <w:t>ні і С. Руні, надрукований у 2007 році в червневому номері журналу Quality Progress.)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Доказова медицина</w:t>
            </w:r>
            <w:r>
              <w:br/>
            </w:r>
            <w:r>
              <w:rPr>
                <w:b/>
                <w:bCs/>
              </w:rPr>
              <w:t>(Evidence based medicine)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Добросовісне, точне і свідоме використання кращих результатів клінічних досліджень для вибору лікування конкретного хворого.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МОЗ України та АМН України від 19.02.2009 р. N 102/18 "Про затвердження методичних рекомендацій "Уніфікована методика з розробки клінічних настанов, медичних стандартів, уніфікованих клінічних протоколів медичної допомоги, локальних протоколів медич</w:t>
            </w:r>
            <w:r>
              <w:rPr>
                <w:i/>
                <w:iCs/>
                <w:color w:val="0000FF"/>
              </w:rPr>
              <w:t>ної допомоги (клінічних маршрутів пацієнтів) на засадах доказової медицини (частина перша)"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Доступність медичної допомоги</w:t>
            </w:r>
            <w:r>
              <w:br/>
            </w:r>
            <w:r>
              <w:rPr>
                <w:b/>
                <w:bCs/>
              </w:rPr>
              <w:t>(Availability)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Доступність медичної допомоги - це вільний д</w:t>
            </w:r>
            <w:r>
              <w:t>оступ до служб охорони здоров'я незалежно від географічних, економічних, соціальних, культурних, організаційних чи мовних бар'єрів.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 xml:space="preserve">(Шарабчиев Ю. Т., Дудина Т. В. Доступность и качество медицинской помощи: слагаемые успеха// Медицинские новости. - 2009. - </w:t>
            </w:r>
            <w:r>
              <w:rPr>
                <w:i/>
                <w:iCs/>
              </w:rPr>
              <w:t>N 12. - С. 6 - 12)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Ефективність</w:t>
            </w:r>
            <w:r>
              <w:br/>
            </w:r>
            <w:r>
              <w:rPr>
                <w:b/>
                <w:bCs/>
              </w:rPr>
              <w:t>(Efficiency)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Досягнення запланованого результату шляхом мінімального використання ресурсів.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(WHO, 2000d).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Забезпечення якості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Складова частина управління якістю, зосереджена на створенні впевненості в тому, що вимоги до якості буде виконано.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(ISO 9000:2000, IDT).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Загальне управління якістю</w:t>
            </w:r>
            <w:r>
              <w:br/>
            </w:r>
            <w:r>
              <w:rPr>
                <w:b/>
                <w:bCs/>
              </w:rPr>
              <w:t>(Total quality management)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Стиль менеджменту, заснований на участі всіх членів організації</w:t>
            </w:r>
            <w:r>
              <w:t xml:space="preserve"> у поліпшенні якості процесів, продукції, послуг і корпоративної культури.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(Словник термінів з якості складений співробітниками журналу Quality Progress Д. Нелсеном і С. Деніелс, членами Американської організації якості Д. Боссартом, Р. Д. Рейдом, Дж. Руні</w:t>
            </w:r>
            <w:r>
              <w:rPr>
                <w:i/>
                <w:iCs/>
              </w:rPr>
              <w:t xml:space="preserve"> і С. Руні, надрукований у 2007 році в червневому номері журналу Quality Progress.).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Індикатори</w:t>
            </w:r>
            <w:r>
              <w:br/>
            </w:r>
            <w:r>
              <w:rPr>
                <w:b/>
                <w:bCs/>
              </w:rPr>
              <w:t>(Indicators)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Встановлені критерії, що допомагають визначити, наскільки організація задовольняє потреби споживачів та виконує інші вимоги до своєї виробничої та</w:t>
            </w:r>
            <w:r>
              <w:t xml:space="preserve"> фінансової діяльності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(Словник термінів з якості складений співробітниками журналу Quality Progress Д. Нелсеном і С. Деніелс, членами Американської організації якості Д. Боссартом, Р. Д. Рейдом, Дж. Руні і С. Руні, надрукований у 2007 році в червневому но</w:t>
            </w:r>
            <w:r>
              <w:rPr>
                <w:i/>
                <w:iCs/>
              </w:rPr>
              <w:t>мері журналу Quality Progress.).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Індикатор/показник якості медичної допомоги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Кількісний або якісний показник, відносно якого існують докази чи консенсус щодо його безпосереднього впливу на якість медичної допомоги; визначається ретроспективно.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 xml:space="preserve">Наказ МОЗ </w:t>
            </w:r>
            <w:r>
              <w:rPr>
                <w:i/>
                <w:iCs/>
                <w:color w:val="0000FF"/>
              </w:rPr>
              <w:t>України та АМН України від 19.02.2009 р. N 102/18 "Про затвердження методичних рекомендацій "Уніфікована методика з розробки клінічних настанов, медичних стандартів, уніфікованих клінічних протоколів медичної допомоги, локальних протоколів медичної допомог</w:t>
            </w:r>
            <w:r>
              <w:rPr>
                <w:i/>
                <w:iCs/>
                <w:color w:val="0000FF"/>
              </w:rPr>
              <w:t>и (клінічних маршрутів пацієнтів) на засадах доказової медицини (частина перша)"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Клінічні рекомендації</w:t>
            </w:r>
            <w:r>
              <w:br/>
            </w:r>
            <w:r>
              <w:rPr>
                <w:b/>
                <w:bCs/>
              </w:rPr>
              <w:t>(Clinical guidelines)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Документ, що містить систематизовані положення стосовно медичної та медико-соціальної допомоги, розроблені з використанням методології доказової медицини на основі підтвердження їх надійності та доведеності, і має на меті надання допомоги лікарю і пацієнту</w:t>
            </w:r>
            <w:r>
              <w:t xml:space="preserve"> в прийнятті раціонального рішення в різних клінічних ситуаціях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 xml:space="preserve">Наказ МОЗ України та АМН України від 19.02.2009 р. N 102/18 "Про затвердження методичних рекомендацій "Уніфікована методика з розробки клінічних настанов, </w:t>
            </w:r>
            <w:r>
              <w:rPr>
                <w:i/>
                <w:iCs/>
                <w:color w:val="0000FF"/>
              </w:rPr>
              <w:lastRenderedPageBreak/>
              <w:t>медичних стандартів, уніфікованих кл</w:t>
            </w:r>
            <w:r>
              <w:rPr>
                <w:i/>
                <w:iCs/>
                <w:color w:val="0000FF"/>
              </w:rPr>
              <w:t>інічних протоколів медичної допомоги, локальних протоколів медичної допомоги (клінічних маршрутів пацієнтів) на засадах доказової медицини (частина перша)"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Клінічний аудит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Процес по</w:t>
            </w:r>
            <w:r>
              <w:t>ліпшення якості медичної допомоги за допомогою систематичної перевірки наданої медичної допомоги з використанням чітко сформульованих критеріїв і з подальшим внесенням змін. На основі перевірки і ретроспективної оцінки елементів структури, процесу і резуль</w:t>
            </w:r>
            <w:r>
              <w:t>тату медичної допомоги визначаються необхідні для підвищення якості перетворення на індивідуальному, колективному або організаційному рівнях. Подальший проспективний моніторинг підтверджує або спростовує доцільність змін медичної допомоги.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МОЗ Украї</w:t>
            </w:r>
            <w:r>
              <w:rPr>
                <w:i/>
                <w:iCs/>
                <w:color w:val="0000FF"/>
              </w:rPr>
              <w:t>ни та АМН України від 19.02.2009 р. N 102/18 "Про затвердження методичних рекомендацій "Уніфікована методика з розробки клінічних настанов, медичних стандартів, уніфікованих клінічних протоколів медичної допомоги, локальних протоколів медичної допомоги (кл</w:t>
            </w:r>
            <w:r>
              <w:rPr>
                <w:i/>
                <w:iCs/>
                <w:color w:val="0000FF"/>
              </w:rPr>
              <w:t>інічних маршрутів пацієнтів) на засадах доказової медицини (частина перша)"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Контроль</w:t>
            </w:r>
            <w:r>
              <w:br/>
            </w:r>
            <w:r>
              <w:rPr>
                <w:b/>
                <w:bCs/>
              </w:rPr>
              <w:t>(Inspection)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Вимірювання, дослідження, тестування і перевірка однієї або кількох характеристик продукції або послуги та співставлення результатів з встановленими вимогами для визначення досягнутого відповідності по кожній характеристиці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(Словник термінів з якості склад</w:t>
            </w:r>
            <w:r>
              <w:rPr>
                <w:i/>
                <w:iCs/>
              </w:rPr>
              <w:t>ений співробітниками журналу Quality Progress Д. Нелсеном і С. Деніелс, членами Американської організації якості Д. Боссартом, Р. Д. Рейдом, Дж. Руні і С. Руні, надрукований у 2007 році в червневому номері журналу Quality Progress).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Контроль якості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Складо</w:t>
            </w:r>
            <w:r>
              <w:t xml:space="preserve">ва частина </w:t>
            </w:r>
            <w:r>
              <w:rPr>
                <w:b/>
                <w:bCs/>
              </w:rPr>
              <w:t>управління якістю</w:t>
            </w:r>
            <w:r>
              <w:t xml:space="preserve">, зосереджена на виконанні </w:t>
            </w:r>
            <w:r>
              <w:rPr>
                <w:b/>
                <w:bCs/>
              </w:rPr>
              <w:t xml:space="preserve">вимог </w:t>
            </w:r>
            <w:r>
              <w:t>до якості.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(ISO 9000:2000, IDT).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Ліцензування</w:t>
            </w:r>
            <w:r>
              <w:br/>
            </w:r>
            <w:r>
              <w:rPr>
                <w:b/>
                <w:bCs/>
              </w:rPr>
              <w:t>(Licensing)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rPr>
                <w:b/>
                <w:bCs/>
              </w:rPr>
              <w:t xml:space="preserve">Ліцензування </w:t>
            </w:r>
            <w:r>
              <w:t>- видача, переоформлення, анулювання ліцензій, видача дублікатів ліцензій, ведення ліцензійних справ та ліцензійних реєстрі</w:t>
            </w:r>
            <w:r>
              <w:t xml:space="preserve">в, контроль за </w:t>
            </w:r>
            <w:r>
              <w:lastRenderedPageBreak/>
              <w:t>додержанням ліцензіатами ліцензійних умов, видача розпоряджень про усунення порушень ліцензійних умов, а також розпоряджень про усунення порушень законодавства у сфері ліцензування.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Закон України "Про ліцензування певних видів господарської</w:t>
            </w:r>
            <w:r>
              <w:rPr>
                <w:i/>
                <w:iCs/>
                <w:color w:val="0000FF"/>
              </w:rPr>
              <w:t xml:space="preserve"> діяльності"</w:t>
            </w:r>
            <w:r>
              <w:rPr>
                <w:i/>
                <w:iCs/>
              </w:rPr>
              <w:t xml:space="preserve"> від 19 жовтня 2010 р. N 2608-VI)</w:t>
            </w:r>
          </w:p>
          <w:p w:rsidR="00000000" w:rsidRDefault="00D76DD0">
            <w:pPr>
              <w:pStyle w:val="a3"/>
              <w:jc w:val="both"/>
            </w:pPr>
            <w:r>
              <w:t>Процес оцінки відповідності лікувально-профілактичної установи мінімуму вимог щодо структури і ресурсів, які можуть забезпечити безпечне надання медичної допомоги.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("Качество медицинской помощи. Глоссарий - Рос</w:t>
            </w:r>
            <w:r>
              <w:rPr>
                <w:i/>
                <w:iCs/>
              </w:rPr>
              <w:t xml:space="preserve">сия - США, 1999. </w:t>
            </w:r>
            <w:r>
              <w:t xml:space="preserve">- </w:t>
            </w:r>
            <w:r>
              <w:rPr>
                <w:i/>
                <w:iCs/>
              </w:rPr>
              <w:t>61 с.")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Локальній протокол медичної допомоги</w:t>
            </w:r>
            <w:r>
              <w:br/>
            </w:r>
            <w:r>
              <w:rPr>
                <w:b/>
                <w:bCs/>
              </w:rPr>
              <w:t>(клінічний маршрут пацієнта)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Нормативний документ регіонального рівня, що спрямований на забезпечення надання безперервної, ефективної та економічно доцільної медичної допомоги при певних зах</w:t>
            </w:r>
            <w:r>
              <w:t>ворюваннях та інших патологічних станах відповідно до уніфікованого клінічного протоколу медичної допомоги, забезпечує координацію та упорядкування за часовим графіком технологій та методів надання медичної допомоги багато-, міждисциплінарного змісту, регл</w:t>
            </w:r>
            <w:r>
              <w:t>аментує реєстрацію медичної інформації і ведення клінічного аудиту; затверджується головним лікарем лікувально-профілактичного закладу.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МОЗ України та АМН України від 03.11.2009 р. N 798/75 "Про затвердження методичних рекомендацій "Уніфікована мето</w:t>
            </w:r>
            <w:r>
              <w:rPr>
                <w:i/>
                <w:iCs/>
                <w:color w:val="0000FF"/>
              </w:rPr>
              <w:t>дика з розробки клінічних настанов, медичних стандартів, уніфікованих клінічних протоколів медичної допомоги, локальних протоколів медичної допомоги (клінічних маршрутів пацієнтів) на засадах доказової медицини (частина друга)"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 Україн</w:t>
            </w:r>
            <w:r>
              <w:rPr>
                <w:i/>
                <w:iCs/>
                <w:color w:val="0000FF"/>
              </w:rPr>
              <w:t>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Мета-аналіз</w:t>
            </w:r>
            <w:r>
              <w:br/>
            </w:r>
            <w:r>
              <w:rPr>
                <w:b/>
                <w:bCs/>
              </w:rPr>
              <w:t>(Meta-analysis)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Статистичний аналіз, узагальнюючий результати декількох досліджень однієї і тієї ж проблеми (звичайно, ефективності методів лікування, профілактики, діагностики). Об'єднання дослідж</w:t>
            </w:r>
            <w:r>
              <w:t>ень забезпечує більшу вибірку для аналізу та більшу статистичну потужність об'єднаних досліджень. Використовується для підвищення доказовості або впевненості щодо висновків про ефективність використовуваних методів.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lastRenderedPageBreak/>
              <w:t>(Реброва О. Ю. Статистический анализ мед</w:t>
            </w:r>
            <w:r>
              <w:rPr>
                <w:i/>
                <w:iCs/>
              </w:rPr>
              <w:t>ицинских данных. Применение пакета прикладных программ Statistica. M.: Медиа Сфера, 2002. - 312 с.)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Методологія розробки клінічних рекомендацій з позиції доказової медицини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Комплекс методичних, інформаційних та організаційних заходів, що грунтується на си</w:t>
            </w:r>
            <w:r>
              <w:t>стематичному узагальненні наукових доказів, які отримані в ході клінічних досліджень високої якості (насамперед рандомізованих, контрольованих).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МОЗ України та АМН України від 19.02.2009 р. N 102/18 "Про затвердження методичних рекомендацій "Уніфіко</w:t>
            </w:r>
            <w:r>
              <w:rPr>
                <w:i/>
                <w:iCs/>
                <w:color w:val="0000FF"/>
              </w:rPr>
              <w:t>вана методика з розробки клінічних настанов, медичних стандартів, уніфікованих клінічних протоколів медичної допомоги, локальних протоколів медичної допомоги (клінічних маршрутів пацієнтів) на засадах доказової медицини (частина перша)"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</w:t>
            </w:r>
            <w:r>
              <w:rPr>
                <w:i/>
                <w:iCs/>
                <w:color w:val="0000FF"/>
              </w:rPr>
              <w:t>ОЗ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Моніторинг</w:t>
            </w:r>
            <w:r>
              <w:br/>
            </w:r>
            <w:r>
              <w:rPr>
                <w:b/>
                <w:bCs/>
              </w:rPr>
              <w:t>(Monitoring)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Систематичний процес збору інформації щодо результативності клінічної або неклінічної діяльності, роботи або систем. Моніторинг може бути періодичним або безперервним. Він також може застосовуватись відносно конкретних проблемних питань або для перевірки к</w:t>
            </w:r>
            <w:r>
              <w:t>лючових частин роботи.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(Національні Стандарти. Клінічне керівництво та управління ризиками: досягнення безпечної, ефективної, пацієнт-орієнтованої допомоги та послуг. NHS QIS, 2005 р. ISBN 1-84404-340-1.)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Нерівність</w:t>
            </w:r>
            <w:r>
              <w:br/>
            </w:r>
            <w:r>
              <w:rPr>
                <w:b/>
                <w:bCs/>
              </w:rPr>
              <w:t>(Health inequality and inequity)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Нерівн</w:t>
            </w:r>
            <w:r>
              <w:t>ість у рівні здоров'я може бути визначена як відмінності в стані здоров'я або в розподілі детермінант здоров'я між різними групами населення.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Справедливість/рівність в охороні здоров'я</w:t>
            </w:r>
            <w:r>
              <w:br/>
            </w:r>
            <w:r>
              <w:rPr>
                <w:b/>
                <w:bCs/>
              </w:rPr>
              <w:t>(Health equality)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 xml:space="preserve">Організація системи охорони здоров'я, що забезпечує </w:t>
            </w:r>
            <w:r>
              <w:t>зменшення відмінностей в показниках здоров'я у представників різних соціально-економічних груп.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(Glossary of terms, WHO 1998)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Оцінка</w:t>
            </w:r>
            <w:r>
              <w:br/>
            </w:r>
            <w:r>
              <w:rPr>
                <w:b/>
                <w:bCs/>
              </w:rPr>
              <w:t>(Assessment)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Систематичний процес оцінювання в ході збору і аналізу даних для визначення поточного, попереднього або прогнозованого виконання організацією вимог будь-якого стандарту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(Словник термінів з якості складений співробітниками журналу Quality Progress Д. Нелсен</w:t>
            </w:r>
            <w:r>
              <w:rPr>
                <w:i/>
                <w:iCs/>
              </w:rPr>
              <w:t xml:space="preserve">ом і С. Деніелс, членами Американської організації якості Д. </w:t>
            </w:r>
            <w:r>
              <w:rPr>
                <w:i/>
                <w:iCs/>
              </w:rPr>
              <w:lastRenderedPageBreak/>
              <w:t>Боссартом, Р. Д. Рейдом, Дж. Руні і С. Руні, надрукований у 2007 році в червневому номері журналу Quality Progress).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Оцінка якості медичної допомоги</w:t>
            </w:r>
            <w:r>
              <w:br/>
            </w:r>
            <w:r>
              <w:rPr>
                <w:b/>
                <w:bCs/>
              </w:rPr>
              <w:t>(Health Care quality assessment)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Визначення в</w:t>
            </w:r>
            <w:r>
              <w:t>ідповідності наданої медичної допомоги встановленим на даний час стандартам, очікуванням і потребам окремих пацієнтів і груп населення.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("Качество медицинской помощи. Глоссарий - Россия - США, 1999. - 61 с.")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Оцінка медичних технологій</w:t>
            </w:r>
            <w:r>
              <w:br/>
            </w:r>
            <w:r>
              <w:rPr>
                <w:b/>
                <w:bCs/>
              </w:rPr>
              <w:t xml:space="preserve">(Health technology </w:t>
            </w:r>
            <w:r>
              <w:rPr>
                <w:b/>
                <w:bCs/>
              </w:rPr>
              <w:t>assessment)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Медична технологія - сукупність і порядок різних заходів, методів діагностики, лікування, реабілітації, профілактики, необхідних для досягнення конкретних результатів в рамках надання медичної допомоги.</w:t>
            </w:r>
          </w:p>
          <w:p w:rsidR="00000000" w:rsidRDefault="00D76DD0">
            <w:pPr>
              <w:pStyle w:val="a3"/>
              <w:jc w:val="both"/>
            </w:pPr>
            <w:r>
              <w:t>Оцінка медичних технологій передбачає сис</w:t>
            </w:r>
            <w:r>
              <w:t>тематичне структуроване дослідження безпеки, клінічної ефективності та дієвості, а також аналіз ефективності витрат, організаційних, економічних, соціальних, правових та етичних наслідків поширення і використання медичних технологій, як нових, так і тих, щ</w:t>
            </w:r>
            <w:r>
              <w:t>о традиційно використовуються.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 xml:space="preserve">(Mossialos, E., S. Allin, et al. (2007). "Template for analysis." </w:t>
            </w:r>
            <w:r>
              <w:rPr>
                <w:i/>
                <w:iCs/>
                <w:u w:val="single"/>
              </w:rPr>
              <w:t>Health Systems in Transition</w:t>
            </w:r>
            <w:r>
              <w:rPr>
                <w:i/>
                <w:iCs/>
              </w:rPr>
              <w:t xml:space="preserve"> (Special Issue): 1-124)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 xml:space="preserve">Планування якості </w:t>
            </w:r>
            <w:r>
              <w:br/>
            </w:r>
            <w:r>
              <w:rPr>
                <w:b/>
                <w:bCs/>
              </w:rPr>
              <w:t>(Quality planning)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 xml:space="preserve">Складова частина </w:t>
            </w:r>
            <w:r>
              <w:rPr>
                <w:b/>
                <w:bCs/>
              </w:rPr>
              <w:t>управління якістю</w:t>
            </w:r>
            <w:r>
              <w:t xml:space="preserve">, зосереджена на встановленні </w:t>
            </w:r>
            <w:r>
              <w:rPr>
                <w:b/>
                <w:bCs/>
              </w:rPr>
              <w:t>цілей</w:t>
            </w:r>
            <w:r>
              <w:t xml:space="preserve"> у сфері </w:t>
            </w:r>
            <w:r>
              <w:rPr>
                <w:b/>
                <w:bCs/>
              </w:rPr>
              <w:t xml:space="preserve">якості </w:t>
            </w:r>
            <w:r>
              <w:t xml:space="preserve">і на визначенні операційних </w:t>
            </w:r>
            <w:r>
              <w:rPr>
                <w:b/>
                <w:bCs/>
              </w:rPr>
              <w:t>процесі</w:t>
            </w:r>
            <w:r>
              <w:t xml:space="preserve">в та відповідних ресурсів, необхідних для досягнення цілей у сфері якості 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(ISO 9000:2000, IDT)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 xml:space="preserve">Поліпшення якості </w:t>
            </w:r>
            <w:r>
              <w:br/>
            </w:r>
            <w:r>
              <w:rPr>
                <w:b/>
                <w:bCs/>
              </w:rPr>
              <w:t>(Quality improvement)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 xml:space="preserve">Складова частина </w:t>
            </w:r>
            <w:r>
              <w:rPr>
                <w:b/>
                <w:bCs/>
              </w:rPr>
              <w:t>управління</w:t>
            </w:r>
            <w:r>
              <w:t xml:space="preserve"> якістю, зосереджена на збільшенні </w:t>
            </w:r>
            <w:r>
              <w:t xml:space="preserve">здатності виконати </w:t>
            </w:r>
            <w:r>
              <w:rPr>
                <w:b/>
                <w:bCs/>
              </w:rPr>
              <w:t>вимоги</w:t>
            </w:r>
            <w:r>
              <w:t xml:space="preserve"> до якості </w:t>
            </w:r>
            <w:r>
              <w:br/>
            </w:r>
            <w:r>
              <w:rPr>
                <w:i/>
                <w:iCs/>
              </w:rPr>
              <w:t>(ISO 9000:2000, IDT).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Політика в сфері якості</w:t>
            </w:r>
            <w:r>
              <w:br/>
            </w:r>
            <w:r>
              <w:rPr>
                <w:b/>
                <w:bCs/>
              </w:rPr>
              <w:t>(Quality policy)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 xml:space="preserve">Загальні наміри та спрямованість </w:t>
            </w:r>
            <w:r>
              <w:rPr>
                <w:b/>
                <w:bCs/>
              </w:rPr>
              <w:t>організації</w:t>
            </w:r>
            <w:r>
              <w:t xml:space="preserve">, пов'язані </w:t>
            </w:r>
            <w:r>
              <w:rPr>
                <w:b/>
                <w:bCs/>
              </w:rPr>
              <w:t>з якістю</w:t>
            </w:r>
            <w:r>
              <w:t xml:space="preserve">, офіційно сформульовані </w:t>
            </w:r>
            <w:r>
              <w:rPr>
                <w:b/>
                <w:bCs/>
              </w:rPr>
              <w:t>найвищим керівництвом</w:t>
            </w:r>
            <w:r>
              <w:t xml:space="preserve"> </w:t>
            </w:r>
            <w:r>
              <w:br/>
            </w:r>
            <w:r>
              <w:rPr>
                <w:i/>
                <w:iCs/>
              </w:rPr>
              <w:t>(ISO 9000:2000, IDT)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Рандомізація</w:t>
            </w:r>
            <w:r>
              <w:br/>
            </w:r>
            <w:r>
              <w:rPr>
                <w:b/>
                <w:bCs/>
              </w:rPr>
              <w:t>(Randomi</w:t>
            </w:r>
            <w:r>
              <w:rPr>
                <w:b/>
                <w:bCs/>
              </w:rPr>
              <w:t>zed)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 xml:space="preserve">Спосіб випадкового розподілу об'єктів дослідження в основну та контрольну групи з використанням спеціальних засобів (таблиць випадкових чисел і т. і.). За допомогою рандомізації зводяться до мінімуму відмінності між групами по відомих та невідомих </w:t>
            </w:r>
            <w:r>
              <w:lastRenderedPageBreak/>
              <w:t>пер</w:t>
            </w:r>
            <w:r>
              <w:t>емінних, ознаках, що потенційно впливають на результат, який вивчається.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(Реброва О. Ю. Статистический анализ медицинских данных. Применение пакета прикладных программ Statistica. M.: Медиа Сфера, 2002. - 312 с.)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Рандомізоване клінічне дослідження</w:t>
            </w:r>
            <w:r>
              <w:br/>
            </w:r>
            <w:r>
              <w:rPr>
                <w:b/>
                <w:bCs/>
              </w:rPr>
              <w:t>(Random</w:t>
            </w:r>
            <w:r>
              <w:rPr>
                <w:b/>
                <w:bCs/>
              </w:rPr>
              <w:t>ized Clinical Stady)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Дослідження діагностичного тесту, методу профілактики або лікування, в якому учасники у випадковому порядку розподіляються на основну та контрольну групи, після чого за ними здійснюється спостереження для визначення ефекту втручання.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</w:rPr>
              <w:t>Путеводитель читателя медицинской литературы. Принципы клинической практики, основанной на доказанном. Рабочая группа по доказательной медицине/ Под ред. Гордона Гайятта и Драммонда Ренни. - М.: Медиа Сфера. - 382 с.)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Результативність</w:t>
            </w:r>
            <w:r>
              <w:br/>
            </w:r>
            <w:r>
              <w:rPr>
                <w:b/>
                <w:bCs/>
              </w:rPr>
              <w:t>(Effectiveness)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Ступ</w:t>
            </w:r>
            <w:r>
              <w:t>інь, в якому медичні втручання (враховуючи сучасний рівень знань) поліпшують здоров'я в звичайних практичних умовах. Обставини, що визначають відмінності між звичайними умовами надання медичної допомоги та контрольованими клінічними дослідженнями. Включают</w:t>
            </w:r>
            <w:r>
              <w:t xml:space="preserve">ь супутні захворювання пацієнтів, внаслідок чого неможливо точно передбачити, чи буде пацієнт дотримуватися схем лікування, а також відмінності в практиці надання медичних послуг. </w:t>
            </w:r>
            <w:r>
              <w:rPr>
                <w:i/>
                <w:iCs/>
              </w:rPr>
              <w:t xml:space="preserve">("Качество медицинской помощи. Глоссарий - Россия </w:t>
            </w:r>
            <w:r>
              <w:t xml:space="preserve">- </w:t>
            </w:r>
            <w:r>
              <w:rPr>
                <w:i/>
                <w:iCs/>
              </w:rPr>
              <w:t>США, 1999. - 61 с.")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Ре</w:t>
            </w:r>
            <w:r>
              <w:rPr>
                <w:b/>
                <w:bCs/>
              </w:rPr>
              <w:t>інжиніринг</w:t>
            </w:r>
            <w:r>
              <w:br/>
            </w:r>
            <w:r>
              <w:rPr>
                <w:b/>
                <w:bCs/>
              </w:rPr>
              <w:t>(Reengineering)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Проривний підхід до реструктуризації всієї організації та її процесів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 xml:space="preserve">(Словник термінів з якості складений співробітниками журналу Quality Progress Д. Нелсеном і С. Деніелс, членами Американської організації якості Д. Боссартом, </w:t>
            </w:r>
            <w:r>
              <w:rPr>
                <w:i/>
                <w:iCs/>
              </w:rPr>
              <w:t>Р. Д. Рейдом, Дж. Руні і С. Руні, надрукований у 2007 році в червневому номері журналу Quality Progress).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Сертифікація</w:t>
            </w:r>
            <w:r>
              <w:br/>
            </w:r>
            <w:r>
              <w:rPr>
                <w:b/>
                <w:bCs/>
              </w:rPr>
              <w:t>(Certification)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 xml:space="preserve">Формальне визнання відповідності встановленим стандартам (напр. серії стандартів ISO 9000 для систем якості) ратифіковане зовнішнім оцінюванням уповноваженого аудитора. </w:t>
            </w:r>
            <w:r>
              <w:br/>
            </w:r>
            <w:r>
              <w:rPr>
                <w:i/>
                <w:iCs/>
              </w:rPr>
              <w:t>(ISO 9000:2000, IDT)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Систематичний огляд даних клінічних досліджень</w:t>
            </w:r>
            <w:r>
              <w:br/>
            </w:r>
            <w:r>
              <w:rPr>
                <w:b/>
                <w:bCs/>
              </w:rPr>
              <w:t>(Systematic Revie</w:t>
            </w:r>
            <w:r>
              <w:rPr>
                <w:b/>
                <w:bCs/>
              </w:rPr>
              <w:t>w)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 xml:space="preserve">Ефективна наукова технологія виявлення і узагальнення даних про ефективність втручань, що дозволяє оцінити </w:t>
            </w:r>
            <w:r>
              <w:lastRenderedPageBreak/>
              <w:t>узагальнюваність і надійність результатів клінічних досліджень і виявити дані, які не узгоджуються.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МОЗ України та АМН України від 19.02.20</w:t>
            </w:r>
            <w:r>
              <w:rPr>
                <w:i/>
                <w:iCs/>
                <w:color w:val="0000FF"/>
              </w:rPr>
              <w:t>09 р. N 102/18 "Про затвердження методичних рекомендацій "Уніфікована методика з розробки клінічних настанов, медичних стандартів, уніфікованих клінічних протоколів медичної допомоги, локальних протоколів медичної допомоги (клінічних маршрутів пацієнтів) н</w:t>
            </w:r>
            <w:r>
              <w:rPr>
                <w:i/>
                <w:iCs/>
                <w:color w:val="0000FF"/>
              </w:rPr>
              <w:t>а засадах доказової медицини (частина перша)"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Стандартизація</w:t>
            </w:r>
            <w:r>
              <w:br/>
            </w:r>
            <w:r>
              <w:rPr>
                <w:b/>
                <w:bCs/>
              </w:rPr>
              <w:t>(Standardization)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Використання єдиних підходів і процедур для управління процесами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 xml:space="preserve">(Словник термінів з якості складений </w:t>
            </w:r>
            <w:r>
              <w:rPr>
                <w:i/>
                <w:iCs/>
              </w:rPr>
              <w:t>співробітниками журналу Quality Progress Д. Нелсеном і С. Деніелс, членами Американської організації якості Д. Боссартом, Р. Д. Рейдом, Дж. Руні і С. Руні, надрукований у 2007 році в червневому номері журналу Quality Progress)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Стандарт медичної допомоги</w:t>
            </w:r>
            <w:r>
              <w:br/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Standard of Health Care)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Нормативний документ державного рівня, що визначає норми, вимоги до організації і критерії якості надання медичної допомоги, а також індикатори, за якими в подальшому здійснюється аудит на різних рівнях управління системою забезпеч</w:t>
            </w:r>
            <w:r>
              <w:t>ення якості; розробляється на основі клінічних настанов з урахуванням можливостей системи охорони здоров'я і затверджується Міністерством охорони здоров'я або уповноваженим органом центральної виконавчої влади в сфері охорони здоров'я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МОЗ України та</w:t>
            </w:r>
            <w:r>
              <w:rPr>
                <w:i/>
                <w:iCs/>
                <w:color w:val="0000FF"/>
              </w:rPr>
              <w:t xml:space="preserve"> АМН України від 19.02.2009 р. N 102/18 "Про затвердження методичних рекомендацій "Уніфікована методика з розробки клінічних настанов, медичних стандартів, уніфікованих клінічних протоколів медичної допомоги, локальних протоколів медичної допомоги (клінічн</w:t>
            </w:r>
            <w:r>
              <w:rPr>
                <w:i/>
                <w:iCs/>
                <w:color w:val="0000FF"/>
              </w:rPr>
              <w:t>их маршрутів пацієнтів) на засадах доказової медицини (частина перша)"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Стандартизація в охороні здоров'я</w:t>
            </w:r>
            <w:r>
              <w:br/>
            </w:r>
            <w:r>
              <w:rPr>
                <w:b/>
                <w:bCs/>
              </w:rPr>
              <w:t>(Standardization in Health Care)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Це діяльність, спрямована на досягнення опт</w:t>
            </w:r>
            <w:r>
              <w:t xml:space="preserve">имального ступеня впорядковування в охороні здоров'я шляхом розробки і встановлення вимог, норм, правил, </w:t>
            </w:r>
            <w:r>
              <w:lastRenderedPageBreak/>
              <w:t>характеристик умов, продукції, технологій, робіт, послуг, що застосовуються в охороні здоров'я.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(AHRQ Patient Safety Network, Glossary, 2008)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Уніфіков</w:t>
            </w:r>
            <w:r>
              <w:rPr>
                <w:b/>
                <w:bCs/>
              </w:rPr>
              <w:t>аний клінічний протокол медичної допомоги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Нормативний акт державного рівня, що розробляється на основі клінічних настанов з урахуванням можливостей системи охорони здоров'я (а в разі наяви стандарту медичної допомоги, то і у відповідності до нього). Покрок</w:t>
            </w:r>
            <w:r>
              <w:t>ово визначає процес надання медичної допомоги, обсяг та її результати при певному захворюванні, затверджується Міністерством охорони здоров'я.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МОЗ України та АМН України від 03.11.2009 р. N 798/75 "Про затвердження методичних рекомендацій "Уніфікова</w:t>
            </w:r>
            <w:r>
              <w:rPr>
                <w:i/>
                <w:iCs/>
                <w:color w:val="0000FF"/>
              </w:rPr>
              <w:t>на методика з розробки клінічних настанов, медичних стандартів, уніфікованих клінічних протоколів медичної допомоги, локальних протоколів медичної допомоги (клінічних маршрутів пацієнтів) на засадах доказової медицини (частина друга)"</w:t>
            </w:r>
            <w:r>
              <w:rPr>
                <w:i/>
                <w:iCs/>
              </w:rPr>
              <w:t xml:space="preserve"> у редакції </w:t>
            </w:r>
            <w:r>
              <w:rPr>
                <w:i/>
                <w:iCs/>
                <w:color w:val="0000FF"/>
              </w:rPr>
              <w:t>наказу МОЗ</w:t>
            </w:r>
            <w:r>
              <w:rPr>
                <w:i/>
                <w:iCs/>
                <w:color w:val="0000FF"/>
              </w:rPr>
              <w:t xml:space="preserve"> України та НАМН України від 20.07.2010 р. N 594/71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Управління якістю</w:t>
            </w:r>
            <w:r>
              <w:br/>
            </w:r>
            <w:r>
              <w:rPr>
                <w:b/>
                <w:bCs/>
              </w:rPr>
              <w:t>(Quality Management)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Скоординована діяльність, яка полягає у спрямовуванні та контролюванні організації щодо якості.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(ISO 9000:2000, IDT).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Державний формуляр лікарських засобів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Перелік лікарських засобів, зареєстрованих в Україні, що включає ліки з доведеною ефективністю, допустимою безпекою та економічно вигідним використанням.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Міністерства охорони здоров'я України N 529 від 22.07.2009 "Про створення формулярної системи з</w:t>
            </w:r>
            <w:r>
              <w:rPr>
                <w:i/>
                <w:iCs/>
                <w:color w:val="0000FF"/>
              </w:rPr>
              <w:t>абезпечення лікарськими засобами закладів охорони здоров'я"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Локальний формуляр лікарських засобів закладу охорони здоров'я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Перелік лікарських засобів з найбільшою доказовою базою щодо їх ефективності, безпеки та економічно вигідного використання коштів з</w:t>
            </w:r>
            <w:r>
              <w:t>акладу охорони здоров'я, що затверджується керівником закладу охорони здоров'я за погодженням з Міністерством охорони здоров'я Автономної Республіки Крим, управліннями охорони здоров'я обласної, Київської та Севастопольської міських державних адміністрацій</w:t>
            </w:r>
            <w:r>
              <w:t>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 xml:space="preserve">Наказ Міністерства охорони здоров'я України N 529 від 22.07.2009 "Про створення формулярної системи </w:t>
            </w:r>
            <w:r>
              <w:rPr>
                <w:i/>
                <w:iCs/>
                <w:color w:val="0000FF"/>
              </w:rPr>
              <w:lastRenderedPageBreak/>
              <w:t>забезпечення лікарськими засобами закладів охорони здоров'я"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lastRenderedPageBreak/>
              <w:t>Регіональний формуляр лікарських засобів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Перелік лікарських засобів з найбільшою доказовою</w:t>
            </w:r>
            <w:r>
              <w:t xml:space="preserve"> базою щодо їх ефективності, безпеки та економічно вигідного використання в даному регіоні, затверджений наказом Міністерства охорони здоров'я Автономної Республіки Крим, управліннями охорони здоров'я обласних, Київської та Севастопольської міських державн</w:t>
            </w:r>
            <w:r>
              <w:t xml:space="preserve">их адміністрацій. 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FF"/>
              </w:rPr>
              <w:t>Наказ Міністерства охорони здоров'я України N 529 від 22.07.2009 "Про створення формулярної системи забезпечення лікарськими засобами закладів охорони здоров'я"</w:t>
            </w:r>
            <w:r>
              <w:rPr>
                <w:i/>
                <w:iCs/>
              </w:rPr>
              <w:t>)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Цілі в сфері якості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Те, чого прагнуть, або до чого прямують у сфері якост</w:t>
            </w:r>
            <w:r>
              <w:t>і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(ISO 9000:2000, IDT).</w:t>
            </w:r>
          </w:p>
        </w:tc>
      </w:tr>
      <w:tr w:rsidR="00000000">
        <w:trPr>
          <w:tblCellSpacing w:w="22" w:type="dxa"/>
        </w:trPr>
        <w:tc>
          <w:tcPr>
            <w:tcW w:w="1900" w:type="pct"/>
            <w:hideMark/>
          </w:tcPr>
          <w:p w:rsidR="00000000" w:rsidRDefault="00D76DD0">
            <w:pPr>
              <w:pStyle w:val="a3"/>
            </w:pPr>
            <w:r>
              <w:rPr>
                <w:b/>
                <w:bCs/>
              </w:rPr>
              <w:t>Якість медичного обслуговування</w:t>
            </w:r>
            <w:r>
              <w:br/>
            </w:r>
            <w:r>
              <w:rPr>
                <w:b/>
                <w:bCs/>
              </w:rPr>
              <w:t>(Quality of Medical Care)</w:t>
            </w:r>
          </w:p>
        </w:tc>
        <w:tc>
          <w:tcPr>
            <w:tcW w:w="3750" w:type="pct"/>
            <w:hideMark/>
          </w:tcPr>
          <w:p w:rsidR="00000000" w:rsidRDefault="00D76DD0">
            <w:pPr>
              <w:pStyle w:val="a3"/>
              <w:jc w:val="both"/>
            </w:pPr>
            <w:r>
              <w:t>Якісне медичне обслуговування - це обслуговування, при якому ресурси організуються таким чином, щоб з максимальною ефективністю і безпечністю задовольняти медико-санітарні п</w:t>
            </w:r>
            <w:r>
              <w:t>отреби тих, хто найбільш усього потребує допомоги, проводити профілактику і лікування без непотрібних витрат і відповідно до вимог найвищого рівня.</w:t>
            </w:r>
          </w:p>
          <w:p w:rsidR="00000000" w:rsidRDefault="00D76DD0">
            <w:pPr>
              <w:pStyle w:val="a3"/>
              <w:jc w:val="both"/>
            </w:pPr>
            <w:r>
              <w:rPr>
                <w:i/>
                <w:iCs/>
              </w:rPr>
              <w:t>("Руководство по разработке стратегий обеспечения качества и безопасности с позиции систем здравоохранения /</w:t>
            </w:r>
            <w:r>
              <w:rPr>
                <w:i/>
                <w:iCs/>
              </w:rPr>
              <w:t xml:space="preserve">/ Европейское региональное бюро Всемирной организации здравоохранения, 2008. </w:t>
            </w:r>
            <w:r>
              <w:t xml:space="preserve">- </w:t>
            </w:r>
            <w:r>
              <w:rPr>
                <w:i/>
                <w:iCs/>
              </w:rPr>
              <w:t>86 с.")</w:t>
            </w:r>
          </w:p>
        </w:tc>
      </w:tr>
    </w:tbl>
    <w:p w:rsidR="00000000" w:rsidRDefault="00D76DD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D76DD0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D76DD0">
            <w:pPr>
              <w:pStyle w:val="a3"/>
              <w:jc w:val="center"/>
            </w:pPr>
            <w:r>
              <w:rPr>
                <w:b/>
                <w:bCs/>
              </w:rPr>
              <w:t>В. о. директора Департаменту</w:t>
            </w:r>
            <w:r>
              <w:br/>
            </w:r>
            <w:r>
              <w:rPr>
                <w:b/>
                <w:bCs/>
              </w:rPr>
              <w:t>управління та контролю якості</w:t>
            </w:r>
            <w:r>
              <w:br/>
            </w:r>
            <w:r>
              <w:rPr>
                <w:b/>
                <w:bCs/>
              </w:rPr>
              <w:t>медичних послуг</w:t>
            </w:r>
          </w:p>
        </w:tc>
        <w:tc>
          <w:tcPr>
            <w:tcW w:w="2500" w:type="pct"/>
            <w:vAlign w:val="bottom"/>
            <w:hideMark/>
          </w:tcPr>
          <w:p w:rsidR="00000000" w:rsidRDefault="00D76DD0">
            <w:pPr>
              <w:pStyle w:val="a3"/>
              <w:jc w:val="center"/>
            </w:pPr>
            <w:r>
              <w:rPr>
                <w:b/>
                <w:bCs/>
              </w:rPr>
              <w:t>О. В. Худошина</w:t>
            </w:r>
          </w:p>
        </w:tc>
      </w:tr>
    </w:tbl>
    <w:p w:rsidR="00000000" w:rsidRDefault="00D76DD0">
      <w:pPr>
        <w:pStyle w:val="a3"/>
        <w:jc w:val="both"/>
      </w:pPr>
      <w:r>
        <w:br w:type="textWrapping" w:clear="all"/>
      </w:r>
    </w:p>
    <w:p w:rsidR="00000000" w:rsidRDefault="00D76DD0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D76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© ТОВ "ЛІГА ЗАКОН", 2021</w:t>
            </w:r>
          </w:p>
        </w:tc>
        <w:tc>
          <w:tcPr>
            <w:tcW w:w="500" w:type="pct"/>
            <w:vAlign w:val="center"/>
            <w:hideMark/>
          </w:tcPr>
          <w:p w:rsidR="00000000" w:rsidRDefault="00D76DD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sadovnychyi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dovnychyi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DD0" w:rsidRDefault="00D76DD0">
      <w:pPr>
        <w:rPr>
          <w:rFonts w:eastAsia="Times New Roman"/>
        </w:rPr>
      </w:pPr>
    </w:p>
    <w:sectPr w:rsidR="00D76D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4908"/>
    <w:rsid w:val="00064908"/>
    <w:rsid w:val="00D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9A82A-F6FD-4790-926B-8352FE89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adovnychyi\AppData\Roaming\Liga70\Client\Session\LOGOTYPE.BMP" TargetMode="External"/><Relationship Id="rId4" Type="http://schemas.openxmlformats.org/officeDocument/2006/relationships/image" Target="file:///C:\Users\sadovnychyi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Садовничий Віктор Вікторович</dc:creator>
  <cp:keywords/>
  <dc:description/>
  <cp:lastModifiedBy>Садовничий Віктор Вікторович</cp:lastModifiedBy>
  <cp:revision>2</cp:revision>
  <dcterms:created xsi:type="dcterms:W3CDTF">2021-05-05T10:01:00Z</dcterms:created>
  <dcterms:modified xsi:type="dcterms:W3CDTF">2021-05-05T10:01:00Z</dcterms:modified>
</cp:coreProperties>
</file>