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D7" w:rsidRDefault="00C14ED7" w:rsidP="00C14ED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14ED7">
        <w:rPr>
          <w:rFonts w:ascii="Arial" w:hAnsi="Arial" w:cs="Arial"/>
          <w:sz w:val="18"/>
          <w:szCs w:val="18"/>
        </w:rPr>
        <w:t>Додаток 1</w:t>
      </w:r>
    </w:p>
    <w:p w:rsidR="00C14ED7" w:rsidRPr="00C14ED7" w:rsidRDefault="00C14ED7" w:rsidP="00C14ED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14ED7" w:rsidRPr="00EF6B2E" w:rsidRDefault="00C14ED7" w:rsidP="00C14ED7">
      <w:pPr>
        <w:spacing w:after="0" w:line="240" w:lineRule="auto"/>
        <w:jc w:val="center"/>
        <w:rPr>
          <w:rFonts w:ascii="Arial" w:hAnsi="Arial" w:cs="Arial"/>
          <w:b/>
        </w:rPr>
      </w:pPr>
      <w:r w:rsidRPr="00EF6B2E">
        <w:rPr>
          <w:rFonts w:ascii="Arial" w:hAnsi="Arial" w:cs="Arial"/>
          <w:b/>
        </w:rPr>
        <w:t>Перелік суттєвих поправок до протоколів клінічних випробувань, розглянутих на засідан</w:t>
      </w:r>
      <w:r>
        <w:rPr>
          <w:rFonts w:ascii="Arial" w:hAnsi="Arial" w:cs="Arial"/>
          <w:b/>
        </w:rPr>
        <w:t>ні</w:t>
      </w:r>
      <w:r w:rsidRPr="001A29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Науково-технічної ради №0</w:t>
      </w:r>
      <w:r>
        <w:rPr>
          <w:rFonts w:ascii="Arial" w:hAnsi="Arial" w:cs="Arial"/>
          <w:b/>
        </w:rPr>
        <w:t>4</w:t>
      </w:r>
      <w:r w:rsidRPr="00EF6B2E">
        <w:rPr>
          <w:rFonts w:ascii="Arial" w:hAnsi="Arial" w:cs="Arial"/>
          <w:b/>
        </w:rPr>
        <w:t xml:space="preserve"> від </w:t>
      </w:r>
      <w:r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.2017</w:t>
      </w:r>
      <w:r w:rsidRPr="00EF6B2E">
        <w:rPr>
          <w:rFonts w:ascii="Arial" w:hAnsi="Arial" w:cs="Arial"/>
          <w:b/>
        </w:rPr>
        <w:t>, на які були отримані позитивні висновки експертів</w:t>
      </w:r>
    </w:p>
    <w:p w:rsidR="00DF1BC3" w:rsidRDefault="00DF1BC3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518D2" w:rsidRPr="00C17A95" w:rsidRDefault="007518D2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64371" w:rsidRPr="00A87066" w:rsidRDefault="000B5CE3" w:rsidP="00564371">
      <w:pPr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4A7FAE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564371" w:rsidRPr="00A87066">
        <w:rPr>
          <w:rFonts w:ascii="Arial" w:hAnsi="Arial" w:cs="Arial"/>
          <w:b/>
          <w:bCs/>
          <w:kern w:val="32"/>
          <w:sz w:val="20"/>
          <w:szCs w:val="20"/>
        </w:rPr>
        <w:t>Оновлений протокол</w:t>
      </w:r>
      <w:r w:rsidR="006B0E19">
        <w:rPr>
          <w:rFonts w:ascii="Arial" w:hAnsi="Arial" w:cs="Arial"/>
          <w:b/>
          <w:bCs/>
          <w:kern w:val="32"/>
          <w:sz w:val="20"/>
          <w:szCs w:val="20"/>
        </w:rPr>
        <w:t xml:space="preserve"> з</w:t>
      </w:r>
      <w:r w:rsidR="00564371" w:rsidRPr="00A87066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564371">
        <w:rPr>
          <w:rFonts w:ascii="Arial" w:hAnsi="Arial" w:cs="Arial"/>
          <w:b/>
          <w:bCs/>
          <w:kern w:val="32"/>
          <w:sz w:val="20"/>
          <w:szCs w:val="20"/>
        </w:rPr>
        <w:t xml:space="preserve">інкорпорованою поправкою </w:t>
      </w:r>
      <w:r w:rsidR="00564371" w:rsidRPr="00A87066">
        <w:rPr>
          <w:rFonts w:ascii="Arial" w:hAnsi="Arial" w:cs="Arial"/>
          <w:b/>
          <w:bCs/>
          <w:kern w:val="32"/>
          <w:sz w:val="20"/>
          <w:szCs w:val="20"/>
        </w:rPr>
        <w:t xml:space="preserve">версія 2.0 від 03 жовтня 2016 англійською мовою; </w:t>
      </w:r>
      <w:r w:rsidR="00564371" w:rsidRPr="00A87066">
        <w:rPr>
          <w:rFonts w:ascii="Arial" w:hAnsi="Arial" w:cs="Arial"/>
          <w:b/>
          <w:sz w:val="20"/>
          <w:szCs w:val="20"/>
        </w:rPr>
        <w:t>Форм</w:t>
      </w:r>
      <w:r w:rsidR="00564371">
        <w:rPr>
          <w:rFonts w:ascii="Arial" w:hAnsi="Arial" w:cs="Arial"/>
          <w:b/>
          <w:sz w:val="20"/>
          <w:szCs w:val="20"/>
        </w:rPr>
        <w:t>а інформованої згоди</w:t>
      </w:r>
      <w:r w:rsidR="00564371" w:rsidRPr="00A87066">
        <w:rPr>
          <w:rFonts w:ascii="Arial" w:hAnsi="Arial" w:cs="Arial"/>
          <w:b/>
          <w:sz w:val="20"/>
          <w:szCs w:val="20"/>
        </w:rPr>
        <w:t xml:space="preserve"> версія 2.0 від 24 жовтня 2016 року, англійською, українською та російською мовами</w:t>
      </w:r>
      <w:r w:rsidR="00564371" w:rsidRPr="00A87066">
        <w:rPr>
          <w:rFonts w:ascii="Arial" w:hAnsi="Arial" w:cs="Arial"/>
          <w:color w:val="000000"/>
          <w:sz w:val="20"/>
          <w:szCs w:val="20"/>
        </w:rPr>
        <w:t xml:space="preserve"> до протоколу клінічного </w:t>
      </w:r>
      <w:r w:rsidR="00564371">
        <w:rPr>
          <w:rFonts w:ascii="Arial" w:hAnsi="Arial" w:cs="Arial"/>
          <w:color w:val="000000"/>
          <w:sz w:val="20"/>
          <w:szCs w:val="20"/>
        </w:rPr>
        <w:t>випробування</w:t>
      </w:r>
      <w:r w:rsidR="00564371" w:rsidRPr="00A87066">
        <w:rPr>
          <w:rFonts w:ascii="Arial" w:hAnsi="Arial" w:cs="Arial"/>
          <w:color w:val="000000"/>
          <w:sz w:val="20"/>
          <w:szCs w:val="20"/>
        </w:rPr>
        <w:t xml:space="preserve"> </w:t>
      </w:r>
      <w:r w:rsidR="00564371" w:rsidRPr="00A87066">
        <w:rPr>
          <w:rFonts w:ascii="Arial" w:hAnsi="Arial" w:cs="Arial"/>
          <w:sz w:val="20"/>
          <w:szCs w:val="20"/>
        </w:rPr>
        <w:t xml:space="preserve">«Рандомізоване, багатоцентрове, відкрите дослідження ІІІ фази </w:t>
      </w:r>
      <w:r w:rsidR="00564371" w:rsidRPr="00A87066">
        <w:rPr>
          <w:rFonts w:ascii="Arial" w:hAnsi="Arial" w:cs="Arial"/>
          <w:b/>
          <w:sz w:val="20"/>
          <w:szCs w:val="20"/>
        </w:rPr>
        <w:t>Акалабрутінібу</w:t>
      </w:r>
      <w:r w:rsidR="00564371" w:rsidRPr="00A87066">
        <w:rPr>
          <w:rFonts w:ascii="Arial" w:hAnsi="Arial" w:cs="Arial"/>
          <w:sz w:val="20"/>
          <w:szCs w:val="20"/>
        </w:rPr>
        <w:t xml:space="preserve"> (АСР-196) в порівнянні з або Іделалісібом  у поєднанні з Ритуксимабом,  або Бендамустіном у поєднанні з Ритуксимабом, на вибір дослідника, у пацієнтів з рецидивуючою або рефракторною хронічною лімфоцитарною лейкемією»,</w:t>
      </w:r>
      <w:r w:rsidR="00564371" w:rsidRPr="00A87066">
        <w:rPr>
          <w:rFonts w:ascii="Arial" w:hAnsi="Arial" w:cs="Arial"/>
          <w:color w:val="000000"/>
          <w:sz w:val="20"/>
          <w:szCs w:val="20"/>
        </w:rPr>
        <w:t xml:space="preserve"> </w:t>
      </w:r>
      <w:r w:rsidR="00564371" w:rsidRPr="00A87066">
        <w:rPr>
          <w:rFonts w:ascii="Arial" w:hAnsi="Arial" w:cs="Arial"/>
          <w:sz w:val="20"/>
          <w:szCs w:val="20"/>
        </w:rPr>
        <w:t xml:space="preserve">код дослідження </w:t>
      </w:r>
      <w:r w:rsidR="00564371" w:rsidRPr="00A87066">
        <w:rPr>
          <w:rFonts w:ascii="Arial" w:hAnsi="Arial" w:cs="Arial"/>
          <w:b/>
          <w:sz w:val="20"/>
          <w:szCs w:val="20"/>
        </w:rPr>
        <w:t>ACE-CL-309</w:t>
      </w:r>
      <w:r w:rsidR="00564371" w:rsidRPr="00A87066">
        <w:rPr>
          <w:rFonts w:ascii="Arial" w:hAnsi="Arial" w:cs="Arial"/>
          <w:sz w:val="20"/>
          <w:szCs w:val="20"/>
        </w:rPr>
        <w:t>, протокол від 24 березня 2016, версія 0.0; спонсор – Acerta Pharma BV, Нідерланди</w:t>
      </w:r>
    </w:p>
    <w:p w:rsidR="00564371" w:rsidRPr="00A87066" w:rsidRDefault="00564371" w:rsidP="0056437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Заявник – ТОВ «</w:t>
      </w:r>
      <w:r w:rsidRPr="00A87066">
        <w:rPr>
          <w:rFonts w:ascii="Arial" w:hAnsi="Arial" w:cs="Arial"/>
          <w:sz w:val="20"/>
          <w:szCs w:val="20"/>
        </w:rPr>
        <w:t xml:space="preserve">ФРА </w:t>
      </w:r>
      <w:r>
        <w:rPr>
          <w:rFonts w:ascii="Arial" w:hAnsi="Arial" w:cs="Arial"/>
          <w:sz w:val="20"/>
          <w:szCs w:val="20"/>
        </w:rPr>
        <w:t>Україна</w:t>
      </w:r>
      <w:r>
        <w:rPr>
          <w:rFonts w:ascii="Arial" w:hAnsi="Arial" w:cs="Arial"/>
          <w:bCs/>
          <w:sz w:val="20"/>
          <w:szCs w:val="20"/>
        </w:rPr>
        <w:t>»</w:t>
      </w:r>
    </w:p>
    <w:p w:rsidR="00C14ED7" w:rsidRDefault="00C14ED7" w:rsidP="003669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5A55A7" w:rsidRPr="005A55A7" w:rsidRDefault="005A55A7" w:rsidP="003669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55A7">
        <w:rPr>
          <w:rFonts w:ascii="Arial" w:hAnsi="Arial" w:cs="Arial"/>
          <w:b/>
          <w:sz w:val="20"/>
          <w:szCs w:val="20"/>
          <w:lang w:eastAsia="ru-RU"/>
        </w:rPr>
        <w:t>2.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5A55A7">
        <w:rPr>
          <w:rFonts w:ascii="Arial" w:hAnsi="Arial" w:cs="Arial"/>
          <w:b/>
          <w:sz w:val="20"/>
          <w:szCs w:val="20"/>
        </w:rPr>
        <w:t>Брошура дослідника версії 24.0 від 21 листопада 2016 р. англійською мовою</w:t>
      </w:r>
      <w:r w:rsidRPr="005A55A7">
        <w:rPr>
          <w:rFonts w:ascii="Arial" w:hAnsi="Arial" w:cs="Arial"/>
          <w:sz w:val="20"/>
          <w:szCs w:val="20"/>
        </w:rPr>
        <w:t xml:space="preserve"> до протоколу клінічного випробування «Міжнародне, багатоцентрове, рандомізоване, подвійне сліпе, плацебо-контрольоване дослідження ІІІ фази для вивчення ефективності та безпечності </w:t>
      </w:r>
      <w:r w:rsidRPr="005A55A7">
        <w:rPr>
          <w:rFonts w:ascii="Arial" w:hAnsi="Arial" w:cs="Arial"/>
          <w:b/>
          <w:sz w:val="20"/>
          <w:szCs w:val="20"/>
        </w:rPr>
        <w:t>рівароксабану</w:t>
      </w:r>
      <w:r w:rsidRPr="005A55A7">
        <w:rPr>
          <w:rFonts w:ascii="Arial" w:hAnsi="Arial" w:cs="Arial"/>
          <w:sz w:val="20"/>
          <w:szCs w:val="20"/>
        </w:rPr>
        <w:t xml:space="preserve"> для зниження ризику серйозних тромботичних судинних ускладнень у пацієнтів з симптоматичними захворюваннями периферійних артерій, які проходять процедури реваскуляризації нижніх кінцівок», код дослідження  </w:t>
      </w:r>
      <w:r w:rsidRPr="005A55A7">
        <w:rPr>
          <w:rFonts w:ascii="Arial" w:hAnsi="Arial" w:cs="Arial"/>
          <w:b/>
          <w:color w:val="000000"/>
          <w:sz w:val="20"/>
          <w:szCs w:val="20"/>
        </w:rPr>
        <w:t xml:space="preserve">BAY 59-7939/17454, </w:t>
      </w:r>
      <w:r w:rsidRPr="005A55A7">
        <w:rPr>
          <w:rFonts w:ascii="Arial" w:hAnsi="Arial" w:cs="Arial"/>
          <w:color w:val="000000"/>
          <w:sz w:val="20"/>
          <w:szCs w:val="20"/>
        </w:rPr>
        <w:t>версія 2.0 від 10 лютого 2016 року з поправкою 4, спонсор - Байєр АГ, [Bayer AG], Німеччина</w:t>
      </w:r>
    </w:p>
    <w:p w:rsidR="005A55A7" w:rsidRPr="005A55A7" w:rsidRDefault="005A55A7" w:rsidP="00366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55A7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5A55A7">
        <w:rPr>
          <w:rFonts w:ascii="Arial" w:hAnsi="Arial" w:cs="Arial"/>
          <w:sz w:val="20"/>
          <w:szCs w:val="20"/>
        </w:rPr>
        <w:t>Кованс</w:t>
      </w:r>
      <w:proofErr w:type="spellEnd"/>
      <w:r w:rsidRPr="005A55A7">
        <w:rPr>
          <w:rFonts w:ascii="Arial" w:hAnsi="Arial" w:cs="Arial"/>
          <w:sz w:val="20"/>
          <w:szCs w:val="20"/>
        </w:rPr>
        <w:t xml:space="preserve"> Клінікал енд Періепрувал Сервісез», Україна</w:t>
      </w:r>
    </w:p>
    <w:p w:rsidR="00C14ED7" w:rsidRDefault="00C14ED7" w:rsidP="001A4A31">
      <w:pPr>
        <w:pStyle w:val="ac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1A4A31" w:rsidRDefault="001A4A31" w:rsidP="001A4A31">
      <w:pPr>
        <w:pStyle w:val="ac"/>
        <w:spacing w:after="0"/>
        <w:ind w:left="0"/>
        <w:rPr>
          <w:rFonts w:ascii="Arial" w:hAnsi="Arial" w:cs="Arial"/>
          <w:sz w:val="20"/>
          <w:szCs w:val="20"/>
        </w:rPr>
      </w:pPr>
      <w:r w:rsidRPr="001A4A31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73D7">
        <w:rPr>
          <w:rFonts w:ascii="Arial" w:hAnsi="Arial" w:cs="Arial"/>
          <w:b/>
          <w:sz w:val="20"/>
          <w:szCs w:val="20"/>
        </w:rPr>
        <w:t xml:space="preserve">Оновлене Досьє досліджуваного лікарського засобу ALKS 3831, версія 6.0 від 30 листопада 2016 року: подовження терміну придатності ДЛЗ </w:t>
      </w:r>
      <w:r w:rsidRPr="009C73D7">
        <w:rPr>
          <w:rFonts w:ascii="Arial" w:hAnsi="Arial" w:cs="Arial"/>
          <w:b/>
          <w:sz w:val="20"/>
          <w:szCs w:val="20"/>
          <w:lang w:val="en-US"/>
        </w:rPr>
        <w:t>ALKS</w:t>
      </w:r>
      <w:r w:rsidRPr="009C73D7">
        <w:rPr>
          <w:rFonts w:ascii="Arial" w:hAnsi="Arial" w:cs="Arial"/>
          <w:b/>
          <w:sz w:val="20"/>
          <w:szCs w:val="20"/>
        </w:rPr>
        <w:t xml:space="preserve"> 3831, таблетки 10/10 мг та 20/10 мг, препарату оланзапін 10 мг та 20 мг та плацебо до 24 місяців </w:t>
      </w:r>
      <w:r w:rsidRPr="009C73D7">
        <w:rPr>
          <w:rFonts w:ascii="Arial" w:hAnsi="Arial" w:cs="Arial"/>
          <w:sz w:val="20"/>
          <w:szCs w:val="20"/>
        </w:rPr>
        <w:t xml:space="preserve">до протоколів клінічних </w:t>
      </w:r>
      <w:r>
        <w:rPr>
          <w:rFonts w:ascii="Arial" w:hAnsi="Arial" w:cs="Arial"/>
          <w:sz w:val="20"/>
          <w:szCs w:val="20"/>
        </w:rPr>
        <w:t>випробувань</w:t>
      </w:r>
      <w:r w:rsidRPr="00B55B53">
        <w:rPr>
          <w:rFonts w:ascii="Arial" w:hAnsi="Arial" w:cs="Arial"/>
          <w:sz w:val="20"/>
          <w:szCs w:val="20"/>
        </w:rPr>
        <w:t>:</w:t>
      </w:r>
      <w:r w:rsidRPr="009C73D7">
        <w:rPr>
          <w:rFonts w:ascii="Arial" w:hAnsi="Arial" w:cs="Arial"/>
          <w:sz w:val="20"/>
          <w:szCs w:val="20"/>
        </w:rPr>
        <w:t xml:space="preserve"> «Дослідження 3 фази для визначення ефективності антипсихотичної дії та безпечності препарату </w:t>
      </w:r>
      <w:r w:rsidRPr="009C73D7">
        <w:rPr>
          <w:rFonts w:ascii="Arial" w:hAnsi="Arial" w:cs="Arial"/>
          <w:b/>
          <w:sz w:val="20"/>
          <w:szCs w:val="20"/>
        </w:rPr>
        <w:t>ALKS 3831</w:t>
      </w:r>
      <w:r w:rsidRPr="009C73D7">
        <w:rPr>
          <w:rFonts w:ascii="Arial" w:hAnsi="Arial" w:cs="Arial"/>
          <w:sz w:val="20"/>
          <w:szCs w:val="20"/>
        </w:rPr>
        <w:t xml:space="preserve"> у дорослих пацієнтів із загостренням шизофренії», код дослідження </w:t>
      </w:r>
      <w:r w:rsidRPr="009C73D7">
        <w:rPr>
          <w:rFonts w:ascii="Arial" w:hAnsi="Arial" w:cs="Arial"/>
          <w:b/>
          <w:bCs/>
          <w:sz w:val="20"/>
          <w:szCs w:val="20"/>
          <w:lang w:val="en-US"/>
        </w:rPr>
        <w:t>ALK</w:t>
      </w:r>
      <w:r w:rsidRPr="009C73D7">
        <w:rPr>
          <w:rFonts w:ascii="Arial" w:hAnsi="Arial" w:cs="Arial"/>
          <w:b/>
          <w:bCs/>
          <w:sz w:val="20"/>
          <w:szCs w:val="20"/>
        </w:rPr>
        <w:t>3831-</w:t>
      </w:r>
      <w:r w:rsidRPr="009C73D7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9C73D7">
        <w:rPr>
          <w:rFonts w:ascii="Arial" w:hAnsi="Arial" w:cs="Arial"/>
          <w:b/>
          <w:bCs/>
          <w:sz w:val="20"/>
          <w:szCs w:val="20"/>
        </w:rPr>
        <w:t>305</w:t>
      </w:r>
      <w:r w:rsidRPr="009C73D7">
        <w:rPr>
          <w:rFonts w:ascii="Arial" w:hAnsi="Arial" w:cs="Arial"/>
          <w:bCs/>
          <w:sz w:val="20"/>
          <w:szCs w:val="20"/>
        </w:rPr>
        <w:t>, версія від 05 серпня 2015 року</w:t>
      </w:r>
      <w:r>
        <w:rPr>
          <w:rFonts w:ascii="Arial" w:hAnsi="Arial" w:cs="Arial"/>
          <w:bCs/>
          <w:sz w:val="20"/>
          <w:szCs w:val="20"/>
        </w:rPr>
        <w:t>;</w:t>
      </w:r>
      <w:r w:rsidRPr="009C73D7">
        <w:rPr>
          <w:rFonts w:ascii="Arial" w:hAnsi="Arial" w:cs="Arial"/>
          <w:bCs/>
          <w:sz w:val="20"/>
          <w:szCs w:val="20"/>
        </w:rPr>
        <w:t xml:space="preserve"> «Багатоцентрове дослідження 3-ї фази з метою визначення довгострокової безпечності та переносимості препарату </w:t>
      </w:r>
      <w:r w:rsidRPr="00470C21">
        <w:rPr>
          <w:rFonts w:ascii="Arial" w:hAnsi="Arial" w:cs="Arial"/>
          <w:b/>
          <w:bCs/>
          <w:sz w:val="20"/>
          <w:szCs w:val="20"/>
        </w:rPr>
        <w:t>ALKS 3831</w:t>
      </w:r>
      <w:r w:rsidRPr="009C73D7">
        <w:rPr>
          <w:rFonts w:ascii="Arial" w:hAnsi="Arial" w:cs="Arial"/>
          <w:bCs/>
          <w:sz w:val="20"/>
          <w:szCs w:val="20"/>
        </w:rPr>
        <w:t xml:space="preserve"> у пацієнтів із шизофренією»</w:t>
      </w:r>
      <w:r w:rsidRPr="009C73D7">
        <w:rPr>
          <w:rFonts w:ascii="Arial" w:hAnsi="Arial" w:cs="Arial"/>
          <w:sz w:val="20"/>
          <w:szCs w:val="20"/>
        </w:rPr>
        <w:t>, код дослідження</w:t>
      </w:r>
      <w:r w:rsidRPr="009C73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73D7">
        <w:rPr>
          <w:rFonts w:ascii="Arial" w:hAnsi="Arial" w:cs="Arial"/>
          <w:b/>
          <w:bCs/>
          <w:sz w:val="20"/>
          <w:szCs w:val="20"/>
          <w:lang w:val="en-US"/>
        </w:rPr>
        <w:t>ALK</w:t>
      </w:r>
      <w:r w:rsidRPr="009C73D7">
        <w:rPr>
          <w:rFonts w:ascii="Arial" w:hAnsi="Arial" w:cs="Arial"/>
          <w:b/>
          <w:bCs/>
          <w:sz w:val="20"/>
          <w:szCs w:val="20"/>
        </w:rPr>
        <w:t>3831-</w:t>
      </w:r>
      <w:r w:rsidRPr="009C73D7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9C73D7">
        <w:rPr>
          <w:rFonts w:ascii="Arial" w:hAnsi="Arial" w:cs="Arial"/>
          <w:b/>
          <w:bCs/>
          <w:sz w:val="20"/>
          <w:szCs w:val="20"/>
        </w:rPr>
        <w:t>306</w:t>
      </w:r>
      <w:r w:rsidRPr="009C73D7">
        <w:rPr>
          <w:rFonts w:ascii="Arial" w:hAnsi="Arial" w:cs="Arial"/>
          <w:bCs/>
          <w:sz w:val="20"/>
          <w:szCs w:val="20"/>
        </w:rPr>
        <w:t xml:space="preserve"> з поправкою 1 від 28 березня 2016 року;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73D7">
        <w:rPr>
          <w:rFonts w:ascii="Arial" w:hAnsi="Arial" w:cs="Arial"/>
          <w:sz w:val="20"/>
          <w:szCs w:val="20"/>
        </w:rPr>
        <w:t>спонсор – «Алкерм</w:t>
      </w:r>
      <w:r>
        <w:rPr>
          <w:rFonts w:ascii="Arial" w:hAnsi="Arial" w:cs="Arial"/>
          <w:sz w:val="20"/>
          <w:szCs w:val="20"/>
        </w:rPr>
        <w:t>ес, Інк.» (Alkermes, Inc.), США</w:t>
      </w:r>
      <w:r w:rsidRPr="009C73D7">
        <w:rPr>
          <w:rFonts w:ascii="Arial" w:hAnsi="Arial" w:cs="Arial"/>
          <w:sz w:val="20"/>
          <w:szCs w:val="20"/>
        </w:rPr>
        <w:t xml:space="preserve"> </w:t>
      </w:r>
    </w:p>
    <w:p w:rsidR="001A4A31" w:rsidRPr="009C73D7" w:rsidRDefault="001A4A31" w:rsidP="001A4A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73D7">
        <w:rPr>
          <w:rFonts w:ascii="Arial" w:hAnsi="Arial" w:cs="Arial"/>
          <w:sz w:val="20"/>
          <w:szCs w:val="20"/>
        </w:rPr>
        <w:t>Заявник – Представництво «Прем’єр Ресерч Джермані Лімітед» в Україні</w:t>
      </w:r>
    </w:p>
    <w:p w:rsidR="00C14ED7" w:rsidRDefault="00C14ED7" w:rsidP="003B4C8D">
      <w:pPr>
        <w:pStyle w:val="Default"/>
        <w:jc w:val="both"/>
        <w:rPr>
          <w:rFonts w:ascii="Arial" w:hAnsi="Arial" w:cs="Arial"/>
          <w:b/>
          <w:bCs/>
          <w:kern w:val="32"/>
          <w:sz w:val="20"/>
          <w:szCs w:val="20"/>
          <w:lang w:val="uk-UA"/>
        </w:rPr>
      </w:pPr>
    </w:p>
    <w:p w:rsidR="003B4C8D" w:rsidRPr="001A44E5" w:rsidRDefault="003B4C8D" w:rsidP="003B4C8D">
      <w:pPr>
        <w:pStyle w:val="Default"/>
        <w:jc w:val="both"/>
        <w:rPr>
          <w:rFonts w:ascii="Arial" w:hAnsi="Arial" w:cs="Arial"/>
          <w:iCs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4 </w:t>
      </w:r>
      <w:r w:rsidRPr="001A44E5">
        <w:rPr>
          <w:rFonts w:ascii="Arial" w:hAnsi="Arial" w:cs="Arial"/>
          <w:b/>
          <w:bCs/>
          <w:kern w:val="32"/>
          <w:sz w:val="20"/>
          <w:szCs w:val="20"/>
          <w:lang w:val="uk-UA"/>
        </w:rPr>
        <w:t>Збільшення запланованої кількості досліджуваних для включення у випробування в Україні до 20 осіб (7 додаткових пацієнтів)</w:t>
      </w:r>
      <w:r w:rsidRPr="001A44E5">
        <w:rPr>
          <w:b/>
          <w:bCs/>
          <w:i/>
          <w:kern w:val="32"/>
          <w:sz w:val="20"/>
          <w:szCs w:val="20"/>
          <w:lang w:val="uk-UA"/>
        </w:rPr>
        <w:t xml:space="preserve"> </w:t>
      </w:r>
      <w:r w:rsidRPr="001A44E5">
        <w:rPr>
          <w:rFonts w:ascii="Arial" w:hAnsi="Arial" w:cs="Arial"/>
          <w:bCs/>
          <w:kern w:val="32"/>
          <w:sz w:val="20"/>
          <w:szCs w:val="20"/>
          <w:lang w:val="uk-UA"/>
        </w:rPr>
        <w:t>до протоколу клінічного випробування «</w:t>
      </w:r>
      <w:r w:rsidRPr="001A44E5">
        <w:rPr>
          <w:rFonts w:ascii="Arial" w:hAnsi="Arial" w:cs="Arial"/>
          <w:bCs/>
          <w:sz w:val="20"/>
          <w:szCs w:val="20"/>
          <w:lang w:val="uk-UA"/>
        </w:rPr>
        <w:t xml:space="preserve">Відкрите рандомізоване багатоцентрове дослідження із застосуванням активного контролю, що проводиться з метою оцінки ефективності, фармакокінетичних і фармакодинамічних характеристик, безпечності, переносимості й імуногенності </w:t>
      </w:r>
      <w:r w:rsidRPr="001A44E5">
        <w:rPr>
          <w:rFonts w:ascii="Arial" w:hAnsi="Arial" w:cs="Arial"/>
          <w:b/>
          <w:bCs/>
          <w:sz w:val="20"/>
          <w:szCs w:val="20"/>
          <w:lang w:val="uk-UA"/>
        </w:rPr>
        <w:t>ліпегфілграстиму</w:t>
      </w:r>
      <w:r w:rsidRPr="001A44E5">
        <w:rPr>
          <w:rFonts w:ascii="Arial" w:hAnsi="Arial" w:cs="Arial"/>
          <w:bCs/>
          <w:sz w:val="20"/>
          <w:szCs w:val="20"/>
          <w:lang w:val="uk-UA"/>
        </w:rPr>
        <w:t xml:space="preserve"> в дозі 100 мкг/кг маси тіла в порівнянні з філграстимом у дозі 5 мкг/кг маси тіла в дітей і підлітків із пухлинами сімейства саркоми Юїнга або рабдоміосаркомою, яким проводиться хіміотерапія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»</w:t>
      </w:r>
      <w:r w:rsidRPr="001A44E5">
        <w:rPr>
          <w:rFonts w:ascii="Arial" w:hAnsi="Arial" w:cs="Arial"/>
          <w:bCs/>
          <w:kern w:val="32"/>
          <w:sz w:val="20"/>
          <w:szCs w:val="20"/>
          <w:lang w:val="uk-UA"/>
        </w:rPr>
        <w:t>; код дослідження </w:t>
      </w:r>
      <w:r w:rsidRPr="001A44E5">
        <w:rPr>
          <w:rFonts w:ascii="Arial" w:hAnsi="Arial" w:cs="Arial"/>
          <w:b/>
          <w:bCs/>
          <w:sz w:val="20"/>
          <w:szCs w:val="20"/>
          <w:lang w:val="uk-UA"/>
        </w:rPr>
        <w:t>XM22</w:t>
      </w:r>
      <w:r w:rsidRPr="001A44E5">
        <w:rPr>
          <w:rFonts w:ascii="Arial" w:hAnsi="Arial" w:cs="Arial"/>
          <w:b/>
          <w:bCs/>
          <w:sz w:val="20"/>
          <w:szCs w:val="20"/>
          <w:lang w:val="uk-UA"/>
        </w:rPr>
        <w:noBreakHyphen/>
        <w:t>08</w:t>
      </w:r>
      <w:r w:rsidRPr="001A44E5">
        <w:rPr>
          <w:rFonts w:ascii="Arial" w:hAnsi="Arial" w:cs="Arial"/>
          <w:bCs/>
          <w:sz w:val="20"/>
          <w:szCs w:val="20"/>
          <w:lang w:val="uk-UA"/>
        </w:rPr>
        <w:t xml:space="preserve">; редакція згідно з Поправкою 02 від 02 лютого 2016 р.; спонсор </w:t>
      </w:r>
      <w:r w:rsidRPr="001A44E5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– </w:t>
      </w:r>
      <w:r w:rsidRPr="001A44E5">
        <w:rPr>
          <w:rFonts w:ascii="Arial" w:hAnsi="Arial" w:cs="Arial"/>
          <w:iCs/>
          <w:sz w:val="20"/>
          <w:szCs w:val="20"/>
          <w:lang w:val="uk-UA"/>
        </w:rPr>
        <w:t>«Меркле ГмбХ»</w:t>
      </w:r>
      <w:r>
        <w:rPr>
          <w:rFonts w:ascii="Arial" w:hAnsi="Arial" w:cs="Arial"/>
          <w:iCs/>
          <w:sz w:val="20"/>
          <w:szCs w:val="20"/>
          <w:lang w:val="uk-UA"/>
        </w:rPr>
        <w:t xml:space="preserve"> (Merckle GmbH), Німеччина</w:t>
      </w:r>
    </w:p>
    <w:p w:rsidR="003B4C8D" w:rsidRDefault="003B4C8D" w:rsidP="003B4C8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4E5"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аявник – ТОВ "ПІ ЕС АЙ</w:t>
      </w:r>
      <w:r>
        <w:rPr>
          <w:rFonts w:ascii="Arial" w:hAnsi="Arial" w:cs="Arial"/>
          <w:color w:val="000000"/>
          <w:sz w:val="20"/>
          <w:szCs w:val="20"/>
        </w:rPr>
        <w:noBreakHyphen/>
        <w:t>Україна"</w:t>
      </w:r>
    </w:p>
    <w:p w:rsidR="00C14ED7" w:rsidRDefault="00C14ED7" w:rsidP="00452E1D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52E1D" w:rsidRPr="00452E1D" w:rsidRDefault="00C14ED7" w:rsidP="00452E1D">
      <w:pPr>
        <w:pStyle w:val="aa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5</w:t>
      </w:r>
      <w:r w:rsidR="00452E1D" w:rsidRPr="00452E1D">
        <w:rPr>
          <w:rFonts w:ascii="Arial" w:hAnsi="Arial" w:cs="Arial"/>
          <w:b/>
          <w:sz w:val="20"/>
          <w:szCs w:val="20"/>
          <w:lang w:val="uk-UA"/>
        </w:rPr>
        <w:t>.</w:t>
      </w:r>
      <w:r w:rsidR="00452E1D" w:rsidRPr="00452E1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452E1D" w:rsidRPr="00452E1D">
        <w:rPr>
          <w:rFonts w:ascii="Arial" w:hAnsi="Arial" w:cs="Arial"/>
          <w:b/>
          <w:bCs/>
          <w:sz w:val="20"/>
          <w:szCs w:val="20"/>
          <w:lang w:val="uk-UA"/>
        </w:rPr>
        <w:t xml:space="preserve">Брошура дослідника досліджуваного лікарського засобу RO4876646/Avastin® (bevacizumab), версія 24 від листопада 2016 року, англійською мовою; Інформація для пацієнта та Форма інформованої згоди для України, версія 5.0 англійською мовою від 14 листопада 2016 року; Інформація для пацієнта та Форма інформованої згоди для України, версія 5.0 українською мовою від 08 грудня 2016 року; Інформація для пацієнта та Форма інформованої згоди для України, версія 5.0 російською мовою від 08 грудня 2016 року </w:t>
      </w:r>
      <w:r w:rsidR="00452E1D" w:rsidRPr="00452E1D">
        <w:rPr>
          <w:rFonts w:ascii="Arial" w:hAnsi="Arial" w:cs="Arial"/>
          <w:sz w:val="20"/>
          <w:szCs w:val="20"/>
          <w:lang w:val="uk-UA"/>
        </w:rPr>
        <w:t>до протоколу клінічного випробування «Відкрите, рандомізоване дослідження 3ї фази препарату</w:t>
      </w:r>
      <w:r w:rsidR="00452E1D" w:rsidRPr="00452E1D">
        <w:rPr>
          <w:rFonts w:ascii="Arial" w:hAnsi="Arial" w:cs="Arial"/>
          <w:b/>
          <w:sz w:val="20"/>
          <w:szCs w:val="20"/>
          <w:lang w:val="uk-UA"/>
        </w:rPr>
        <w:t xml:space="preserve"> Атезолізумаб (MPDL3280A, ANTI-PD - L1 антитіло)</w:t>
      </w:r>
      <w:r w:rsidR="00452E1D" w:rsidRPr="00452E1D">
        <w:rPr>
          <w:rFonts w:ascii="Arial" w:hAnsi="Arial" w:cs="Arial"/>
          <w:sz w:val="20"/>
          <w:szCs w:val="20"/>
          <w:lang w:val="uk-UA"/>
        </w:rPr>
        <w:t xml:space="preserve">, в комбінації зі схемою Карбоплатин +Паклітаксел, з Бевацизумабом або без, у порівнянні зі схемою лікування Карбоплатин+Паклітаксел+Бевацизумаб у наївних до хіміотерапії пацієнтів з неплоскоклітинним недрібноклітинним раком легень IV стадії»; код дослідження </w:t>
      </w:r>
      <w:r w:rsidR="00452E1D" w:rsidRPr="00452E1D">
        <w:rPr>
          <w:rFonts w:ascii="Arial" w:hAnsi="Arial" w:cs="Arial"/>
          <w:b/>
          <w:sz w:val="20"/>
          <w:szCs w:val="20"/>
          <w:lang w:val="uk-UA"/>
        </w:rPr>
        <w:t>GO29436</w:t>
      </w:r>
      <w:r w:rsidR="00452E1D" w:rsidRPr="00452E1D">
        <w:rPr>
          <w:rFonts w:ascii="Arial" w:hAnsi="Arial" w:cs="Arial"/>
          <w:sz w:val="20"/>
          <w:szCs w:val="20"/>
          <w:lang w:val="uk-UA"/>
        </w:rPr>
        <w:t>; версія 5 від 31 травня 2016 року; спонсор – F. Hoffmann-La Roche Ltd. («Ф. Хоффманн-Ля Рош Лтд»), Швейцарія</w:t>
      </w:r>
      <w:proofErr w:type="gramEnd"/>
    </w:p>
    <w:p w:rsidR="00452E1D" w:rsidRPr="00452E1D" w:rsidRDefault="00452E1D" w:rsidP="00452E1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E1D">
        <w:rPr>
          <w:rFonts w:ascii="Arial" w:hAnsi="Arial" w:cs="Arial"/>
          <w:sz w:val="20"/>
          <w:szCs w:val="20"/>
        </w:rPr>
        <w:t>Заявник – ТОВ «КДО ІнноФарм-Україна»</w:t>
      </w:r>
    </w:p>
    <w:p w:rsidR="00C14ED7" w:rsidRDefault="00C14ED7" w:rsidP="002C06B5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87094" w:rsidRPr="00C14ED7" w:rsidRDefault="00687094" w:rsidP="002C06B5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4ED7">
        <w:rPr>
          <w:rFonts w:ascii="Arial" w:hAnsi="Arial" w:cs="Arial"/>
          <w:b/>
          <w:sz w:val="20"/>
          <w:szCs w:val="20"/>
        </w:rPr>
        <w:t>6.</w:t>
      </w:r>
      <w:r w:rsidRPr="00C14ED7">
        <w:rPr>
          <w:rFonts w:ascii="Arial" w:hAnsi="Arial" w:cs="Arial"/>
          <w:sz w:val="20"/>
          <w:szCs w:val="20"/>
        </w:rPr>
        <w:t xml:space="preserve"> </w:t>
      </w:r>
      <w:r w:rsidRPr="00C14ED7">
        <w:rPr>
          <w:rFonts w:ascii="Arial" w:hAnsi="Arial" w:cs="Arial"/>
          <w:b/>
          <w:sz w:val="20"/>
          <w:szCs w:val="20"/>
        </w:rPr>
        <w:t>Брошура дослідника, версія 24 від листопада 2016 року</w:t>
      </w:r>
      <w:r w:rsidRPr="00C14ED7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Pr="00C14ED7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, подвійне сліпе, плацебо-контрольоване, </w:t>
      </w:r>
      <w:proofErr w:type="spellStart"/>
      <w:r w:rsidRPr="00C14ED7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дослідження фази 3 для оцінки ефективності та безпечності </w:t>
      </w:r>
      <w:proofErr w:type="spellStart"/>
      <w:r w:rsidRPr="00C14ED7">
        <w:rPr>
          <w:rFonts w:ascii="Arial" w:hAnsi="Arial" w:cs="Arial"/>
          <w:b/>
          <w:sz w:val="20"/>
          <w:szCs w:val="20"/>
        </w:rPr>
        <w:t>Бевацизумабу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та асоційованих </w:t>
      </w:r>
      <w:proofErr w:type="spellStart"/>
      <w:r w:rsidRPr="00C14ED7">
        <w:rPr>
          <w:rFonts w:ascii="Arial" w:hAnsi="Arial" w:cs="Arial"/>
          <w:sz w:val="20"/>
          <w:szCs w:val="20"/>
        </w:rPr>
        <w:t>біомаркерів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у комбінації з </w:t>
      </w:r>
      <w:proofErr w:type="spellStart"/>
      <w:r w:rsidRPr="00C14ED7">
        <w:rPr>
          <w:rFonts w:ascii="Arial" w:hAnsi="Arial" w:cs="Arial"/>
          <w:sz w:val="20"/>
          <w:szCs w:val="20"/>
        </w:rPr>
        <w:t>Паклітакселом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у порівнянні з  </w:t>
      </w:r>
      <w:proofErr w:type="spellStart"/>
      <w:r w:rsidRPr="00C14ED7">
        <w:rPr>
          <w:rFonts w:ascii="Arial" w:hAnsi="Arial" w:cs="Arial"/>
          <w:sz w:val="20"/>
          <w:szCs w:val="20"/>
        </w:rPr>
        <w:t>Паклітакселом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плюс плацебо  як терапії першої лінії у пацієнтів з  </w:t>
      </w:r>
      <w:r w:rsidRPr="002C06B5">
        <w:rPr>
          <w:rFonts w:ascii="Arial" w:hAnsi="Arial" w:cs="Arial"/>
          <w:sz w:val="20"/>
          <w:szCs w:val="20"/>
          <w:lang w:val="ru-RU"/>
        </w:rPr>
        <w:t>HER</w:t>
      </w:r>
      <w:r w:rsidRPr="00C14ED7">
        <w:rPr>
          <w:rFonts w:ascii="Arial" w:hAnsi="Arial" w:cs="Arial"/>
          <w:sz w:val="20"/>
          <w:szCs w:val="20"/>
        </w:rPr>
        <w:t>2-</w:t>
      </w:r>
      <w:r w:rsidRPr="00C14ED7">
        <w:rPr>
          <w:rFonts w:ascii="Arial" w:hAnsi="Arial" w:cs="Arial"/>
          <w:sz w:val="20"/>
          <w:szCs w:val="20"/>
        </w:rPr>
        <w:lastRenderedPageBreak/>
        <w:t>негативним метас</w:t>
      </w:r>
      <w:r w:rsidR="00D007A1" w:rsidRPr="00C14ED7">
        <w:rPr>
          <w:rFonts w:ascii="Arial" w:hAnsi="Arial" w:cs="Arial"/>
          <w:sz w:val="20"/>
          <w:szCs w:val="20"/>
        </w:rPr>
        <w:t>татичним раком молочної залози»,</w:t>
      </w:r>
      <w:r w:rsidRPr="00C14ED7">
        <w:rPr>
          <w:rFonts w:ascii="Arial" w:hAnsi="Arial" w:cs="Arial"/>
          <w:sz w:val="20"/>
          <w:szCs w:val="20"/>
        </w:rPr>
        <w:t xml:space="preserve"> код дослідження </w:t>
      </w:r>
      <w:r w:rsidRPr="002C06B5">
        <w:rPr>
          <w:rFonts w:ascii="Arial" w:hAnsi="Arial" w:cs="Arial"/>
          <w:b/>
          <w:sz w:val="20"/>
          <w:szCs w:val="20"/>
          <w:lang w:val="ru-RU"/>
        </w:rPr>
        <w:t>GO</w:t>
      </w:r>
      <w:r w:rsidRPr="00C14ED7">
        <w:rPr>
          <w:rFonts w:ascii="Arial" w:hAnsi="Arial" w:cs="Arial"/>
          <w:b/>
          <w:sz w:val="20"/>
          <w:szCs w:val="20"/>
        </w:rPr>
        <w:t>25632</w:t>
      </w:r>
      <w:r w:rsidRPr="00C14ED7">
        <w:rPr>
          <w:rFonts w:ascii="Arial" w:hAnsi="Arial" w:cs="Arial"/>
          <w:sz w:val="20"/>
          <w:szCs w:val="20"/>
        </w:rPr>
        <w:t xml:space="preserve">, з інкорпорованою поправкою, версія 6 від 14 вересня 2015 року; спонсор – «Ф. </w:t>
      </w:r>
      <w:proofErr w:type="spellStart"/>
      <w:r w:rsidRPr="00C14ED7">
        <w:rPr>
          <w:rFonts w:ascii="Arial" w:hAnsi="Arial" w:cs="Arial"/>
          <w:sz w:val="20"/>
          <w:szCs w:val="20"/>
        </w:rPr>
        <w:t>Хоффманн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C14ED7">
        <w:rPr>
          <w:rFonts w:ascii="Arial" w:hAnsi="Arial" w:cs="Arial"/>
          <w:sz w:val="20"/>
          <w:szCs w:val="20"/>
        </w:rPr>
        <w:t>Рош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ED7">
        <w:rPr>
          <w:rFonts w:ascii="Arial" w:hAnsi="Arial" w:cs="Arial"/>
          <w:sz w:val="20"/>
          <w:szCs w:val="20"/>
        </w:rPr>
        <w:t>Лтд</w:t>
      </w:r>
      <w:proofErr w:type="spellEnd"/>
      <w:r w:rsidRPr="00C14ED7">
        <w:rPr>
          <w:rFonts w:ascii="Arial" w:hAnsi="Arial" w:cs="Arial"/>
          <w:sz w:val="20"/>
          <w:szCs w:val="20"/>
        </w:rPr>
        <w:t>» (</w:t>
      </w:r>
      <w:r w:rsidRPr="002C06B5">
        <w:rPr>
          <w:rFonts w:ascii="Arial" w:hAnsi="Arial" w:cs="Arial"/>
          <w:sz w:val="20"/>
          <w:szCs w:val="20"/>
          <w:lang w:val="ru-RU"/>
        </w:rPr>
        <w:t>F</w:t>
      </w:r>
      <w:r w:rsidRPr="00C14ED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C06B5">
        <w:rPr>
          <w:rFonts w:ascii="Arial" w:hAnsi="Arial" w:cs="Arial"/>
          <w:sz w:val="20"/>
          <w:szCs w:val="20"/>
          <w:lang w:val="ru-RU"/>
        </w:rPr>
        <w:t>Hoffmann</w:t>
      </w:r>
      <w:proofErr w:type="spellEnd"/>
      <w:r w:rsidRPr="00C14ED7">
        <w:rPr>
          <w:rFonts w:ascii="Arial" w:hAnsi="Arial" w:cs="Arial"/>
          <w:sz w:val="20"/>
          <w:szCs w:val="20"/>
        </w:rPr>
        <w:t>-</w:t>
      </w:r>
      <w:proofErr w:type="spellStart"/>
      <w:r w:rsidRPr="002C06B5">
        <w:rPr>
          <w:rFonts w:ascii="Arial" w:hAnsi="Arial" w:cs="Arial"/>
          <w:sz w:val="20"/>
          <w:szCs w:val="20"/>
          <w:lang w:val="ru-RU"/>
        </w:rPr>
        <w:t>La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6B5">
        <w:rPr>
          <w:rFonts w:ascii="Arial" w:hAnsi="Arial" w:cs="Arial"/>
          <w:sz w:val="20"/>
          <w:szCs w:val="20"/>
          <w:lang w:val="ru-RU"/>
        </w:rPr>
        <w:t>Roche</w:t>
      </w:r>
      <w:proofErr w:type="spellEnd"/>
      <w:r w:rsidRPr="00C14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6B5">
        <w:rPr>
          <w:rFonts w:ascii="Arial" w:hAnsi="Arial" w:cs="Arial"/>
          <w:sz w:val="20"/>
          <w:szCs w:val="20"/>
          <w:lang w:val="ru-RU"/>
        </w:rPr>
        <w:t>Ltd</w:t>
      </w:r>
      <w:proofErr w:type="spellEnd"/>
      <w:r w:rsidRPr="00C14ED7">
        <w:rPr>
          <w:rFonts w:ascii="Arial" w:hAnsi="Arial" w:cs="Arial"/>
          <w:sz w:val="20"/>
          <w:szCs w:val="20"/>
        </w:rPr>
        <w:t>.), Швейцарія</w:t>
      </w:r>
    </w:p>
    <w:p w:rsidR="00687094" w:rsidRPr="002C06B5" w:rsidRDefault="00687094" w:rsidP="002C06B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2C06B5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2C06B5">
        <w:rPr>
          <w:rFonts w:ascii="Arial" w:hAnsi="Arial" w:cs="Arial"/>
          <w:sz w:val="20"/>
          <w:szCs w:val="20"/>
          <w:lang w:val="ru-RU"/>
        </w:rPr>
        <w:t xml:space="preserve"> – ПІІ 100% «Квінтайлс Україна»</w:t>
      </w:r>
    </w:p>
    <w:p w:rsidR="00C14ED7" w:rsidRDefault="00C14ED7" w:rsidP="003354A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A6F8B" w:rsidRPr="003354A3" w:rsidRDefault="006A6F8B" w:rsidP="00335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4ED7">
        <w:rPr>
          <w:rFonts w:ascii="Arial" w:hAnsi="Arial" w:cs="Arial"/>
          <w:b/>
          <w:sz w:val="20"/>
          <w:szCs w:val="20"/>
        </w:rPr>
        <w:t>7</w:t>
      </w:r>
      <w:r w:rsidRPr="003354A3">
        <w:rPr>
          <w:rFonts w:ascii="Arial" w:hAnsi="Arial" w:cs="Arial"/>
          <w:b/>
          <w:sz w:val="20"/>
          <w:szCs w:val="20"/>
        </w:rPr>
        <w:t>. Брошура дослідника досліджуваного лікарського засобу Абемацікліб (LY2835219), версія від 12 грудня 2016 року англійською мовою</w:t>
      </w:r>
      <w:r w:rsidRPr="003354A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354A3">
        <w:rPr>
          <w:rFonts w:ascii="Arial" w:hAnsi="Arial" w:cs="Arial"/>
          <w:b/>
          <w:sz w:val="20"/>
          <w:szCs w:val="20"/>
        </w:rPr>
        <w:t>Інформація для пацієнта дослідження та Форма Інформованої Згоди для використання в Україні, версія 3.0 російською мовою від 21 грудня 2016 року; Інформація для пацієнта дослідження та Форма Інформованої Згоди для використання в Україні, версія 3.0 українською мовою від 21 грудня 2016 року</w:t>
      </w:r>
      <w:r w:rsidRPr="003354A3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«Рандомізоване дослідження II фази для порівняння </w:t>
      </w:r>
      <w:r w:rsidRPr="003354A3">
        <w:rPr>
          <w:rFonts w:ascii="Arial" w:hAnsi="Arial" w:cs="Arial"/>
          <w:b/>
          <w:color w:val="000000"/>
          <w:sz w:val="20"/>
          <w:szCs w:val="20"/>
        </w:rPr>
        <w:t>абемацікліба</w:t>
      </w:r>
      <w:r w:rsidRPr="003354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54A3">
        <w:rPr>
          <w:rFonts w:ascii="Arial" w:hAnsi="Arial" w:cs="Arial"/>
          <w:b/>
          <w:color w:val="000000"/>
          <w:sz w:val="20"/>
          <w:szCs w:val="20"/>
        </w:rPr>
        <w:t>(LY2835219)</w:t>
      </w:r>
      <w:r w:rsidRPr="003354A3">
        <w:rPr>
          <w:rFonts w:ascii="Arial" w:hAnsi="Arial" w:cs="Arial"/>
          <w:color w:val="000000"/>
          <w:sz w:val="20"/>
          <w:szCs w:val="20"/>
        </w:rPr>
        <w:t xml:space="preserve"> та доцетаксела у терапії пацієнтів із плоскоклітинним недрібноклітинним раком легені IV стадії після хіміотерапії на основі похідних платини»,</w:t>
      </w:r>
      <w:r w:rsidR="00604438" w:rsidRPr="00604438">
        <w:rPr>
          <w:rFonts w:ascii="Arial" w:hAnsi="Arial" w:cs="Arial"/>
          <w:sz w:val="20"/>
          <w:szCs w:val="20"/>
        </w:rPr>
        <w:t xml:space="preserve"> код дослідження</w:t>
      </w:r>
      <w:r w:rsidRPr="003354A3">
        <w:rPr>
          <w:rFonts w:ascii="Arial" w:hAnsi="Arial" w:cs="Arial"/>
          <w:b/>
          <w:color w:val="000000"/>
          <w:sz w:val="20"/>
          <w:szCs w:val="20"/>
        </w:rPr>
        <w:t xml:space="preserve"> I3Y-MC-JPBX,  </w:t>
      </w:r>
      <w:r w:rsidRPr="003354A3">
        <w:rPr>
          <w:rFonts w:ascii="Arial" w:hAnsi="Arial" w:cs="Arial"/>
          <w:color w:val="000000"/>
          <w:sz w:val="20"/>
          <w:szCs w:val="20"/>
        </w:rPr>
        <w:t xml:space="preserve">ініціальна версія від 27 березня 2015 року; </w:t>
      </w:r>
      <w:r w:rsidRPr="003354A3">
        <w:rPr>
          <w:rFonts w:ascii="Arial" w:hAnsi="Arial" w:cs="Arial"/>
          <w:sz w:val="20"/>
          <w:szCs w:val="20"/>
        </w:rPr>
        <w:t>спонсор</w:t>
      </w:r>
      <w:r w:rsidRPr="003354A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3354A3" w:rsidRPr="003354A3">
        <w:rPr>
          <w:rFonts w:ascii="Arial" w:hAnsi="Arial" w:cs="Arial"/>
          <w:color w:val="000000"/>
          <w:sz w:val="20"/>
          <w:szCs w:val="20"/>
        </w:rPr>
        <w:t>Елі Ліллі енд Компані, США / Eli Lilly and Company, USA</w:t>
      </w:r>
    </w:p>
    <w:p w:rsidR="006A6F8B" w:rsidRPr="003354A3" w:rsidRDefault="006A6F8B" w:rsidP="003354A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354A3">
        <w:rPr>
          <w:rFonts w:ascii="Arial" w:hAnsi="Arial" w:cs="Arial"/>
          <w:color w:val="000000"/>
          <w:sz w:val="20"/>
          <w:szCs w:val="20"/>
        </w:rPr>
        <w:t>Заявник – «Елі Ліллі Восток СА», Швейцарія</w:t>
      </w:r>
    </w:p>
    <w:p w:rsidR="00C14ED7" w:rsidRDefault="00C14ED7" w:rsidP="000C203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5F68CF" w:rsidRPr="000C203E" w:rsidRDefault="005F68CF" w:rsidP="000C20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203E">
        <w:rPr>
          <w:rFonts w:ascii="Arial" w:hAnsi="Arial" w:cs="Arial"/>
          <w:b/>
          <w:sz w:val="20"/>
          <w:szCs w:val="20"/>
        </w:rPr>
        <w:t>8. Оновлений розділ Досьє досліджуваного лікарського засобу, 3.2.P.8 Stability NNC0195-0092 5 mg/1.5 ml, 10 mg/1.5 ml and 15 mg/1.5 ml, остаточна версія 5.0 від 14 грудня 2016 року;</w:t>
      </w:r>
      <w:r w:rsidR="00D13478" w:rsidRPr="000C203E">
        <w:rPr>
          <w:rFonts w:ascii="Arial" w:hAnsi="Arial" w:cs="Arial"/>
          <w:b/>
          <w:sz w:val="20"/>
          <w:szCs w:val="20"/>
        </w:rPr>
        <w:t xml:space="preserve"> </w:t>
      </w:r>
      <w:r w:rsidRPr="000C203E">
        <w:rPr>
          <w:rFonts w:ascii="Arial" w:hAnsi="Arial" w:cs="Arial"/>
          <w:b/>
          <w:sz w:val="20"/>
          <w:szCs w:val="20"/>
        </w:rPr>
        <w:t xml:space="preserve">Термін придатності NNC0195-0092 5 мг/1.5 мл, 10 мг/1.5 мл та 15 мг/1.5 мл  збільшено з 30 до 36 місяців при температурі 5°C ± 3°C </w:t>
      </w:r>
      <w:r w:rsidRPr="000C203E">
        <w:rPr>
          <w:rFonts w:ascii="Arial" w:hAnsi="Arial" w:cs="Arial"/>
          <w:sz w:val="20"/>
          <w:szCs w:val="20"/>
        </w:rPr>
        <w:t xml:space="preserve">до протоколу клінічного випробування </w:t>
      </w:r>
      <w:r w:rsidRPr="000C203E">
        <w:rPr>
          <w:rFonts w:ascii="Arial" w:hAnsi="Arial" w:cs="Arial"/>
          <w:bCs/>
          <w:iCs/>
          <w:sz w:val="20"/>
          <w:szCs w:val="20"/>
        </w:rPr>
        <w:t>«</w:t>
      </w:r>
      <w:r w:rsidRPr="000C203E">
        <w:rPr>
          <w:rFonts w:ascii="Arial" w:hAnsi="Arial" w:cs="Arial"/>
          <w:bCs/>
          <w:iCs/>
          <w:sz w:val="20"/>
          <w:szCs w:val="20"/>
          <w:lang w:bidi="uk-UA"/>
        </w:rPr>
        <w:t xml:space="preserve">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</w:t>
      </w:r>
      <w:r w:rsidRPr="000C203E">
        <w:rPr>
          <w:rFonts w:ascii="Arial" w:hAnsi="Arial" w:cs="Arial"/>
          <w:b/>
          <w:bCs/>
          <w:iCs/>
          <w:sz w:val="20"/>
          <w:szCs w:val="20"/>
          <w:lang w:bidi="uk-UA"/>
        </w:rPr>
        <w:t>NNC0195-0092</w:t>
      </w:r>
      <w:r w:rsidRPr="000C203E">
        <w:rPr>
          <w:rFonts w:ascii="Arial" w:hAnsi="Arial" w:cs="Arial"/>
          <w:bCs/>
          <w:iCs/>
          <w:sz w:val="20"/>
          <w:szCs w:val="20"/>
          <w:lang w:bidi="uk-UA"/>
        </w:rPr>
        <w:t xml:space="preserve"> один раз на тиждень у порівнянні з щоденним застосуванням препарату гормону росту (Нордітропін® ФлексПро®) у дітей препубертатного віку з дефіцитом гормону росту, у яких раніше не проводилася терапія препаратами гормону росту</w:t>
      </w:r>
      <w:r w:rsidRPr="000C203E">
        <w:rPr>
          <w:rFonts w:ascii="Arial" w:hAnsi="Arial" w:cs="Arial"/>
          <w:bCs/>
          <w:iCs/>
          <w:sz w:val="20"/>
          <w:szCs w:val="20"/>
        </w:rPr>
        <w:t>»</w:t>
      </w:r>
      <w:r w:rsidRPr="000C203E">
        <w:rPr>
          <w:rFonts w:ascii="Arial" w:hAnsi="Arial" w:cs="Arial"/>
          <w:iCs/>
          <w:sz w:val="20"/>
          <w:szCs w:val="20"/>
        </w:rPr>
        <w:t>,</w:t>
      </w:r>
      <w:r w:rsidR="00604438" w:rsidRPr="000C203E">
        <w:rPr>
          <w:rFonts w:ascii="Arial" w:hAnsi="Arial" w:cs="Arial"/>
          <w:sz w:val="20"/>
          <w:szCs w:val="20"/>
        </w:rPr>
        <w:t xml:space="preserve"> код дослідження</w:t>
      </w:r>
      <w:r w:rsidR="00604438" w:rsidRPr="000C203E">
        <w:rPr>
          <w:rFonts w:ascii="Arial" w:hAnsi="Arial" w:cs="Arial"/>
          <w:b/>
          <w:sz w:val="20"/>
          <w:szCs w:val="20"/>
        </w:rPr>
        <w:t xml:space="preserve"> NN8640-4172</w:t>
      </w:r>
      <w:r w:rsidR="000C203E" w:rsidRPr="000C203E">
        <w:rPr>
          <w:rFonts w:ascii="Arial" w:hAnsi="Arial" w:cs="Arial"/>
          <w:sz w:val="20"/>
          <w:szCs w:val="20"/>
        </w:rPr>
        <w:t xml:space="preserve">, </w:t>
      </w:r>
      <w:r w:rsidRPr="000C203E">
        <w:rPr>
          <w:rFonts w:ascii="Arial" w:hAnsi="Arial" w:cs="Arial"/>
          <w:iCs/>
          <w:sz w:val="20"/>
          <w:szCs w:val="20"/>
        </w:rPr>
        <w:t>остаточна версія 2.0 від 08 вересня 2016 р</w:t>
      </w:r>
      <w:r w:rsidRPr="000C203E">
        <w:rPr>
          <w:rFonts w:ascii="Arial" w:hAnsi="Arial" w:cs="Arial"/>
          <w:bCs/>
          <w:iCs/>
          <w:sz w:val="20"/>
          <w:szCs w:val="20"/>
        </w:rPr>
        <w:t>.</w:t>
      </w:r>
      <w:r w:rsidRPr="000C203E">
        <w:rPr>
          <w:rFonts w:ascii="Arial" w:hAnsi="Arial" w:cs="Arial"/>
          <w:iCs/>
          <w:sz w:val="20"/>
          <w:szCs w:val="20"/>
        </w:rPr>
        <w:t xml:space="preserve">, спонсор - </w:t>
      </w:r>
      <w:r w:rsidR="00604438" w:rsidRPr="000C203E">
        <w:rPr>
          <w:rFonts w:ascii="Arial" w:hAnsi="Arial" w:cs="Arial"/>
          <w:iCs/>
          <w:sz w:val="20"/>
          <w:szCs w:val="20"/>
        </w:rPr>
        <w:t xml:space="preserve">Novo Nordisk A/S, Denmark </w:t>
      </w:r>
      <w:r w:rsidRPr="000C203E">
        <w:rPr>
          <w:rFonts w:ascii="Arial" w:hAnsi="Arial" w:cs="Arial"/>
          <w:iCs/>
          <w:sz w:val="20"/>
          <w:szCs w:val="20"/>
        </w:rPr>
        <w:t>(Данія)</w:t>
      </w:r>
    </w:p>
    <w:p w:rsidR="005F68CF" w:rsidRDefault="005F68CF" w:rsidP="000C203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0C203E">
        <w:rPr>
          <w:rFonts w:ascii="Arial" w:hAnsi="Arial" w:cs="Arial"/>
          <w:sz w:val="20"/>
          <w:szCs w:val="20"/>
        </w:rPr>
        <w:t>Заявник -</w:t>
      </w:r>
      <w:r w:rsidRPr="000C203E">
        <w:rPr>
          <w:rFonts w:ascii="Arial" w:hAnsi="Arial" w:cs="Arial"/>
          <w:b/>
          <w:sz w:val="20"/>
          <w:szCs w:val="20"/>
        </w:rPr>
        <w:t xml:space="preserve"> </w:t>
      </w:r>
      <w:r w:rsidRPr="000C203E">
        <w:rPr>
          <w:rFonts w:ascii="Arial" w:hAnsi="Arial" w:cs="Arial"/>
          <w:iCs/>
          <w:sz w:val="20"/>
          <w:szCs w:val="20"/>
        </w:rPr>
        <w:t xml:space="preserve">Ново </w:t>
      </w:r>
      <w:proofErr w:type="spellStart"/>
      <w:r w:rsidRPr="000C203E">
        <w:rPr>
          <w:rFonts w:ascii="Arial" w:hAnsi="Arial" w:cs="Arial"/>
          <w:iCs/>
          <w:sz w:val="20"/>
          <w:szCs w:val="20"/>
        </w:rPr>
        <w:t>Нордіск</w:t>
      </w:r>
      <w:proofErr w:type="spellEnd"/>
      <w:r w:rsidRPr="000C203E">
        <w:rPr>
          <w:rFonts w:ascii="Arial" w:hAnsi="Arial" w:cs="Arial"/>
          <w:iCs/>
          <w:sz w:val="20"/>
          <w:szCs w:val="20"/>
        </w:rPr>
        <w:t xml:space="preserve"> А/С (Данія)</w:t>
      </w:r>
    </w:p>
    <w:p w:rsidR="00C14ED7" w:rsidRDefault="00C14ED7" w:rsidP="00A05ADB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66DEF" w:rsidRPr="00A05ADB" w:rsidRDefault="00C66DEF" w:rsidP="00A05AD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ADB">
        <w:rPr>
          <w:rFonts w:ascii="Arial" w:hAnsi="Arial" w:cs="Arial"/>
          <w:b/>
          <w:color w:val="000000"/>
          <w:sz w:val="20"/>
          <w:szCs w:val="20"/>
        </w:rPr>
        <w:t>9. Інформація для пацієнта та форма інформованої згоди на участь у додатковому дослідженні (процедурі збору додаткових зразків крові для використанні у дослідженні), версія 2.0 від 22 грудня 2016 року українською; Інформація для пацієнта та форма інформованої згоди на участь у додатковому дослідженні (процедурі збору додаткових зразків крові для використанні у дослідженні), версія 2.0 від 22 грудня 2016 року російською мовою</w:t>
      </w:r>
      <w:r w:rsidRPr="00A05ADB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«Рандомізоване, подвійне сліпе, плацебо-контрольоване дослідження III фази </w:t>
      </w:r>
      <w:r w:rsidRPr="00474137">
        <w:rPr>
          <w:rFonts w:ascii="Arial" w:hAnsi="Arial" w:cs="Arial"/>
          <w:b/>
          <w:color w:val="000000"/>
          <w:sz w:val="20"/>
          <w:szCs w:val="20"/>
        </w:rPr>
        <w:t>рамуцірумаба</w:t>
      </w:r>
      <w:r w:rsidRPr="00A05ADB">
        <w:rPr>
          <w:rFonts w:ascii="Arial" w:hAnsi="Arial" w:cs="Arial"/>
          <w:color w:val="000000"/>
          <w:sz w:val="20"/>
          <w:szCs w:val="20"/>
        </w:rPr>
        <w:t xml:space="preserve"> в комбінації з доцетакселом в порівнянні з плацебо в комбінації з доцетакселом у пацієнтів з локально-розповсюдженим, неоперабельним або метастатичним уротеліальним раком із прогресуванням захворювання під час або після терапії на основі похідних платини», код дослідження </w:t>
      </w:r>
      <w:r w:rsidRPr="00A05ADB">
        <w:rPr>
          <w:rFonts w:ascii="Arial" w:hAnsi="Arial" w:cs="Arial"/>
          <w:b/>
          <w:sz w:val="20"/>
          <w:szCs w:val="20"/>
        </w:rPr>
        <w:t xml:space="preserve">I4T-MC-JVDC, </w:t>
      </w:r>
      <w:r w:rsidRPr="00A05ADB">
        <w:rPr>
          <w:rFonts w:ascii="Arial" w:hAnsi="Arial" w:cs="Arial"/>
          <w:sz w:val="20"/>
          <w:szCs w:val="20"/>
        </w:rPr>
        <w:t>ініціальна версія від 14 січня 2015 року</w:t>
      </w:r>
      <w:r w:rsidRPr="00A05ADB">
        <w:rPr>
          <w:rFonts w:ascii="Arial" w:hAnsi="Arial" w:cs="Arial"/>
          <w:color w:val="000000"/>
          <w:sz w:val="20"/>
          <w:szCs w:val="20"/>
        </w:rPr>
        <w:t xml:space="preserve">; </w:t>
      </w:r>
      <w:r w:rsidRPr="00A05ADB">
        <w:rPr>
          <w:rFonts w:ascii="Arial" w:hAnsi="Arial" w:cs="Arial"/>
          <w:sz w:val="20"/>
          <w:szCs w:val="20"/>
        </w:rPr>
        <w:t>спонсор</w:t>
      </w:r>
      <w:r w:rsidRPr="00A05ADB">
        <w:rPr>
          <w:rFonts w:ascii="Arial" w:hAnsi="Arial" w:cs="Arial"/>
          <w:color w:val="000000"/>
          <w:sz w:val="20"/>
          <w:szCs w:val="20"/>
        </w:rPr>
        <w:t xml:space="preserve"> </w:t>
      </w:r>
      <w:r w:rsidR="00A05ADB" w:rsidRPr="00A05ADB">
        <w:rPr>
          <w:rFonts w:ascii="Arial" w:hAnsi="Arial" w:cs="Arial"/>
          <w:color w:val="000000"/>
          <w:sz w:val="20"/>
          <w:szCs w:val="20"/>
        </w:rPr>
        <w:t>Елі Ліллі енд Компані, США / Eli Lilly and Company, USA</w:t>
      </w:r>
    </w:p>
    <w:p w:rsidR="00C66DEF" w:rsidRDefault="00C66DEF" w:rsidP="00A05A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ADB">
        <w:rPr>
          <w:rFonts w:ascii="Arial" w:hAnsi="Arial" w:cs="Arial"/>
          <w:color w:val="000000"/>
          <w:sz w:val="20"/>
          <w:szCs w:val="20"/>
        </w:rPr>
        <w:t>Заявник – «Елі Ліллі Восток СА», Швейцарія</w:t>
      </w:r>
    </w:p>
    <w:p w:rsidR="00C14ED7" w:rsidRDefault="00C14ED7" w:rsidP="00092D7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092D79" w:rsidRPr="00092D79" w:rsidRDefault="00092D79" w:rsidP="00092D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14ED7">
        <w:rPr>
          <w:rFonts w:ascii="Arial" w:hAnsi="Arial" w:cs="Arial"/>
          <w:b/>
          <w:bCs/>
          <w:sz w:val="20"/>
          <w:szCs w:val="20"/>
          <w:lang w:eastAsia="ja-JP"/>
        </w:rPr>
        <w:t xml:space="preserve">10. </w:t>
      </w:r>
      <w:r w:rsidRPr="00092D79">
        <w:rPr>
          <w:rFonts w:ascii="Arial" w:hAnsi="Arial" w:cs="Arial"/>
          <w:b/>
          <w:bCs/>
          <w:sz w:val="20"/>
          <w:szCs w:val="20"/>
          <w:lang w:eastAsia="ja-JP"/>
        </w:rPr>
        <w:t xml:space="preserve">Подовження терміну придатності досліджуваного лікарського засобу ABT-494 (капсули </w:t>
      </w:r>
      <w:r w:rsidR="00DC6DE9" w:rsidRPr="00C14ED7">
        <w:rPr>
          <w:rFonts w:ascii="Arial" w:hAnsi="Arial" w:cs="Arial"/>
          <w:b/>
          <w:bCs/>
          <w:sz w:val="20"/>
          <w:szCs w:val="20"/>
          <w:lang w:eastAsia="ja-JP"/>
        </w:rPr>
        <w:t xml:space="preserve">            </w:t>
      </w:r>
      <w:r w:rsidRPr="00092D79">
        <w:rPr>
          <w:rFonts w:ascii="Arial" w:hAnsi="Arial" w:cs="Arial"/>
          <w:b/>
          <w:bCs/>
          <w:sz w:val="20"/>
          <w:szCs w:val="20"/>
          <w:lang w:eastAsia="ja-JP"/>
        </w:rPr>
        <w:t xml:space="preserve">3 мг і 12 мг) до 48 місяців; Оновлена частина, що стосується лікарської речовини в Досьє досліджуваного лікарського засобу (розділ S, код </w:t>
      </w:r>
      <w:r w:rsidRPr="00092D79">
        <w:rPr>
          <w:rFonts w:ascii="Arial" w:eastAsia="TimesNewRoman" w:hAnsi="Arial" w:cs="Arial"/>
          <w:b/>
          <w:sz w:val="20"/>
          <w:szCs w:val="20"/>
        </w:rPr>
        <w:t>ABT-494/A-1293543.0</w:t>
      </w:r>
      <w:r w:rsidRPr="00092D79">
        <w:rPr>
          <w:rFonts w:ascii="Arial" w:hAnsi="Arial" w:cs="Arial"/>
          <w:b/>
          <w:bCs/>
          <w:sz w:val="20"/>
          <w:szCs w:val="20"/>
          <w:lang w:eastAsia="ja-JP"/>
        </w:rPr>
        <w:t xml:space="preserve">) </w:t>
      </w:r>
      <w:r w:rsidRPr="00092D79">
        <w:rPr>
          <w:rFonts w:ascii="Arial" w:hAnsi="Arial" w:cs="Arial"/>
          <w:sz w:val="20"/>
          <w:szCs w:val="20"/>
        </w:rPr>
        <w:t>д</w:t>
      </w:r>
      <w:r w:rsidRPr="00092D79">
        <w:rPr>
          <w:rFonts w:ascii="Arial" w:hAnsi="Arial" w:cs="Arial"/>
          <w:color w:val="000000"/>
          <w:sz w:val="20"/>
          <w:szCs w:val="20"/>
        </w:rPr>
        <w:t>о протоколу клінічного випробування</w:t>
      </w:r>
      <w:r w:rsidRPr="00092D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92D79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092D79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092D79">
        <w:rPr>
          <w:rFonts w:ascii="Arial" w:hAnsi="Arial" w:cs="Arial"/>
          <w:sz w:val="20"/>
          <w:szCs w:val="20"/>
        </w:rPr>
        <w:t xml:space="preserve"> відкрите продовжене дослідження (ВПД) фази 2 за участі пацієнтів, хворих на </w:t>
      </w:r>
      <w:proofErr w:type="spellStart"/>
      <w:r w:rsidRPr="00092D79">
        <w:rPr>
          <w:rFonts w:ascii="Arial" w:hAnsi="Arial" w:cs="Arial"/>
          <w:sz w:val="20"/>
          <w:szCs w:val="20"/>
        </w:rPr>
        <w:t>ревматоїдний</w:t>
      </w:r>
      <w:proofErr w:type="spellEnd"/>
      <w:r w:rsidRPr="00092D79">
        <w:rPr>
          <w:rFonts w:ascii="Arial" w:hAnsi="Arial" w:cs="Arial"/>
          <w:sz w:val="20"/>
          <w:szCs w:val="20"/>
        </w:rPr>
        <w:t xml:space="preserve"> артрит, які завершили участь у попередньому </w:t>
      </w:r>
      <w:proofErr w:type="spellStart"/>
      <w:r w:rsidRPr="00092D79">
        <w:rPr>
          <w:rFonts w:ascii="Arial" w:hAnsi="Arial" w:cs="Arial"/>
          <w:sz w:val="20"/>
          <w:szCs w:val="20"/>
        </w:rPr>
        <w:t>рандомізованому</w:t>
      </w:r>
      <w:proofErr w:type="spellEnd"/>
      <w:r w:rsidRPr="00092D79">
        <w:rPr>
          <w:rFonts w:ascii="Arial" w:hAnsi="Arial" w:cs="Arial"/>
          <w:sz w:val="20"/>
          <w:szCs w:val="20"/>
        </w:rPr>
        <w:t xml:space="preserve"> контрольованому випробуванні (РКВ) фази 2 з оцінювання препарату </w:t>
      </w:r>
      <w:r w:rsidRPr="00092D79">
        <w:rPr>
          <w:rFonts w:ascii="Arial" w:hAnsi="Arial" w:cs="Arial"/>
          <w:b/>
          <w:sz w:val="20"/>
          <w:szCs w:val="20"/>
        </w:rPr>
        <w:t>ABT-494</w:t>
      </w:r>
      <w:r w:rsidRPr="00092D79">
        <w:rPr>
          <w:rFonts w:ascii="Arial" w:hAnsi="Arial" w:cs="Arial"/>
          <w:color w:val="000000"/>
          <w:sz w:val="20"/>
          <w:szCs w:val="20"/>
        </w:rPr>
        <w:t xml:space="preserve">», код дослідження </w:t>
      </w:r>
      <w:r w:rsidR="00DC6DE9" w:rsidRPr="00DC6DE9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C6DE9" w:rsidRPr="00C14ED7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092D79"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 w:rsidRPr="00092D79">
        <w:rPr>
          <w:rFonts w:ascii="Arial" w:hAnsi="Arial" w:cs="Arial"/>
          <w:b/>
          <w:color w:val="000000"/>
          <w:sz w:val="20"/>
          <w:szCs w:val="20"/>
        </w:rPr>
        <w:t xml:space="preserve">13-538, </w:t>
      </w:r>
      <w:r w:rsidRPr="00092D79">
        <w:rPr>
          <w:rFonts w:ascii="Arial" w:hAnsi="Arial" w:cs="Arial"/>
          <w:color w:val="000000"/>
          <w:sz w:val="20"/>
          <w:szCs w:val="20"/>
        </w:rPr>
        <w:t>протокол з інкорпорованими адміністративними змінами 1 та поправками 1 і 2 від 12 січня 2016 року</w:t>
      </w:r>
      <w:r w:rsidRPr="00092D79">
        <w:rPr>
          <w:rFonts w:ascii="Arial" w:hAnsi="Arial" w:cs="Arial"/>
          <w:b/>
          <w:sz w:val="20"/>
          <w:szCs w:val="20"/>
        </w:rPr>
        <w:t xml:space="preserve">; </w:t>
      </w:r>
      <w:r w:rsidRPr="00092D79">
        <w:rPr>
          <w:rFonts w:ascii="Arial" w:hAnsi="Arial" w:cs="Arial"/>
          <w:sz w:val="20"/>
          <w:szCs w:val="20"/>
        </w:rPr>
        <w:t xml:space="preserve">спонсор – </w:t>
      </w:r>
      <w:r w:rsidRPr="00092D79">
        <w:rPr>
          <w:rFonts w:ascii="Arial" w:hAnsi="Arial" w:cs="Arial"/>
          <w:color w:val="000000"/>
          <w:sz w:val="20"/>
          <w:szCs w:val="20"/>
          <w:lang w:val="de-DE"/>
        </w:rPr>
        <w:t>AbbVie Inc., USA (</w:t>
      </w:r>
      <w:r w:rsidRPr="00092D79">
        <w:rPr>
          <w:rFonts w:ascii="Arial" w:hAnsi="Arial" w:cs="Arial"/>
          <w:color w:val="000000"/>
          <w:sz w:val="20"/>
          <w:szCs w:val="20"/>
        </w:rPr>
        <w:t>США</w:t>
      </w:r>
      <w:r w:rsidRPr="00092D79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:rsidR="00092D79" w:rsidRPr="00092D79" w:rsidRDefault="00092D79" w:rsidP="00092D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D79">
        <w:rPr>
          <w:rFonts w:ascii="Arial" w:hAnsi="Arial" w:cs="Arial"/>
          <w:color w:val="000000"/>
          <w:sz w:val="20"/>
          <w:szCs w:val="20"/>
        </w:rPr>
        <w:t xml:space="preserve">Заявник - </w:t>
      </w:r>
      <w:r w:rsidRPr="00092D79">
        <w:rPr>
          <w:rFonts w:ascii="Arial" w:hAnsi="Arial" w:cs="Arial"/>
          <w:sz w:val="20"/>
          <w:szCs w:val="20"/>
        </w:rPr>
        <w:t>ТОВ «ІНС Ресерч Україна»</w:t>
      </w:r>
    </w:p>
    <w:p w:rsidR="00C14ED7" w:rsidRDefault="00C14ED7" w:rsidP="0002014E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</w:p>
    <w:p w:rsidR="0002014E" w:rsidRPr="0002014E" w:rsidRDefault="0002014E" w:rsidP="0002014E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02014E">
        <w:rPr>
          <w:rFonts w:ascii="Arial" w:hAnsi="Arial" w:cs="Arial"/>
          <w:b/>
          <w:bCs/>
          <w:sz w:val="20"/>
          <w:szCs w:val="20"/>
          <w:lang w:eastAsia="ja-JP"/>
        </w:rPr>
        <w:t>11. Оновлене Досьє досліджуваного лікарського засобу, версія 5.0 від 16 грудня 2016 року; Подовження терміну придатності досліджуваного лікарського засобу YLB113 (Етанерцепт) до 21 місяця</w:t>
      </w:r>
      <w:r w:rsidRPr="0002014E">
        <w:rPr>
          <w:rFonts w:ascii="Arial" w:hAnsi="Arial" w:cs="Arial"/>
          <w:sz w:val="20"/>
          <w:szCs w:val="20"/>
        </w:rPr>
        <w:t xml:space="preserve"> до протоколу клінічного випробування «Порівняльне дослідження для оцінки ефективності, безпечності й імуногенності препарату </w:t>
      </w:r>
      <w:r w:rsidRPr="0002014E">
        <w:rPr>
          <w:rFonts w:ascii="Arial" w:hAnsi="Arial" w:cs="Arial"/>
          <w:b/>
          <w:sz w:val="20"/>
          <w:szCs w:val="20"/>
          <w:lang w:val="en-US"/>
        </w:rPr>
        <w:t>YLB</w:t>
      </w:r>
      <w:r w:rsidRPr="0002014E">
        <w:rPr>
          <w:rFonts w:ascii="Arial" w:hAnsi="Arial" w:cs="Arial"/>
          <w:b/>
          <w:sz w:val="20"/>
          <w:szCs w:val="20"/>
        </w:rPr>
        <w:t>113</w:t>
      </w:r>
      <w:r w:rsidRPr="0002014E">
        <w:rPr>
          <w:rFonts w:ascii="Arial" w:hAnsi="Arial" w:cs="Arial"/>
          <w:sz w:val="20"/>
          <w:szCs w:val="20"/>
        </w:rPr>
        <w:t xml:space="preserve"> та Енбрелу для терапії ревматоїдного артриту»</w:t>
      </w:r>
      <w:r w:rsidRPr="0002014E">
        <w:rPr>
          <w:rFonts w:ascii="Arial" w:hAnsi="Arial" w:cs="Arial"/>
          <w:bCs/>
          <w:iCs/>
          <w:sz w:val="20"/>
          <w:szCs w:val="20"/>
        </w:rPr>
        <w:t>, код дослідження</w:t>
      </w:r>
      <w:r w:rsidRPr="0002014E">
        <w:rPr>
          <w:rFonts w:ascii="Arial" w:hAnsi="Arial" w:cs="Arial"/>
          <w:b/>
          <w:sz w:val="20"/>
          <w:szCs w:val="20"/>
        </w:rPr>
        <w:t xml:space="preserve">  </w:t>
      </w:r>
      <w:r w:rsidRPr="0002014E">
        <w:rPr>
          <w:rFonts w:ascii="Arial" w:hAnsi="Arial" w:cs="Arial"/>
          <w:b/>
          <w:sz w:val="20"/>
          <w:szCs w:val="20"/>
          <w:lang w:val="en-US"/>
        </w:rPr>
        <w:t>YLB</w:t>
      </w:r>
      <w:r w:rsidRPr="0002014E">
        <w:rPr>
          <w:rFonts w:ascii="Arial" w:hAnsi="Arial" w:cs="Arial"/>
          <w:b/>
          <w:sz w:val="20"/>
          <w:szCs w:val="20"/>
        </w:rPr>
        <w:t>113-002</w:t>
      </w:r>
      <w:r w:rsidRPr="0002014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02014E">
        <w:rPr>
          <w:rFonts w:ascii="Arial" w:hAnsi="Arial" w:cs="Arial"/>
          <w:color w:val="000000"/>
          <w:sz w:val="20"/>
          <w:szCs w:val="20"/>
        </w:rPr>
        <w:t>версія 2.1 від 01 липня 2016 року</w:t>
      </w:r>
      <w:r w:rsidRPr="0002014E">
        <w:rPr>
          <w:rFonts w:ascii="Arial" w:hAnsi="Arial" w:cs="Arial"/>
          <w:sz w:val="20"/>
          <w:szCs w:val="20"/>
        </w:rPr>
        <w:t xml:space="preserve">, спонсор – </w:t>
      </w:r>
      <w:r w:rsidRPr="0002014E">
        <w:rPr>
          <w:rFonts w:ascii="Arial" w:hAnsi="Arial" w:cs="Arial"/>
          <w:sz w:val="20"/>
          <w:szCs w:val="20"/>
          <w:lang w:val="en-US"/>
        </w:rPr>
        <w:t>YL</w:t>
      </w:r>
      <w:r w:rsidRPr="0002014E">
        <w:rPr>
          <w:rFonts w:ascii="Arial" w:hAnsi="Arial" w:cs="Arial"/>
          <w:sz w:val="20"/>
          <w:szCs w:val="20"/>
        </w:rPr>
        <w:t xml:space="preserve"> </w:t>
      </w:r>
      <w:r w:rsidRPr="0002014E">
        <w:rPr>
          <w:rFonts w:ascii="Arial" w:hAnsi="Arial" w:cs="Arial"/>
          <w:sz w:val="20"/>
          <w:szCs w:val="20"/>
          <w:lang w:val="en-US"/>
        </w:rPr>
        <w:t>Biologics</w:t>
      </w:r>
      <w:r w:rsidRPr="0002014E">
        <w:rPr>
          <w:rFonts w:ascii="Arial" w:hAnsi="Arial" w:cs="Arial"/>
          <w:sz w:val="20"/>
          <w:szCs w:val="20"/>
        </w:rPr>
        <w:t xml:space="preserve"> </w:t>
      </w:r>
      <w:r w:rsidRPr="0002014E">
        <w:rPr>
          <w:rFonts w:ascii="Arial" w:hAnsi="Arial" w:cs="Arial"/>
          <w:sz w:val="20"/>
          <w:szCs w:val="20"/>
          <w:lang w:val="en-US"/>
        </w:rPr>
        <w:t>Ltd</w:t>
      </w:r>
      <w:r w:rsidRPr="0002014E">
        <w:rPr>
          <w:rFonts w:ascii="Arial" w:hAnsi="Arial" w:cs="Arial"/>
          <w:sz w:val="20"/>
          <w:szCs w:val="20"/>
        </w:rPr>
        <w:t>., Японія</w:t>
      </w:r>
    </w:p>
    <w:p w:rsidR="0002014E" w:rsidRPr="0002014E" w:rsidRDefault="0002014E" w:rsidP="000201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014E">
        <w:rPr>
          <w:rFonts w:ascii="Arial" w:hAnsi="Arial" w:cs="Arial"/>
          <w:bCs/>
          <w:iCs/>
          <w:sz w:val="20"/>
          <w:szCs w:val="20"/>
        </w:rPr>
        <w:t xml:space="preserve">Заявник - </w:t>
      </w:r>
      <w:r w:rsidR="00DC6DE9" w:rsidRPr="00092D79">
        <w:rPr>
          <w:rFonts w:ascii="Arial" w:hAnsi="Arial" w:cs="Arial"/>
          <w:sz w:val="20"/>
          <w:szCs w:val="20"/>
        </w:rPr>
        <w:t>ТОВ «ІНС Ресерч Україна»</w:t>
      </w:r>
    </w:p>
    <w:p w:rsidR="00C14ED7" w:rsidRDefault="00C14ED7" w:rsidP="00BC7F5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C7F5B" w:rsidRPr="00BC7F5B" w:rsidRDefault="00BC7F5B" w:rsidP="00BC7F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7F5B">
        <w:rPr>
          <w:rFonts w:ascii="Arial" w:hAnsi="Arial" w:cs="Arial"/>
          <w:b/>
          <w:bCs/>
          <w:sz w:val="20"/>
          <w:szCs w:val="20"/>
          <w:lang w:eastAsia="ja-JP"/>
        </w:rPr>
        <w:t xml:space="preserve">12. Листівка для пацієнтів, версія 1 від 04 серпня 2016 року українською та від 26 серпня 2016 року російською мовами; Брошура пацієнта, версія 1 від 04 серпня 2016 року українською та від 26 серпня 2016 року російською мовами; Довідник по візитах для пацієнта, версія 1 від 04 серпня 2016 року українською та від 26 серпня 2016 року російською мовами; Картка-нагадування про візити та ідентифікаційна картка для пацієнта, версія 1 від 04 серпня 2016 року українською та </w:t>
      </w:r>
      <w:r w:rsidRPr="00BC7F5B">
        <w:rPr>
          <w:rFonts w:ascii="Arial" w:hAnsi="Arial" w:cs="Arial"/>
          <w:b/>
          <w:bCs/>
          <w:sz w:val="20"/>
          <w:szCs w:val="20"/>
          <w:lang w:eastAsia="ja-JP"/>
        </w:rPr>
        <w:lastRenderedPageBreak/>
        <w:t xml:space="preserve">від 26 серпня 2016 року російською мовами; Текстові SMS-повідомлення для пацієнтів, версія 1 від 04 серпня 2016 року українською та від 26 серпня 2016 року російською мовами;  Форма згоди на використання текстових повідомлень служби коротких повідомлень (SMS), версія від 04 серпня 2016 року українською та від 26 серпня 2016 року російською мовами; Використання текстових повідомлень служби коротких повідомлень (SMS) – відкликання форми згоди, версія від 04 серпня 2016 року українською та від 26 серпня 2016 року російською мовами; Контрольний перелік для перевірки медичної карти, версія 1 від 04 серпня 2016 року українською та від 26 серпня 2016 року  російською мовами; </w:t>
      </w:r>
      <w:r w:rsidRPr="00BC7F5B">
        <w:rPr>
          <w:rFonts w:ascii="Arial" w:hAnsi="Arial" w:cs="Arial"/>
          <w:b/>
          <w:color w:val="000000"/>
          <w:sz w:val="20"/>
          <w:szCs w:val="20"/>
        </w:rPr>
        <w:t xml:space="preserve">Оновлена Форма інформованої згоди, версія для України 2.1 від 20 грудня 2016 року українською та російською мовами </w:t>
      </w:r>
      <w:r w:rsidRPr="00BC7F5B">
        <w:rPr>
          <w:rFonts w:ascii="Arial" w:hAnsi="Arial" w:cs="Arial"/>
          <w:sz w:val="20"/>
          <w:szCs w:val="20"/>
        </w:rPr>
        <w:t>д</w:t>
      </w:r>
      <w:r w:rsidRPr="00BC7F5B">
        <w:rPr>
          <w:rFonts w:ascii="Arial" w:hAnsi="Arial" w:cs="Arial"/>
          <w:color w:val="000000"/>
          <w:sz w:val="20"/>
          <w:szCs w:val="20"/>
        </w:rPr>
        <w:t>о протоколу клінічного випробування</w:t>
      </w:r>
      <w:r w:rsidRPr="00BC7F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C7F5B">
        <w:rPr>
          <w:rFonts w:ascii="Arial" w:hAnsi="Arial" w:cs="Arial"/>
          <w:color w:val="000000"/>
          <w:sz w:val="20"/>
          <w:szCs w:val="20"/>
        </w:rPr>
        <w:t>«</w:t>
      </w:r>
      <w:r w:rsidRPr="00BC7F5B">
        <w:rPr>
          <w:rFonts w:ascii="Arial" w:hAnsi="Arial" w:cs="Arial"/>
          <w:bCs/>
          <w:sz w:val="20"/>
          <w:szCs w:val="20"/>
        </w:rPr>
        <w:t xml:space="preserve">Багатоцентрове рандомізоване подвійне сліпе плацебо-контрольоване дослідження у паралельних групах з підбором дози та з подальшим періодом спостереження для оцінки ефективності та безпечності </w:t>
      </w:r>
      <w:r w:rsidRPr="00BC7F5B">
        <w:rPr>
          <w:rFonts w:ascii="Arial" w:hAnsi="Arial" w:cs="Arial"/>
          <w:b/>
          <w:bCs/>
          <w:sz w:val="20"/>
          <w:szCs w:val="20"/>
        </w:rPr>
        <w:t>дапіролізумабу</w:t>
      </w:r>
      <w:r w:rsidRPr="00BC7F5B">
        <w:rPr>
          <w:rFonts w:ascii="Arial" w:hAnsi="Arial" w:cs="Arial"/>
          <w:bCs/>
          <w:sz w:val="20"/>
          <w:szCs w:val="20"/>
        </w:rPr>
        <w:t xml:space="preserve"> пегол у пацієнтів з системним червоним вовчаком з помірним або високим ступенем активності</w:t>
      </w:r>
      <w:r w:rsidR="00067591">
        <w:rPr>
          <w:rFonts w:ascii="Arial" w:hAnsi="Arial" w:cs="Arial"/>
          <w:color w:val="000000"/>
          <w:sz w:val="20"/>
          <w:szCs w:val="20"/>
        </w:rPr>
        <w:t>», код</w:t>
      </w:r>
      <w:r w:rsidRPr="00BC7F5B">
        <w:rPr>
          <w:rFonts w:ascii="Arial" w:hAnsi="Arial" w:cs="Arial"/>
          <w:color w:val="000000"/>
          <w:sz w:val="20"/>
          <w:szCs w:val="20"/>
        </w:rPr>
        <w:t xml:space="preserve"> </w:t>
      </w:r>
      <w:r w:rsidR="00067591">
        <w:rPr>
          <w:rFonts w:ascii="Arial" w:hAnsi="Arial" w:cs="Arial"/>
          <w:color w:val="000000"/>
          <w:sz w:val="20"/>
          <w:szCs w:val="20"/>
        </w:rPr>
        <w:t xml:space="preserve">дослідження </w:t>
      </w:r>
      <w:r w:rsidRPr="00BC7F5B">
        <w:rPr>
          <w:rFonts w:ascii="Arial" w:hAnsi="Arial" w:cs="Arial"/>
          <w:b/>
          <w:color w:val="000000"/>
          <w:sz w:val="20"/>
          <w:szCs w:val="20"/>
          <w:lang w:val="en-US"/>
        </w:rPr>
        <w:t>SL</w:t>
      </w:r>
      <w:r w:rsidRPr="00BC7F5B">
        <w:rPr>
          <w:rFonts w:ascii="Arial" w:hAnsi="Arial" w:cs="Arial"/>
          <w:b/>
          <w:color w:val="000000"/>
          <w:sz w:val="20"/>
          <w:szCs w:val="20"/>
        </w:rPr>
        <w:t xml:space="preserve">0023, </w:t>
      </w:r>
      <w:r w:rsidRPr="00BC7F5B">
        <w:rPr>
          <w:rFonts w:ascii="Arial" w:hAnsi="Arial" w:cs="Arial"/>
          <w:color w:val="000000"/>
          <w:sz w:val="20"/>
          <w:szCs w:val="20"/>
        </w:rPr>
        <w:t>версія від 12 квітня 2016 року</w:t>
      </w:r>
      <w:r w:rsidRPr="00BC7F5B">
        <w:rPr>
          <w:rFonts w:ascii="Arial" w:hAnsi="Arial" w:cs="Arial"/>
          <w:sz w:val="20"/>
          <w:szCs w:val="20"/>
        </w:rPr>
        <w:t>;</w:t>
      </w:r>
      <w:r w:rsidRPr="00BC7F5B">
        <w:rPr>
          <w:rFonts w:ascii="Arial" w:hAnsi="Arial" w:cs="Arial"/>
          <w:b/>
          <w:sz w:val="20"/>
          <w:szCs w:val="20"/>
        </w:rPr>
        <w:t xml:space="preserve"> </w:t>
      </w:r>
      <w:r w:rsidRPr="00BC7F5B">
        <w:rPr>
          <w:rFonts w:ascii="Arial" w:hAnsi="Arial" w:cs="Arial"/>
          <w:sz w:val="20"/>
          <w:szCs w:val="20"/>
        </w:rPr>
        <w:t xml:space="preserve">спонсор – </w:t>
      </w:r>
      <w:r w:rsidRPr="00BC7F5B">
        <w:rPr>
          <w:rFonts w:ascii="Arial" w:hAnsi="Arial" w:cs="Arial"/>
          <w:color w:val="000000"/>
          <w:sz w:val="20"/>
          <w:szCs w:val="20"/>
          <w:lang w:val="en-US"/>
        </w:rPr>
        <w:t>UCB</w:t>
      </w:r>
      <w:r w:rsidRPr="00BC7F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7F5B">
        <w:rPr>
          <w:rFonts w:ascii="Arial" w:hAnsi="Arial" w:cs="Arial"/>
          <w:color w:val="000000"/>
          <w:sz w:val="20"/>
          <w:szCs w:val="20"/>
          <w:lang w:val="en-US"/>
        </w:rPr>
        <w:t>Biopharma</w:t>
      </w:r>
      <w:r w:rsidRPr="00BC7F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7F5B">
        <w:rPr>
          <w:rFonts w:ascii="Arial" w:hAnsi="Arial" w:cs="Arial"/>
          <w:color w:val="000000"/>
          <w:sz w:val="20"/>
          <w:szCs w:val="20"/>
          <w:lang w:val="en-US"/>
        </w:rPr>
        <w:t>SPRL</w:t>
      </w:r>
      <w:r w:rsidRPr="00BC7F5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C7F5B">
        <w:rPr>
          <w:rFonts w:ascii="Arial" w:hAnsi="Arial" w:cs="Arial"/>
          <w:color w:val="000000"/>
          <w:sz w:val="20"/>
          <w:szCs w:val="20"/>
          <w:lang w:val="en-US"/>
        </w:rPr>
        <w:t>Belgium</w:t>
      </w:r>
      <w:r w:rsidRPr="00BC7F5B">
        <w:rPr>
          <w:rFonts w:ascii="Arial" w:hAnsi="Arial" w:cs="Arial"/>
          <w:color w:val="000000"/>
          <w:sz w:val="20"/>
          <w:szCs w:val="20"/>
        </w:rPr>
        <w:t xml:space="preserve"> (Бельгія)</w:t>
      </w:r>
    </w:p>
    <w:p w:rsidR="00BC7F5B" w:rsidRPr="00BC7F5B" w:rsidRDefault="00BC7F5B" w:rsidP="00BC7F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7F5B">
        <w:rPr>
          <w:rFonts w:ascii="Arial" w:hAnsi="Arial" w:cs="Arial"/>
          <w:color w:val="000000"/>
          <w:sz w:val="20"/>
          <w:szCs w:val="20"/>
        </w:rPr>
        <w:t xml:space="preserve">Заявник - </w:t>
      </w:r>
      <w:r w:rsidRPr="00BC7F5B">
        <w:rPr>
          <w:rFonts w:ascii="Arial" w:hAnsi="Arial" w:cs="Arial"/>
          <w:sz w:val="20"/>
          <w:szCs w:val="20"/>
        </w:rPr>
        <w:t>ТОВ «ІНС Ресерч Україна»</w:t>
      </w:r>
    </w:p>
    <w:p w:rsidR="00C14ED7" w:rsidRDefault="00C14ED7" w:rsidP="0085314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85314F" w:rsidRPr="0085314F" w:rsidRDefault="0085314F" w:rsidP="008531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14F">
        <w:rPr>
          <w:rFonts w:ascii="Arial" w:hAnsi="Arial" w:cs="Arial"/>
          <w:b/>
          <w:sz w:val="20"/>
          <w:szCs w:val="20"/>
        </w:rPr>
        <w:t xml:space="preserve">13. Посібник для пацієнтів, які отримують досліджуваний препарат для введення вдома, версія 3 від 24 листопада 2016 року, переклад українською мовою від 16 грудня 2016 року; Посібник для пацієнтів, які отримують досліджуваний препарат для введення вдома, версія 3 від 24 листопада 2016 року, переклад російською мовою від 16 грудня 2016 року; Зразок зображення на екрані електронного щоденника для пацієнта щодо перевірки терміну придатності препарату, версія 1 українською мовою; Зразок зображення на екрані електронного щоденника для пацієнта щодо перевірки терміну придатності препарату, версія 1 російською мовою </w:t>
      </w:r>
      <w:r w:rsidRPr="0085314F">
        <w:rPr>
          <w:rFonts w:ascii="Arial" w:hAnsi="Arial" w:cs="Arial"/>
          <w:sz w:val="20"/>
          <w:szCs w:val="20"/>
        </w:rPr>
        <w:t>до протоколу клінічного випробування</w:t>
      </w:r>
      <w:r w:rsidRPr="0085314F">
        <w:rPr>
          <w:rFonts w:ascii="Arial" w:hAnsi="Arial" w:cs="Arial"/>
          <w:b/>
          <w:sz w:val="20"/>
          <w:szCs w:val="20"/>
        </w:rPr>
        <w:t xml:space="preserve"> </w:t>
      </w:r>
      <w:r w:rsidR="00761105">
        <w:rPr>
          <w:rFonts w:ascii="Arial" w:hAnsi="Arial" w:cs="Arial"/>
          <w:sz w:val="20"/>
          <w:szCs w:val="20"/>
        </w:rPr>
        <w:t>«</w:t>
      </w:r>
      <w:r w:rsidRPr="0085314F">
        <w:rPr>
          <w:rFonts w:ascii="Arial" w:hAnsi="Arial" w:cs="Arial"/>
          <w:sz w:val="20"/>
          <w:szCs w:val="20"/>
        </w:rPr>
        <w:t xml:space="preserve">Проспективне, багатоцентрове, відкрите дослідження фази 3 з метою вивчення безпечності, імуногенності та гемостатичної ефективності </w:t>
      </w:r>
      <w:r w:rsidRPr="0085314F">
        <w:rPr>
          <w:rFonts w:ascii="Arial" w:hAnsi="Arial" w:cs="Arial"/>
          <w:b/>
          <w:sz w:val="20"/>
          <w:szCs w:val="20"/>
        </w:rPr>
        <w:t>ПЕГільованого фактора згортання крові VIII(BAX 855)</w:t>
      </w:r>
      <w:r w:rsidRPr="0085314F">
        <w:rPr>
          <w:rFonts w:ascii="Arial" w:hAnsi="Arial" w:cs="Arial"/>
          <w:sz w:val="20"/>
          <w:szCs w:val="20"/>
        </w:rPr>
        <w:t xml:space="preserve"> при застосуванні у пацієнтів, віком &lt; 6 років, з важкою формою гемофілії А (FVIII &lt; 1%), які раніше не отримували лікування</w:t>
      </w:r>
      <w:r w:rsidR="00761105">
        <w:rPr>
          <w:rFonts w:ascii="Arial" w:hAnsi="Arial" w:cs="Arial"/>
          <w:sz w:val="20"/>
          <w:szCs w:val="20"/>
        </w:rPr>
        <w:t>»</w:t>
      </w:r>
      <w:r w:rsidRPr="0085314F">
        <w:rPr>
          <w:rFonts w:ascii="Arial" w:hAnsi="Arial" w:cs="Arial"/>
          <w:sz w:val="20"/>
          <w:szCs w:val="20"/>
        </w:rPr>
        <w:t xml:space="preserve">, код дослідження </w:t>
      </w:r>
      <w:r w:rsidRPr="0085314F">
        <w:rPr>
          <w:rFonts w:ascii="Arial" w:hAnsi="Arial" w:cs="Arial"/>
          <w:b/>
          <w:sz w:val="20"/>
          <w:szCs w:val="20"/>
        </w:rPr>
        <w:t xml:space="preserve">261203, </w:t>
      </w:r>
      <w:r w:rsidRPr="0085314F">
        <w:rPr>
          <w:rFonts w:ascii="Arial" w:hAnsi="Arial" w:cs="Arial"/>
          <w:sz w:val="20"/>
          <w:szCs w:val="20"/>
        </w:rPr>
        <w:t>інкорпорований поправкою 3 від 26 листопада 2015 року, спонсор - «Баксалта Інновейшнз ГмбХ» (Baxalta Innovations GmbH), Австрія</w:t>
      </w:r>
    </w:p>
    <w:p w:rsidR="0085314F" w:rsidRPr="0085314F" w:rsidRDefault="0085314F" w:rsidP="008531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14F">
        <w:rPr>
          <w:rFonts w:ascii="Arial" w:hAnsi="Arial" w:cs="Arial"/>
          <w:sz w:val="20"/>
          <w:szCs w:val="20"/>
        </w:rPr>
        <w:t>Заявник – ПІІ 100% «Квінтайлс Україна»</w:t>
      </w:r>
    </w:p>
    <w:p w:rsidR="0002014E" w:rsidRPr="00092D79" w:rsidRDefault="0002014E" w:rsidP="00092D79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092D79" w:rsidRDefault="00092D79" w:rsidP="00CA0D30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687094" w:rsidRPr="00452E1D" w:rsidRDefault="00687094" w:rsidP="00452E1D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452E1D" w:rsidRPr="00452E1D" w:rsidRDefault="00452E1D" w:rsidP="003B4C8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3B4C8D" w:rsidRPr="003B4C8D" w:rsidRDefault="003B4C8D" w:rsidP="001A4A31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A4A31" w:rsidRPr="001A4A31" w:rsidRDefault="001A4A31" w:rsidP="001A4A31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A55A7" w:rsidRPr="005A55A7" w:rsidRDefault="005A55A7" w:rsidP="001A4A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82164A" w:rsidRPr="005A55A7" w:rsidRDefault="0082164A" w:rsidP="001A4A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2164A" w:rsidRPr="005A55A7" w:rsidRDefault="0082164A" w:rsidP="003669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216403" w:rsidRPr="005A55A7" w:rsidRDefault="00216403" w:rsidP="003669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216403" w:rsidRPr="005A55A7" w:rsidRDefault="00216403" w:rsidP="00366961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014E" w:rsidRPr="00F37A7C" w:rsidRDefault="0036014E" w:rsidP="0036014E">
      <w:pPr>
        <w:pStyle w:val="2"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</w:p>
    <w:p w:rsidR="0036014E" w:rsidRPr="00B47408" w:rsidRDefault="0036014E" w:rsidP="00284385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4385" w:rsidRPr="00284385" w:rsidRDefault="00284385" w:rsidP="0028438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1213" w:rsidRPr="00284385" w:rsidRDefault="00191213" w:rsidP="00284385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5A41" w:rsidRPr="00863CA8" w:rsidRDefault="00635A41" w:rsidP="00635A41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635A41" w:rsidRPr="00863CA8" w:rsidRDefault="00635A41" w:rsidP="00A65518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635A41" w:rsidRPr="00863CA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5" w:rsidRDefault="00674865" w:rsidP="00653877">
      <w:pPr>
        <w:spacing w:after="0" w:line="240" w:lineRule="auto"/>
      </w:pPr>
      <w:r>
        <w:separator/>
      </w:r>
    </w:p>
  </w:endnote>
  <w:endnote w:type="continuationSeparator" w:id="0">
    <w:p w:rsidR="00674865" w:rsidRDefault="00674865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674865" w:rsidRPr="004738AF" w:rsidRDefault="00674865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674865" w:rsidRDefault="00674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D7" w:rsidRPr="00C14ED7">
          <w:rPr>
            <w:noProof/>
            <w:lang w:val="ru-RU"/>
          </w:rPr>
          <w:t>1</w:t>
        </w:r>
        <w:r>
          <w:fldChar w:fldCharType="end"/>
        </w:r>
      </w:p>
    </w:sdtContent>
  </w:sdt>
  <w:p w:rsidR="00674865" w:rsidRDefault="006748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5" w:rsidRDefault="00674865" w:rsidP="00653877">
      <w:pPr>
        <w:spacing w:after="0" w:line="240" w:lineRule="auto"/>
      </w:pPr>
      <w:r>
        <w:separator/>
      </w:r>
    </w:p>
  </w:footnote>
  <w:footnote w:type="continuationSeparator" w:id="0">
    <w:p w:rsidR="00674865" w:rsidRDefault="00674865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67F2"/>
    <w:rsid w:val="00006B1C"/>
    <w:rsid w:val="00007E44"/>
    <w:rsid w:val="00015832"/>
    <w:rsid w:val="00015B35"/>
    <w:rsid w:val="0002014E"/>
    <w:rsid w:val="00021818"/>
    <w:rsid w:val="00022E9A"/>
    <w:rsid w:val="0003172B"/>
    <w:rsid w:val="000320ED"/>
    <w:rsid w:val="000334CF"/>
    <w:rsid w:val="00035D27"/>
    <w:rsid w:val="000366A5"/>
    <w:rsid w:val="00037162"/>
    <w:rsid w:val="000407E5"/>
    <w:rsid w:val="000419DA"/>
    <w:rsid w:val="00043C1C"/>
    <w:rsid w:val="00043F2C"/>
    <w:rsid w:val="000444CB"/>
    <w:rsid w:val="00044850"/>
    <w:rsid w:val="0005398F"/>
    <w:rsid w:val="000611DF"/>
    <w:rsid w:val="00061C05"/>
    <w:rsid w:val="0006350F"/>
    <w:rsid w:val="00064869"/>
    <w:rsid w:val="000665BB"/>
    <w:rsid w:val="00066CAD"/>
    <w:rsid w:val="00067591"/>
    <w:rsid w:val="00070724"/>
    <w:rsid w:val="00072490"/>
    <w:rsid w:val="00073226"/>
    <w:rsid w:val="00073558"/>
    <w:rsid w:val="00075020"/>
    <w:rsid w:val="0007633A"/>
    <w:rsid w:val="0008138F"/>
    <w:rsid w:val="00082594"/>
    <w:rsid w:val="0008268C"/>
    <w:rsid w:val="00090E29"/>
    <w:rsid w:val="00092D79"/>
    <w:rsid w:val="00095668"/>
    <w:rsid w:val="00095EA8"/>
    <w:rsid w:val="000A0231"/>
    <w:rsid w:val="000A1006"/>
    <w:rsid w:val="000A2200"/>
    <w:rsid w:val="000A4728"/>
    <w:rsid w:val="000A4996"/>
    <w:rsid w:val="000B2401"/>
    <w:rsid w:val="000B27EF"/>
    <w:rsid w:val="000B3149"/>
    <w:rsid w:val="000B5CE3"/>
    <w:rsid w:val="000C0AE9"/>
    <w:rsid w:val="000C203E"/>
    <w:rsid w:val="000C2929"/>
    <w:rsid w:val="000C41B6"/>
    <w:rsid w:val="000C5073"/>
    <w:rsid w:val="000C5134"/>
    <w:rsid w:val="000D10BB"/>
    <w:rsid w:val="000D198B"/>
    <w:rsid w:val="000D2BB8"/>
    <w:rsid w:val="000D5DB7"/>
    <w:rsid w:val="000E335E"/>
    <w:rsid w:val="000E3E69"/>
    <w:rsid w:val="000F5A35"/>
    <w:rsid w:val="000F60B7"/>
    <w:rsid w:val="000F61F6"/>
    <w:rsid w:val="00101666"/>
    <w:rsid w:val="00101AD5"/>
    <w:rsid w:val="00101E8F"/>
    <w:rsid w:val="00102857"/>
    <w:rsid w:val="001127C5"/>
    <w:rsid w:val="0011477D"/>
    <w:rsid w:val="00114CE1"/>
    <w:rsid w:val="00116353"/>
    <w:rsid w:val="00117923"/>
    <w:rsid w:val="001248BC"/>
    <w:rsid w:val="001349DA"/>
    <w:rsid w:val="00134AF5"/>
    <w:rsid w:val="00134DD9"/>
    <w:rsid w:val="00135CE8"/>
    <w:rsid w:val="00136A39"/>
    <w:rsid w:val="00143314"/>
    <w:rsid w:val="00146DF9"/>
    <w:rsid w:val="00150653"/>
    <w:rsid w:val="00151D87"/>
    <w:rsid w:val="001523BC"/>
    <w:rsid w:val="00152430"/>
    <w:rsid w:val="00152517"/>
    <w:rsid w:val="0015384D"/>
    <w:rsid w:val="00154DAD"/>
    <w:rsid w:val="00157E0C"/>
    <w:rsid w:val="00160986"/>
    <w:rsid w:val="00160F57"/>
    <w:rsid w:val="00163633"/>
    <w:rsid w:val="00163975"/>
    <w:rsid w:val="00167DD6"/>
    <w:rsid w:val="00173FEA"/>
    <w:rsid w:val="00176EA5"/>
    <w:rsid w:val="0018068D"/>
    <w:rsid w:val="0018092B"/>
    <w:rsid w:val="001815F0"/>
    <w:rsid w:val="00185658"/>
    <w:rsid w:val="00185753"/>
    <w:rsid w:val="00185C71"/>
    <w:rsid w:val="00185DE3"/>
    <w:rsid w:val="00186872"/>
    <w:rsid w:val="00187394"/>
    <w:rsid w:val="00191213"/>
    <w:rsid w:val="001936AE"/>
    <w:rsid w:val="00194FAF"/>
    <w:rsid w:val="00195730"/>
    <w:rsid w:val="00195FC2"/>
    <w:rsid w:val="001964A4"/>
    <w:rsid w:val="00196851"/>
    <w:rsid w:val="00196E29"/>
    <w:rsid w:val="0019762C"/>
    <w:rsid w:val="001A049D"/>
    <w:rsid w:val="001A0CA9"/>
    <w:rsid w:val="001A1F34"/>
    <w:rsid w:val="001A318C"/>
    <w:rsid w:val="001A4A31"/>
    <w:rsid w:val="001A5B51"/>
    <w:rsid w:val="001A61C6"/>
    <w:rsid w:val="001B1565"/>
    <w:rsid w:val="001B27F8"/>
    <w:rsid w:val="001B453F"/>
    <w:rsid w:val="001B50DF"/>
    <w:rsid w:val="001C1889"/>
    <w:rsid w:val="001C323B"/>
    <w:rsid w:val="001C5D71"/>
    <w:rsid w:val="001D0D66"/>
    <w:rsid w:val="001D32A8"/>
    <w:rsid w:val="001D3EF3"/>
    <w:rsid w:val="001D452F"/>
    <w:rsid w:val="001D5A84"/>
    <w:rsid w:val="001D5C40"/>
    <w:rsid w:val="001E0A70"/>
    <w:rsid w:val="001E31B4"/>
    <w:rsid w:val="001E349E"/>
    <w:rsid w:val="001E5507"/>
    <w:rsid w:val="001F3A82"/>
    <w:rsid w:val="001F53C4"/>
    <w:rsid w:val="002007AE"/>
    <w:rsid w:val="0020556F"/>
    <w:rsid w:val="00206639"/>
    <w:rsid w:val="00212A6C"/>
    <w:rsid w:val="00216403"/>
    <w:rsid w:val="00217595"/>
    <w:rsid w:val="0022191E"/>
    <w:rsid w:val="00231855"/>
    <w:rsid w:val="002335FF"/>
    <w:rsid w:val="00236F64"/>
    <w:rsid w:val="002372C3"/>
    <w:rsid w:val="00240D8E"/>
    <w:rsid w:val="00240FAE"/>
    <w:rsid w:val="00244D54"/>
    <w:rsid w:val="00245B99"/>
    <w:rsid w:val="0024666C"/>
    <w:rsid w:val="0024786A"/>
    <w:rsid w:val="00252502"/>
    <w:rsid w:val="00252E66"/>
    <w:rsid w:val="00253980"/>
    <w:rsid w:val="00255B27"/>
    <w:rsid w:val="00256DB6"/>
    <w:rsid w:val="002609F1"/>
    <w:rsid w:val="002626C2"/>
    <w:rsid w:val="002636F1"/>
    <w:rsid w:val="00266772"/>
    <w:rsid w:val="00266AFB"/>
    <w:rsid w:val="002678CD"/>
    <w:rsid w:val="002741F0"/>
    <w:rsid w:val="00277514"/>
    <w:rsid w:val="00277AF7"/>
    <w:rsid w:val="00283519"/>
    <w:rsid w:val="0028390D"/>
    <w:rsid w:val="0028431B"/>
    <w:rsid w:val="00284385"/>
    <w:rsid w:val="0028482F"/>
    <w:rsid w:val="002875B4"/>
    <w:rsid w:val="0029108A"/>
    <w:rsid w:val="00291E58"/>
    <w:rsid w:val="00294CAF"/>
    <w:rsid w:val="00295A49"/>
    <w:rsid w:val="002A6ADC"/>
    <w:rsid w:val="002B316A"/>
    <w:rsid w:val="002B4245"/>
    <w:rsid w:val="002B7481"/>
    <w:rsid w:val="002C06B5"/>
    <w:rsid w:val="002C0CED"/>
    <w:rsid w:val="002C4B04"/>
    <w:rsid w:val="002D010C"/>
    <w:rsid w:val="002D11D8"/>
    <w:rsid w:val="002D1B2D"/>
    <w:rsid w:val="002D38C2"/>
    <w:rsid w:val="002E1E8E"/>
    <w:rsid w:val="002E246B"/>
    <w:rsid w:val="002F5B51"/>
    <w:rsid w:val="002F67EE"/>
    <w:rsid w:val="003001DB"/>
    <w:rsid w:val="00300207"/>
    <w:rsid w:val="0030233E"/>
    <w:rsid w:val="00306F3D"/>
    <w:rsid w:val="003070EF"/>
    <w:rsid w:val="00313FAA"/>
    <w:rsid w:val="00316143"/>
    <w:rsid w:val="00317AE7"/>
    <w:rsid w:val="003211F3"/>
    <w:rsid w:val="0032264C"/>
    <w:rsid w:val="00323AE7"/>
    <w:rsid w:val="003244B6"/>
    <w:rsid w:val="00325E87"/>
    <w:rsid w:val="0033098C"/>
    <w:rsid w:val="0033504F"/>
    <w:rsid w:val="003354A3"/>
    <w:rsid w:val="00337C3A"/>
    <w:rsid w:val="00337EDA"/>
    <w:rsid w:val="00340652"/>
    <w:rsid w:val="00340951"/>
    <w:rsid w:val="003435CB"/>
    <w:rsid w:val="003549EB"/>
    <w:rsid w:val="0035623B"/>
    <w:rsid w:val="00356762"/>
    <w:rsid w:val="0036014E"/>
    <w:rsid w:val="00365662"/>
    <w:rsid w:val="003665B7"/>
    <w:rsid w:val="00366961"/>
    <w:rsid w:val="00366AB2"/>
    <w:rsid w:val="0036741F"/>
    <w:rsid w:val="00371191"/>
    <w:rsid w:val="00371C5F"/>
    <w:rsid w:val="0037208D"/>
    <w:rsid w:val="00372732"/>
    <w:rsid w:val="00373784"/>
    <w:rsid w:val="00375D8D"/>
    <w:rsid w:val="00376229"/>
    <w:rsid w:val="00376782"/>
    <w:rsid w:val="0037755F"/>
    <w:rsid w:val="00380E9C"/>
    <w:rsid w:val="00384FC6"/>
    <w:rsid w:val="00385F98"/>
    <w:rsid w:val="00392829"/>
    <w:rsid w:val="0039639C"/>
    <w:rsid w:val="00396878"/>
    <w:rsid w:val="00396FD7"/>
    <w:rsid w:val="003A0B51"/>
    <w:rsid w:val="003A154D"/>
    <w:rsid w:val="003A370D"/>
    <w:rsid w:val="003A4661"/>
    <w:rsid w:val="003A52BA"/>
    <w:rsid w:val="003A564A"/>
    <w:rsid w:val="003A6207"/>
    <w:rsid w:val="003A6CF0"/>
    <w:rsid w:val="003B140D"/>
    <w:rsid w:val="003B278F"/>
    <w:rsid w:val="003B2D78"/>
    <w:rsid w:val="003B4C8D"/>
    <w:rsid w:val="003B53C5"/>
    <w:rsid w:val="003B5937"/>
    <w:rsid w:val="003C0F43"/>
    <w:rsid w:val="003C1057"/>
    <w:rsid w:val="003C1710"/>
    <w:rsid w:val="003C3FA7"/>
    <w:rsid w:val="003C4D76"/>
    <w:rsid w:val="003C4ECB"/>
    <w:rsid w:val="003D5C8A"/>
    <w:rsid w:val="003E2BBE"/>
    <w:rsid w:val="003E777D"/>
    <w:rsid w:val="003F11C9"/>
    <w:rsid w:val="003F2CA3"/>
    <w:rsid w:val="003F342D"/>
    <w:rsid w:val="003F358A"/>
    <w:rsid w:val="003F629E"/>
    <w:rsid w:val="00400755"/>
    <w:rsid w:val="00402BC7"/>
    <w:rsid w:val="00404ED1"/>
    <w:rsid w:val="0041676F"/>
    <w:rsid w:val="00421815"/>
    <w:rsid w:val="00422CC7"/>
    <w:rsid w:val="00430C01"/>
    <w:rsid w:val="00430D0B"/>
    <w:rsid w:val="00432D6C"/>
    <w:rsid w:val="00433E68"/>
    <w:rsid w:val="00434290"/>
    <w:rsid w:val="00434748"/>
    <w:rsid w:val="00436EC3"/>
    <w:rsid w:val="00442700"/>
    <w:rsid w:val="00444928"/>
    <w:rsid w:val="00450CA7"/>
    <w:rsid w:val="00451BBE"/>
    <w:rsid w:val="00451C75"/>
    <w:rsid w:val="00452E1D"/>
    <w:rsid w:val="00455FD4"/>
    <w:rsid w:val="0045638B"/>
    <w:rsid w:val="00457762"/>
    <w:rsid w:val="00457E92"/>
    <w:rsid w:val="00460CDC"/>
    <w:rsid w:val="00460FF6"/>
    <w:rsid w:val="00461F3F"/>
    <w:rsid w:val="004664C1"/>
    <w:rsid w:val="004671F1"/>
    <w:rsid w:val="0047011D"/>
    <w:rsid w:val="004728A9"/>
    <w:rsid w:val="00472CE2"/>
    <w:rsid w:val="004738AF"/>
    <w:rsid w:val="00473D99"/>
    <w:rsid w:val="00474137"/>
    <w:rsid w:val="00482EC5"/>
    <w:rsid w:val="00484283"/>
    <w:rsid w:val="00492A7D"/>
    <w:rsid w:val="00494C73"/>
    <w:rsid w:val="00495122"/>
    <w:rsid w:val="004A0247"/>
    <w:rsid w:val="004A25F4"/>
    <w:rsid w:val="004A57E6"/>
    <w:rsid w:val="004A7C40"/>
    <w:rsid w:val="004A7FAE"/>
    <w:rsid w:val="004B1FDE"/>
    <w:rsid w:val="004B694C"/>
    <w:rsid w:val="004C1441"/>
    <w:rsid w:val="004C44FC"/>
    <w:rsid w:val="004C7E73"/>
    <w:rsid w:val="004E7634"/>
    <w:rsid w:val="004F236A"/>
    <w:rsid w:val="004F2BC9"/>
    <w:rsid w:val="004F5AC5"/>
    <w:rsid w:val="004F7D8F"/>
    <w:rsid w:val="00500519"/>
    <w:rsid w:val="005013A9"/>
    <w:rsid w:val="00503160"/>
    <w:rsid w:val="0050363C"/>
    <w:rsid w:val="005062E2"/>
    <w:rsid w:val="0050732B"/>
    <w:rsid w:val="0051105B"/>
    <w:rsid w:val="00511350"/>
    <w:rsid w:val="00511C74"/>
    <w:rsid w:val="00512333"/>
    <w:rsid w:val="00513D3A"/>
    <w:rsid w:val="00515744"/>
    <w:rsid w:val="00517914"/>
    <w:rsid w:val="0052203D"/>
    <w:rsid w:val="005258A8"/>
    <w:rsid w:val="00527AFE"/>
    <w:rsid w:val="00531637"/>
    <w:rsid w:val="00532727"/>
    <w:rsid w:val="00533ABF"/>
    <w:rsid w:val="00534689"/>
    <w:rsid w:val="005350F1"/>
    <w:rsid w:val="00535483"/>
    <w:rsid w:val="00536768"/>
    <w:rsid w:val="00536F3E"/>
    <w:rsid w:val="00537763"/>
    <w:rsid w:val="005379C6"/>
    <w:rsid w:val="005400D5"/>
    <w:rsid w:val="0054326B"/>
    <w:rsid w:val="0054593C"/>
    <w:rsid w:val="00550207"/>
    <w:rsid w:val="00557FCD"/>
    <w:rsid w:val="00560295"/>
    <w:rsid w:val="00560786"/>
    <w:rsid w:val="00562A5C"/>
    <w:rsid w:val="0056317F"/>
    <w:rsid w:val="00564371"/>
    <w:rsid w:val="00570419"/>
    <w:rsid w:val="00573169"/>
    <w:rsid w:val="00574477"/>
    <w:rsid w:val="005764E0"/>
    <w:rsid w:val="0058268B"/>
    <w:rsid w:val="00582CFB"/>
    <w:rsid w:val="005837E4"/>
    <w:rsid w:val="005852B4"/>
    <w:rsid w:val="00586899"/>
    <w:rsid w:val="00587291"/>
    <w:rsid w:val="005913D7"/>
    <w:rsid w:val="00592CD1"/>
    <w:rsid w:val="00594DA5"/>
    <w:rsid w:val="005959BA"/>
    <w:rsid w:val="00596984"/>
    <w:rsid w:val="00597FCF"/>
    <w:rsid w:val="005A0B55"/>
    <w:rsid w:val="005A318B"/>
    <w:rsid w:val="005A528E"/>
    <w:rsid w:val="005A55A7"/>
    <w:rsid w:val="005A55D4"/>
    <w:rsid w:val="005A691F"/>
    <w:rsid w:val="005B152C"/>
    <w:rsid w:val="005B1C73"/>
    <w:rsid w:val="005B2CB7"/>
    <w:rsid w:val="005B5E57"/>
    <w:rsid w:val="005C4DE9"/>
    <w:rsid w:val="005C504C"/>
    <w:rsid w:val="005D3CD6"/>
    <w:rsid w:val="005E14E2"/>
    <w:rsid w:val="005E17AC"/>
    <w:rsid w:val="005F04EC"/>
    <w:rsid w:val="005F1BDC"/>
    <w:rsid w:val="005F2708"/>
    <w:rsid w:val="005F2B84"/>
    <w:rsid w:val="005F5477"/>
    <w:rsid w:val="005F6751"/>
    <w:rsid w:val="005F68CF"/>
    <w:rsid w:val="005F71D1"/>
    <w:rsid w:val="005F7E4B"/>
    <w:rsid w:val="00600367"/>
    <w:rsid w:val="00604438"/>
    <w:rsid w:val="00605AC3"/>
    <w:rsid w:val="00606A55"/>
    <w:rsid w:val="00606C4C"/>
    <w:rsid w:val="006114AF"/>
    <w:rsid w:val="00612933"/>
    <w:rsid w:val="00612AEB"/>
    <w:rsid w:val="00613D28"/>
    <w:rsid w:val="00616A7A"/>
    <w:rsid w:val="00617C0A"/>
    <w:rsid w:val="006202DC"/>
    <w:rsid w:val="00627A39"/>
    <w:rsid w:val="00631AFC"/>
    <w:rsid w:val="006339DF"/>
    <w:rsid w:val="00634479"/>
    <w:rsid w:val="00635A41"/>
    <w:rsid w:val="006440DC"/>
    <w:rsid w:val="00644618"/>
    <w:rsid w:val="00645ED6"/>
    <w:rsid w:val="00653877"/>
    <w:rsid w:val="00655A14"/>
    <w:rsid w:val="00656CEC"/>
    <w:rsid w:val="00657537"/>
    <w:rsid w:val="006613FE"/>
    <w:rsid w:val="00663307"/>
    <w:rsid w:val="0066516A"/>
    <w:rsid w:val="00665FA6"/>
    <w:rsid w:val="00674016"/>
    <w:rsid w:val="00674865"/>
    <w:rsid w:val="0067553B"/>
    <w:rsid w:val="006770B0"/>
    <w:rsid w:val="00682E52"/>
    <w:rsid w:val="00686996"/>
    <w:rsid w:val="00687094"/>
    <w:rsid w:val="0069141F"/>
    <w:rsid w:val="006929BB"/>
    <w:rsid w:val="00697890"/>
    <w:rsid w:val="00697BC8"/>
    <w:rsid w:val="006A000A"/>
    <w:rsid w:val="006A08EE"/>
    <w:rsid w:val="006A09F4"/>
    <w:rsid w:val="006A155E"/>
    <w:rsid w:val="006A3290"/>
    <w:rsid w:val="006A542A"/>
    <w:rsid w:val="006A6F8B"/>
    <w:rsid w:val="006A7604"/>
    <w:rsid w:val="006B0E19"/>
    <w:rsid w:val="006B17E7"/>
    <w:rsid w:val="006B3C50"/>
    <w:rsid w:val="006B6AC5"/>
    <w:rsid w:val="006B716A"/>
    <w:rsid w:val="006C270B"/>
    <w:rsid w:val="006C4C24"/>
    <w:rsid w:val="006C55D7"/>
    <w:rsid w:val="006D1049"/>
    <w:rsid w:val="006D5C80"/>
    <w:rsid w:val="006E2862"/>
    <w:rsid w:val="006E336D"/>
    <w:rsid w:val="006E394E"/>
    <w:rsid w:val="006E77FF"/>
    <w:rsid w:val="006E7DE4"/>
    <w:rsid w:val="006F2455"/>
    <w:rsid w:val="006F497C"/>
    <w:rsid w:val="006F4D63"/>
    <w:rsid w:val="006F4F02"/>
    <w:rsid w:val="006F6A96"/>
    <w:rsid w:val="00700E85"/>
    <w:rsid w:val="00702FBC"/>
    <w:rsid w:val="00705F8E"/>
    <w:rsid w:val="00711AF6"/>
    <w:rsid w:val="007136BE"/>
    <w:rsid w:val="0071437B"/>
    <w:rsid w:val="007209AB"/>
    <w:rsid w:val="007217FA"/>
    <w:rsid w:val="00723286"/>
    <w:rsid w:val="00726646"/>
    <w:rsid w:val="00726F31"/>
    <w:rsid w:val="00730467"/>
    <w:rsid w:val="007362A3"/>
    <w:rsid w:val="007405A7"/>
    <w:rsid w:val="00741456"/>
    <w:rsid w:val="007415EE"/>
    <w:rsid w:val="00750842"/>
    <w:rsid w:val="00751886"/>
    <w:rsid w:val="007518D2"/>
    <w:rsid w:val="00752646"/>
    <w:rsid w:val="00752F98"/>
    <w:rsid w:val="007576A2"/>
    <w:rsid w:val="00761105"/>
    <w:rsid w:val="00764001"/>
    <w:rsid w:val="007654CA"/>
    <w:rsid w:val="00765E6F"/>
    <w:rsid w:val="007664E6"/>
    <w:rsid w:val="00770D9E"/>
    <w:rsid w:val="00772CDD"/>
    <w:rsid w:val="00774242"/>
    <w:rsid w:val="00785C85"/>
    <w:rsid w:val="0078742C"/>
    <w:rsid w:val="00791A18"/>
    <w:rsid w:val="00793E71"/>
    <w:rsid w:val="00796DDA"/>
    <w:rsid w:val="0079785C"/>
    <w:rsid w:val="00797F71"/>
    <w:rsid w:val="007A108D"/>
    <w:rsid w:val="007A159B"/>
    <w:rsid w:val="007A2FFE"/>
    <w:rsid w:val="007A4EB4"/>
    <w:rsid w:val="007A5A9E"/>
    <w:rsid w:val="007A7BD0"/>
    <w:rsid w:val="007B4343"/>
    <w:rsid w:val="007C0073"/>
    <w:rsid w:val="007C1361"/>
    <w:rsid w:val="007C4311"/>
    <w:rsid w:val="007C47AF"/>
    <w:rsid w:val="007C53E1"/>
    <w:rsid w:val="007C5C7C"/>
    <w:rsid w:val="007D2230"/>
    <w:rsid w:val="007D2503"/>
    <w:rsid w:val="007E1E69"/>
    <w:rsid w:val="007E2DE6"/>
    <w:rsid w:val="007E3713"/>
    <w:rsid w:val="007E4FF5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802434"/>
    <w:rsid w:val="008060BF"/>
    <w:rsid w:val="00810B37"/>
    <w:rsid w:val="00814081"/>
    <w:rsid w:val="00820525"/>
    <w:rsid w:val="00820C20"/>
    <w:rsid w:val="0082122B"/>
    <w:rsid w:val="0082164A"/>
    <w:rsid w:val="0082272D"/>
    <w:rsid w:val="00822DB8"/>
    <w:rsid w:val="00823FDD"/>
    <w:rsid w:val="0082593B"/>
    <w:rsid w:val="00826D44"/>
    <w:rsid w:val="0083054A"/>
    <w:rsid w:val="00830C0B"/>
    <w:rsid w:val="008334ED"/>
    <w:rsid w:val="008407F0"/>
    <w:rsid w:val="008501E4"/>
    <w:rsid w:val="008529D3"/>
    <w:rsid w:val="0085314F"/>
    <w:rsid w:val="00855DFA"/>
    <w:rsid w:val="00856F84"/>
    <w:rsid w:val="00857C13"/>
    <w:rsid w:val="00860098"/>
    <w:rsid w:val="00863CA8"/>
    <w:rsid w:val="00865D1E"/>
    <w:rsid w:val="00866BEE"/>
    <w:rsid w:val="00867689"/>
    <w:rsid w:val="00867FBF"/>
    <w:rsid w:val="00873AF0"/>
    <w:rsid w:val="00875F30"/>
    <w:rsid w:val="00880043"/>
    <w:rsid w:val="0088159C"/>
    <w:rsid w:val="00882734"/>
    <w:rsid w:val="0088396C"/>
    <w:rsid w:val="00890E3C"/>
    <w:rsid w:val="00891AD8"/>
    <w:rsid w:val="00891C30"/>
    <w:rsid w:val="00894FA8"/>
    <w:rsid w:val="00896401"/>
    <w:rsid w:val="00897936"/>
    <w:rsid w:val="008979F1"/>
    <w:rsid w:val="008A468A"/>
    <w:rsid w:val="008B3059"/>
    <w:rsid w:val="008B3B1A"/>
    <w:rsid w:val="008B65AE"/>
    <w:rsid w:val="008B7BF3"/>
    <w:rsid w:val="008C0D2D"/>
    <w:rsid w:val="008C0DFD"/>
    <w:rsid w:val="008C117E"/>
    <w:rsid w:val="008C25E1"/>
    <w:rsid w:val="008C2C76"/>
    <w:rsid w:val="008C4BFE"/>
    <w:rsid w:val="008C51CF"/>
    <w:rsid w:val="008C58D7"/>
    <w:rsid w:val="008D0961"/>
    <w:rsid w:val="008D23EB"/>
    <w:rsid w:val="008D2A2A"/>
    <w:rsid w:val="008D611D"/>
    <w:rsid w:val="008D7088"/>
    <w:rsid w:val="008E7CF7"/>
    <w:rsid w:val="008F3E18"/>
    <w:rsid w:val="008F54E8"/>
    <w:rsid w:val="008F5771"/>
    <w:rsid w:val="008F623D"/>
    <w:rsid w:val="008F79AC"/>
    <w:rsid w:val="0090277B"/>
    <w:rsid w:val="00907E85"/>
    <w:rsid w:val="00913939"/>
    <w:rsid w:val="00915E92"/>
    <w:rsid w:val="0091787C"/>
    <w:rsid w:val="0092123D"/>
    <w:rsid w:val="009231ED"/>
    <w:rsid w:val="0092460C"/>
    <w:rsid w:val="00930596"/>
    <w:rsid w:val="0093176A"/>
    <w:rsid w:val="00934ED0"/>
    <w:rsid w:val="009419C3"/>
    <w:rsid w:val="00943C83"/>
    <w:rsid w:val="00943D81"/>
    <w:rsid w:val="009517BB"/>
    <w:rsid w:val="00951EBA"/>
    <w:rsid w:val="00960D80"/>
    <w:rsid w:val="0096693D"/>
    <w:rsid w:val="00974D05"/>
    <w:rsid w:val="0097665B"/>
    <w:rsid w:val="00977A9F"/>
    <w:rsid w:val="009808E2"/>
    <w:rsid w:val="009808EC"/>
    <w:rsid w:val="00982F09"/>
    <w:rsid w:val="009837E2"/>
    <w:rsid w:val="00983A65"/>
    <w:rsid w:val="00983D48"/>
    <w:rsid w:val="009840A3"/>
    <w:rsid w:val="00985756"/>
    <w:rsid w:val="009914FE"/>
    <w:rsid w:val="009919CD"/>
    <w:rsid w:val="00994803"/>
    <w:rsid w:val="00994A45"/>
    <w:rsid w:val="009976DB"/>
    <w:rsid w:val="009A008D"/>
    <w:rsid w:val="009A1651"/>
    <w:rsid w:val="009A3BB0"/>
    <w:rsid w:val="009A6A5C"/>
    <w:rsid w:val="009B66BB"/>
    <w:rsid w:val="009B7952"/>
    <w:rsid w:val="009C0F1B"/>
    <w:rsid w:val="009C3C39"/>
    <w:rsid w:val="009C4386"/>
    <w:rsid w:val="009C50FE"/>
    <w:rsid w:val="009C5280"/>
    <w:rsid w:val="009C611A"/>
    <w:rsid w:val="009C6368"/>
    <w:rsid w:val="009D4B8A"/>
    <w:rsid w:val="009D6043"/>
    <w:rsid w:val="009D66F9"/>
    <w:rsid w:val="009E014F"/>
    <w:rsid w:val="009E0189"/>
    <w:rsid w:val="009E0257"/>
    <w:rsid w:val="009E1980"/>
    <w:rsid w:val="009E340E"/>
    <w:rsid w:val="009F1CE8"/>
    <w:rsid w:val="00A01CEB"/>
    <w:rsid w:val="00A03FCE"/>
    <w:rsid w:val="00A04926"/>
    <w:rsid w:val="00A05ADB"/>
    <w:rsid w:val="00A07085"/>
    <w:rsid w:val="00A0741F"/>
    <w:rsid w:val="00A10513"/>
    <w:rsid w:val="00A11554"/>
    <w:rsid w:val="00A11C19"/>
    <w:rsid w:val="00A126EC"/>
    <w:rsid w:val="00A153FB"/>
    <w:rsid w:val="00A155EB"/>
    <w:rsid w:val="00A17B41"/>
    <w:rsid w:val="00A22CFE"/>
    <w:rsid w:val="00A24587"/>
    <w:rsid w:val="00A269A7"/>
    <w:rsid w:val="00A27AE9"/>
    <w:rsid w:val="00A314D8"/>
    <w:rsid w:val="00A33255"/>
    <w:rsid w:val="00A3399E"/>
    <w:rsid w:val="00A33ACD"/>
    <w:rsid w:val="00A34EB3"/>
    <w:rsid w:val="00A365B3"/>
    <w:rsid w:val="00A3669B"/>
    <w:rsid w:val="00A4112D"/>
    <w:rsid w:val="00A4437A"/>
    <w:rsid w:val="00A50969"/>
    <w:rsid w:val="00A54660"/>
    <w:rsid w:val="00A56A94"/>
    <w:rsid w:val="00A56E8A"/>
    <w:rsid w:val="00A6482F"/>
    <w:rsid w:val="00A65411"/>
    <w:rsid w:val="00A65518"/>
    <w:rsid w:val="00A707FA"/>
    <w:rsid w:val="00A727FB"/>
    <w:rsid w:val="00A7305A"/>
    <w:rsid w:val="00A74E8E"/>
    <w:rsid w:val="00A762DD"/>
    <w:rsid w:val="00A807CC"/>
    <w:rsid w:val="00A818AB"/>
    <w:rsid w:val="00A82EFB"/>
    <w:rsid w:val="00A84451"/>
    <w:rsid w:val="00A91466"/>
    <w:rsid w:val="00A91692"/>
    <w:rsid w:val="00A91CEA"/>
    <w:rsid w:val="00A93A35"/>
    <w:rsid w:val="00A97B88"/>
    <w:rsid w:val="00AA0CC4"/>
    <w:rsid w:val="00AA2311"/>
    <w:rsid w:val="00AA36F7"/>
    <w:rsid w:val="00AA45B9"/>
    <w:rsid w:val="00AA79DC"/>
    <w:rsid w:val="00AC0107"/>
    <w:rsid w:val="00AC4843"/>
    <w:rsid w:val="00AC79F0"/>
    <w:rsid w:val="00AC7D8F"/>
    <w:rsid w:val="00AD33A8"/>
    <w:rsid w:val="00AD5C90"/>
    <w:rsid w:val="00AE38E7"/>
    <w:rsid w:val="00AE69EE"/>
    <w:rsid w:val="00AF58FA"/>
    <w:rsid w:val="00AF6747"/>
    <w:rsid w:val="00B00811"/>
    <w:rsid w:val="00B04A9C"/>
    <w:rsid w:val="00B04DF6"/>
    <w:rsid w:val="00B0692B"/>
    <w:rsid w:val="00B06994"/>
    <w:rsid w:val="00B076AB"/>
    <w:rsid w:val="00B078F3"/>
    <w:rsid w:val="00B1396B"/>
    <w:rsid w:val="00B1785F"/>
    <w:rsid w:val="00B2022E"/>
    <w:rsid w:val="00B23236"/>
    <w:rsid w:val="00B23AA1"/>
    <w:rsid w:val="00B24DD0"/>
    <w:rsid w:val="00B24F09"/>
    <w:rsid w:val="00B27560"/>
    <w:rsid w:val="00B30C9C"/>
    <w:rsid w:val="00B32A0E"/>
    <w:rsid w:val="00B3446E"/>
    <w:rsid w:val="00B35C59"/>
    <w:rsid w:val="00B35E6A"/>
    <w:rsid w:val="00B367B1"/>
    <w:rsid w:val="00B3704D"/>
    <w:rsid w:val="00B42A05"/>
    <w:rsid w:val="00B47268"/>
    <w:rsid w:val="00B47408"/>
    <w:rsid w:val="00B47B9F"/>
    <w:rsid w:val="00B50B1F"/>
    <w:rsid w:val="00B53F61"/>
    <w:rsid w:val="00B55058"/>
    <w:rsid w:val="00B56A4A"/>
    <w:rsid w:val="00B57B96"/>
    <w:rsid w:val="00B62171"/>
    <w:rsid w:val="00B633C4"/>
    <w:rsid w:val="00B77E9E"/>
    <w:rsid w:val="00B77EF3"/>
    <w:rsid w:val="00B83324"/>
    <w:rsid w:val="00B83435"/>
    <w:rsid w:val="00B83AD8"/>
    <w:rsid w:val="00B84252"/>
    <w:rsid w:val="00B84B0F"/>
    <w:rsid w:val="00B86925"/>
    <w:rsid w:val="00B90796"/>
    <w:rsid w:val="00B96758"/>
    <w:rsid w:val="00B97C09"/>
    <w:rsid w:val="00BA098E"/>
    <w:rsid w:val="00BA0F3A"/>
    <w:rsid w:val="00BA1F92"/>
    <w:rsid w:val="00BA2B73"/>
    <w:rsid w:val="00BA34E1"/>
    <w:rsid w:val="00BB3E51"/>
    <w:rsid w:val="00BB423E"/>
    <w:rsid w:val="00BB428F"/>
    <w:rsid w:val="00BB4946"/>
    <w:rsid w:val="00BC3B95"/>
    <w:rsid w:val="00BC3FC0"/>
    <w:rsid w:val="00BC4308"/>
    <w:rsid w:val="00BC6806"/>
    <w:rsid w:val="00BC7F5B"/>
    <w:rsid w:val="00BD0589"/>
    <w:rsid w:val="00BD0BE2"/>
    <w:rsid w:val="00BD6058"/>
    <w:rsid w:val="00BD6F45"/>
    <w:rsid w:val="00BE4769"/>
    <w:rsid w:val="00BE71CA"/>
    <w:rsid w:val="00BF0209"/>
    <w:rsid w:val="00BF195D"/>
    <w:rsid w:val="00BF61F1"/>
    <w:rsid w:val="00C00955"/>
    <w:rsid w:val="00C043F7"/>
    <w:rsid w:val="00C04CC7"/>
    <w:rsid w:val="00C0701D"/>
    <w:rsid w:val="00C07386"/>
    <w:rsid w:val="00C10DD1"/>
    <w:rsid w:val="00C14A32"/>
    <w:rsid w:val="00C14CDC"/>
    <w:rsid w:val="00C14ED7"/>
    <w:rsid w:val="00C16874"/>
    <w:rsid w:val="00C16DA7"/>
    <w:rsid w:val="00C17A95"/>
    <w:rsid w:val="00C21DD7"/>
    <w:rsid w:val="00C278A2"/>
    <w:rsid w:val="00C27DAB"/>
    <w:rsid w:val="00C345DF"/>
    <w:rsid w:val="00C34ABA"/>
    <w:rsid w:val="00C3562B"/>
    <w:rsid w:val="00C403E8"/>
    <w:rsid w:val="00C40CD9"/>
    <w:rsid w:val="00C4431F"/>
    <w:rsid w:val="00C51A1C"/>
    <w:rsid w:val="00C51E50"/>
    <w:rsid w:val="00C5383C"/>
    <w:rsid w:val="00C53D7D"/>
    <w:rsid w:val="00C57C4F"/>
    <w:rsid w:val="00C60ED0"/>
    <w:rsid w:val="00C66DEF"/>
    <w:rsid w:val="00C72DFB"/>
    <w:rsid w:val="00C85AB8"/>
    <w:rsid w:val="00C94F45"/>
    <w:rsid w:val="00CA0AC5"/>
    <w:rsid w:val="00CA0D30"/>
    <w:rsid w:val="00CA24A0"/>
    <w:rsid w:val="00CA378A"/>
    <w:rsid w:val="00CA3B51"/>
    <w:rsid w:val="00CA4A54"/>
    <w:rsid w:val="00CB0D98"/>
    <w:rsid w:val="00CB1986"/>
    <w:rsid w:val="00CB355F"/>
    <w:rsid w:val="00CB3563"/>
    <w:rsid w:val="00CC159F"/>
    <w:rsid w:val="00CC3A9D"/>
    <w:rsid w:val="00CC7F7D"/>
    <w:rsid w:val="00CD3198"/>
    <w:rsid w:val="00CE30D7"/>
    <w:rsid w:val="00CE6635"/>
    <w:rsid w:val="00CE6A7A"/>
    <w:rsid w:val="00CF0A30"/>
    <w:rsid w:val="00CF138C"/>
    <w:rsid w:val="00CF1824"/>
    <w:rsid w:val="00CF43B2"/>
    <w:rsid w:val="00CF6589"/>
    <w:rsid w:val="00D007A1"/>
    <w:rsid w:val="00D02539"/>
    <w:rsid w:val="00D0489B"/>
    <w:rsid w:val="00D057F6"/>
    <w:rsid w:val="00D12FAF"/>
    <w:rsid w:val="00D13478"/>
    <w:rsid w:val="00D16A29"/>
    <w:rsid w:val="00D175DF"/>
    <w:rsid w:val="00D20F9C"/>
    <w:rsid w:val="00D22B81"/>
    <w:rsid w:val="00D2414D"/>
    <w:rsid w:val="00D25895"/>
    <w:rsid w:val="00D25E37"/>
    <w:rsid w:val="00D3297B"/>
    <w:rsid w:val="00D34656"/>
    <w:rsid w:val="00D34E92"/>
    <w:rsid w:val="00D3587A"/>
    <w:rsid w:val="00D372B8"/>
    <w:rsid w:val="00D426EB"/>
    <w:rsid w:val="00D44A65"/>
    <w:rsid w:val="00D47B15"/>
    <w:rsid w:val="00D56E1E"/>
    <w:rsid w:val="00D57BE9"/>
    <w:rsid w:val="00D613EE"/>
    <w:rsid w:val="00D61E41"/>
    <w:rsid w:val="00D63F2A"/>
    <w:rsid w:val="00D648E9"/>
    <w:rsid w:val="00D704D4"/>
    <w:rsid w:val="00D71C1F"/>
    <w:rsid w:val="00D7391B"/>
    <w:rsid w:val="00D75AEB"/>
    <w:rsid w:val="00D76D36"/>
    <w:rsid w:val="00D7759D"/>
    <w:rsid w:val="00D826C0"/>
    <w:rsid w:val="00D83589"/>
    <w:rsid w:val="00D86F12"/>
    <w:rsid w:val="00D9059E"/>
    <w:rsid w:val="00D92D25"/>
    <w:rsid w:val="00D93E77"/>
    <w:rsid w:val="00D9593A"/>
    <w:rsid w:val="00DA007E"/>
    <w:rsid w:val="00DA6C42"/>
    <w:rsid w:val="00DB3117"/>
    <w:rsid w:val="00DB6E47"/>
    <w:rsid w:val="00DC25C1"/>
    <w:rsid w:val="00DC3A45"/>
    <w:rsid w:val="00DC3D25"/>
    <w:rsid w:val="00DC6A33"/>
    <w:rsid w:val="00DC6DE9"/>
    <w:rsid w:val="00DD2AD0"/>
    <w:rsid w:val="00DD40FA"/>
    <w:rsid w:val="00DD50DD"/>
    <w:rsid w:val="00DE075D"/>
    <w:rsid w:val="00DE3832"/>
    <w:rsid w:val="00DE5B0B"/>
    <w:rsid w:val="00DE5DE9"/>
    <w:rsid w:val="00DE6D0D"/>
    <w:rsid w:val="00DE7AF8"/>
    <w:rsid w:val="00DF1BC3"/>
    <w:rsid w:val="00DF4C6C"/>
    <w:rsid w:val="00E036A7"/>
    <w:rsid w:val="00E05B85"/>
    <w:rsid w:val="00E06863"/>
    <w:rsid w:val="00E06CEF"/>
    <w:rsid w:val="00E07314"/>
    <w:rsid w:val="00E11C74"/>
    <w:rsid w:val="00E13799"/>
    <w:rsid w:val="00E16332"/>
    <w:rsid w:val="00E16515"/>
    <w:rsid w:val="00E16F63"/>
    <w:rsid w:val="00E2119B"/>
    <w:rsid w:val="00E22FA1"/>
    <w:rsid w:val="00E24D12"/>
    <w:rsid w:val="00E253C3"/>
    <w:rsid w:val="00E256BA"/>
    <w:rsid w:val="00E31A4E"/>
    <w:rsid w:val="00E33CCC"/>
    <w:rsid w:val="00E33E17"/>
    <w:rsid w:val="00E35955"/>
    <w:rsid w:val="00E40735"/>
    <w:rsid w:val="00E40B95"/>
    <w:rsid w:val="00E41AA0"/>
    <w:rsid w:val="00E4269D"/>
    <w:rsid w:val="00E42796"/>
    <w:rsid w:val="00E43FA1"/>
    <w:rsid w:val="00E45560"/>
    <w:rsid w:val="00E459C7"/>
    <w:rsid w:val="00E475CA"/>
    <w:rsid w:val="00E500E3"/>
    <w:rsid w:val="00E50B24"/>
    <w:rsid w:val="00E5259E"/>
    <w:rsid w:val="00E54327"/>
    <w:rsid w:val="00E55D34"/>
    <w:rsid w:val="00E603F4"/>
    <w:rsid w:val="00E65196"/>
    <w:rsid w:val="00E666A8"/>
    <w:rsid w:val="00E70597"/>
    <w:rsid w:val="00E7537B"/>
    <w:rsid w:val="00E81407"/>
    <w:rsid w:val="00E86C58"/>
    <w:rsid w:val="00E87459"/>
    <w:rsid w:val="00E8797B"/>
    <w:rsid w:val="00E9070D"/>
    <w:rsid w:val="00E90A66"/>
    <w:rsid w:val="00E9291B"/>
    <w:rsid w:val="00E92FF8"/>
    <w:rsid w:val="00E93067"/>
    <w:rsid w:val="00E93F7B"/>
    <w:rsid w:val="00EA117B"/>
    <w:rsid w:val="00EA22B8"/>
    <w:rsid w:val="00EA3BE6"/>
    <w:rsid w:val="00EA46BF"/>
    <w:rsid w:val="00EA64C1"/>
    <w:rsid w:val="00EA7418"/>
    <w:rsid w:val="00EB632B"/>
    <w:rsid w:val="00EC125C"/>
    <w:rsid w:val="00EC28D7"/>
    <w:rsid w:val="00EC47C3"/>
    <w:rsid w:val="00EC73D6"/>
    <w:rsid w:val="00ED11F1"/>
    <w:rsid w:val="00ED36AF"/>
    <w:rsid w:val="00ED456F"/>
    <w:rsid w:val="00ED71EB"/>
    <w:rsid w:val="00ED7C5D"/>
    <w:rsid w:val="00ED7EC1"/>
    <w:rsid w:val="00EE0A73"/>
    <w:rsid w:val="00EE330D"/>
    <w:rsid w:val="00EE6BF7"/>
    <w:rsid w:val="00EE71D5"/>
    <w:rsid w:val="00EF1B26"/>
    <w:rsid w:val="00EF1D38"/>
    <w:rsid w:val="00EF202D"/>
    <w:rsid w:val="00EF2747"/>
    <w:rsid w:val="00EF39F2"/>
    <w:rsid w:val="00EF4E4B"/>
    <w:rsid w:val="00EF5DCD"/>
    <w:rsid w:val="00F02881"/>
    <w:rsid w:val="00F0303B"/>
    <w:rsid w:val="00F03F01"/>
    <w:rsid w:val="00F051F0"/>
    <w:rsid w:val="00F052FF"/>
    <w:rsid w:val="00F06C02"/>
    <w:rsid w:val="00F06F85"/>
    <w:rsid w:val="00F070CB"/>
    <w:rsid w:val="00F12B53"/>
    <w:rsid w:val="00F17749"/>
    <w:rsid w:val="00F2174C"/>
    <w:rsid w:val="00F251E7"/>
    <w:rsid w:val="00F26905"/>
    <w:rsid w:val="00F30E9D"/>
    <w:rsid w:val="00F32BDD"/>
    <w:rsid w:val="00F35D5F"/>
    <w:rsid w:val="00F35E7E"/>
    <w:rsid w:val="00F37A7C"/>
    <w:rsid w:val="00F37CFA"/>
    <w:rsid w:val="00F41991"/>
    <w:rsid w:val="00F422B8"/>
    <w:rsid w:val="00F428E3"/>
    <w:rsid w:val="00F500BE"/>
    <w:rsid w:val="00F50857"/>
    <w:rsid w:val="00F53C79"/>
    <w:rsid w:val="00F570D1"/>
    <w:rsid w:val="00F6023E"/>
    <w:rsid w:val="00F62FCD"/>
    <w:rsid w:val="00F63F39"/>
    <w:rsid w:val="00F659D3"/>
    <w:rsid w:val="00F6606D"/>
    <w:rsid w:val="00F71E9F"/>
    <w:rsid w:val="00F74AA4"/>
    <w:rsid w:val="00F829AB"/>
    <w:rsid w:val="00F829F9"/>
    <w:rsid w:val="00F84049"/>
    <w:rsid w:val="00F84558"/>
    <w:rsid w:val="00F85015"/>
    <w:rsid w:val="00F927AA"/>
    <w:rsid w:val="00F9446B"/>
    <w:rsid w:val="00F94559"/>
    <w:rsid w:val="00F96AF6"/>
    <w:rsid w:val="00F97A7B"/>
    <w:rsid w:val="00FA1A19"/>
    <w:rsid w:val="00FA3A8E"/>
    <w:rsid w:val="00FA53A5"/>
    <w:rsid w:val="00FA5C32"/>
    <w:rsid w:val="00FA7DF5"/>
    <w:rsid w:val="00FB0275"/>
    <w:rsid w:val="00FB233E"/>
    <w:rsid w:val="00FB48F2"/>
    <w:rsid w:val="00FC1257"/>
    <w:rsid w:val="00FC1454"/>
    <w:rsid w:val="00FC46F6"/>
    <w:rsid w:val="00FC4BFF"/>
    <w:rsid w:val="00FD1404"/>
    <w:rsid w:val="00FD15D5"/>
    <w:rsid w:val="00FD3546"/>
    <w:rsid w:val="00FD5E4F"/>
    <w:rsid w:val="00FD7655"/>
    <w:rsid w:val="00FE329F"/>
    <w:rsid w:val="00FE5DDB"/>
    <w:rsid w:val="00FF1D6E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uiPriority w:val="34"/>
    <w:qFormat/>
    <w:rsid w:val="00EA3BE6"/>
    <w:pPr>
      <w:ind w:left="720"/>
      <w:contextualSpacing/>
    </w:pPr>
  </w:style>
  <w:style w:type="character" w:styleId="a9">
    <w:name w:val="page number"/>
    <w:rsid w:val="00EA3BE6"/>
  </w:style>
  <w:style w:type="paragraph" w:styleId="aa">
    <w:name w:val="Normal (Web)"/>
    <w:basedOn w:val="a0"/>
    <w:link w:val="ab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бычный (веб) Знак"/>
    <w:link w:val="aa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c">
    <w:name w:val="Body Text Indent"/>
    <w:basedOn w:val="a0"/>
    <w:link w:val="ad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1"/>
    <w:link w:val="ac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e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ody Text"/>
    <w:basedOn w:val="a0"/>
    <w:link w:val="af3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1"/>
    <w:link w:val="af2"/>
    <w:uiPriority w:val="99"/>
    <w:rsid w:val="00E43FA1"/>
    <w:rPr>
      <w:rFonts w:ascii="Calibri" w:eastAsia="Calibri" w:hAnsi="Calibri" w:cs="Times New Roman"/>
    </w:rPr>
  </w:style>
  <w:style w:type="character" w:styleId="af4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9094-4A41-43D2-AB8D-B108338C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3</Pages>
  <Words>7479</Words>
  <Characters>4264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Савченко Тетяна Сергіївна</cp:lastModifiedBy>
  <cp:revision>1006</cp:revision>
  <cp:lastPrinted>2017-01-30T12:08:00Z</cp:lastPrinted>
  <dcterms:created xsi:type="dcterms:W3CDTF">2016-06-21T12:31:00Z</dcterms:created>
  <dcterms:modified xsi:type="dcterms:W3CDTF">2017-02-02T13:01:00Z</dcterms:modified>
</cp:coreProperties>
</file>