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583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733"/>
      </w:tblGrid>
      <w:tr w:rsidR="002F13D0" w:rsidRPr="00F52A8B" w:rsidTr="009605B8">
        <w:trPr>
          <w:gridBefore w:val="2"/>
          <w:wBefore w:w="11307" w:type="dxa"/>
          <w:trHeight w:val="1702"/>
        </w:trPr>
        <w:tc>
          <w:tcPr>
            <w:tcW w:w="15276" w:type="dxa"/>
            <w:gridSpan w:val="2"/>
          </w:tcPr>
          <w:p w:rsidR="002F13D0" w:rsidRPr="00F52A8B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2F13D0" w:rsidRPr="00F52A8B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</w:t>
            </w:r>
          </w:p>
          <w:p w:rsidR="002F13D0" w:rsidRPr="00F52A8B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2F13D0" w:rsidRPr="00F52A8B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2F13D0" w:rsidRPr="000967DB" w:rsidRDefault="000967DB" w:rsidP="0009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12.11.2019 </w:t>
            </w:r>
            <w:r w:rsidR="002F13D0"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№</w:t>
            </w: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 2267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9605B8" w:rsidP="00E4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Зміна офіційного представника спонсора в Україні з метою проведення клінічного випробування: з ТОВ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Кованс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Клінікал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Періепрувал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Сервісез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» [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Covance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Clinical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Periapproval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Services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LLC], Україна, Київ, 03038, </w:t>
            </w:r>
            <w:r w:rsidR="00E403A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E4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М. Грінченка, 4, бізнес-центр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Регус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Горизонт Парк», 2 поверх на ТОВ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Чілтерн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Інтернешнл Україна» [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Chiltern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Ukraine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LLC], Україна, Київ, 04112, вул. Олени Теліги, будинок 6, корпус 6 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F52A8B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1132 від 15.06.2018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103AA5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«Використання пероральних антикоагулянтів, що не відносяться до класу антагоністів вітаміну К, у пацієнтів з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передсердними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епізодами високої частоти», код дослідження NOAH - AFNET 6, версія 4.0 від 06 листопада 2018 р.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103AA5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Чілтерн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Інтернешнл Україна» [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Chiltern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International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Ukraine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LLC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], Україна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103AA5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Kompetenznetz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Vorhofflimmern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e.V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 (AFNET) [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Atrial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Fibrillation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NETwork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], Німеччина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F52A8B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A4C7E" w:rsidRPr="00F52A8B" w:rsidRDefault="00DA4C7E" w:rsidP="00DA4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F52A8B" w:rsidRDefault="007F6DD4" w:rsidP="00DA4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43D" w:rsidRPr="00F52A8B" w:rsidRDefault="006C343D" w:rsidP="006C3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6867A5" w:rsidRPr="00F52A8B" w:rsidRDefault="006C343D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6C343D" w:rsidRPr="00F52A8B" w:rsidRDefault="009605B8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br w:type="page"/>
      </w:r>
    </w:p>
    <w:tbl>
      <w:tblPr>
        <w:tblW w:w="26157" w:type="dxa"/>
        <w:tblLook w:val="01E0" w:firstRow="1" w:lastRow="1" w:firstColumn="1" w:lastColumn="1" w:noHBand="0" w:noVBand="0"/>
      </w:tblPr>
      <w:tblGrid>
        <w:gridCol w:w="2344"/>
        <w:gridCol w:w="8821"/>
        <w:gridCol w:w="3685"/>
        <w:gridCol w:w="11307"/>
      </w:tblGrid>
      <w:tr w:rsidR="0014473A" w:rsidRPr="00F52A8B" w:rsidTr="009605B8">
        <w:trPr>
          <w:gridBefore w:val="2"/>
          <w:wBefore w:w="11165" w:type="dxa"/>
          <w:trHeight w:val="1426"/>
        </w:trPr>
        <w:tc>
          <w:tcPr>
            <w:tcW w:w="14992" w:type="dxa"/>
            <w:gridSpan w:val="2"/>
          </w:tcPr>
          <w:p w:rsidR="0014473A" w:rsidRPr="00F52A8B" w:rsidRDefault="0014473A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</w:t>
            </w:r>
          </w:p>
          <w:p w:rsidR="0014473A" w:rsidRPr="00F52A8B" w:rsidRDefault="0014473A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F52A8B" w:rsidRDefault="0014473A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F52A8B" w:rsidRDefault="005923FF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  <w:r w:rsidR="0014473A"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9605B8" w:rsidP="0010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Оновлена брошура дослідника по препарату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Тікагрелор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(BRILINTA™, BRILIQUE™) версія 25.0 від 04 червня </w:t>
            </w:r>
            <w:r w:rsidR="00E1494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2019 року 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F52A8B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84 від 17.01.2018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103AA5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плацебо-контрольоване, міжнародне,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дослідження 3 фази з метою оцінки ефективності і безпеки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Тікагрелору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та ацетилсаліцилової кислоти (АСК) у порівнянні з ацетилсаліциловою кислотою (АСК) для запобігання інсульту і смерті у пацієнтів з гострим ішемічним інсультом або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транзиторною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ішемічною атакою [THALES – гострий інсульт або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транзиторна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ішемічна атака у пацієнтів, що отримували лікування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Тікагрелором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та ацетилсаліциловою кислотою (АСК) для запобігання інсульту і смерті]», код дослідження D5134C00003, версія 2.1 від 5 лютого 2019 р.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103AA5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 «АСТРАЗЕНЕКА УКРАЇНА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103AA5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AstraZeneca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AB,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Sweden</w:t>
            </w:r>
            <w:proofErr w:type="spellEnd"/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F52A8B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C68E4" w:rsidRPr="00F52A8B" w:rsidRDefault="005C68E4" w:rsidP="005C6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F52A8B" w:rsidRDefault="007F6DD4" w:rsidP="005C6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43D" w:rsidRPr="00F52A8B" w:rsidRDefault="006C343D" w:rsidP="006C3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6867A5" w:rsidRPr="00F52A8B" w:rsidRDefault="006C343D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6C343D" w:rsidRPr="00F52A8B" w:rsidRDefault="009605B8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br w:type="page"/>
      </w:r>
    </w:p>
    <w:tbl>
      <w:tblPr>
        <w:tblW w:w="26441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591"/>
      </w:tblGrid>
      <w:tr w:rsidR="0014473A" w:rsidRPr="00F52A8B" w:rsidTr="009605B8">
        <w:trPr>
          <w:gridBefore w:val="2"/>
          <w:wBefore w:w="11307" w:type="dxa"/>
          <w:trHeight w:val="1426"/>
        </w:trPr>
        <w:tc>
          <w:tcPr>
            <w:tcW w:w="15134" w:type="dxa"/>
            <w:gridSpan w:val="2"/>
          </w:tcPr>
          <w:p w:rsidR="0014473A" w:rsidRPr="004138AF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4138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3</w:t>
            </w:r>
          </w:p>
          <w:p w:rsidR="0014473A" w:rsidRPr="00F52A8B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F52A8B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F52A8B" w:rsidRDefault="005923FF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9605B8" w:rsidP="0010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Оновлений Протокол клінічного дослідження RSJ10201, версія 3.0 від 31 липня 2019 року, англійською мовою; Брошура дослідника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SHR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0302, версія 7.0 від 29 грудня 2018 року, англійською мовою; Інформаційний листок і форма згоди, версія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3.0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)1.0 від 22 серпня 2019 року, переклад українською мовою від 06 вересня 2019 року; Інформаційний листок і форма згоди, версія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3.0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ru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)1.0 від 22 серпня 2019 року, переклад російською мовою від 06 вересня 2019 року; Вагітна партнерка: інформаційний листок та форма згоди на проведення аналізу на вагітність і відповідне подальше спостереження, версія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2.0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)1.0 від 22 серпня 2019 року, переклад українською мовою від 06 вересня 2019 року; Вагітна партнерка: інформаційний листок та форма згоди на проведення аналізу на вагітність і відповідне подальше спостереження, версія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2.0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ru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)1.0 від 22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серпня 2019 року, переклад російською мовою від 06 вересня 2019 року; Картка візитів, версія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01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від 23 травня 2019 року, переклад українською мовою від 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02 серпня 2019 року; Картка візитів, версія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01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ru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від 23 травня 2019 року, переклад російською мовою від 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02 серпня 2019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року; Картка-нагадування про візит, версія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01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від 23 травня 2019 року, переклад українською мовою від 02 серпня 2019 року; Картка-нагадування про візит, версія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01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ru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 від 23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травня 2019 року, переклад російською мовою від 02 серпня 2019 року; Плакат для пацієнтів, версія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01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від 23 травня 2019 року, переклад українською мовою від 07 серпня 2019 року; Плакат для пацієнтів, версія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01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ru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від 23 травня 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2019 року, переклад російською мовою від 07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серпня 2019 року; Брошура для пацієнтів, версія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01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від 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23 травня 2019 року, переклад українською мовою для 02 серпня 2019 року; Брошура для пацієнтів, версія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01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ru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від 23 травня 2019 року, переклад російською мовою для 02 серпня 2019 року; Інформаційний бюлетень для друзів та членів сім'ї, версія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01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від 23 травня 2019 року, переклад українською мовою від 02 серпня 2019 року;  Інформаційний бюлетень для друзів та членів сім'ї, версія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01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ru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 від 23 травня 2019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року, переклад російською мовою від 02 серпня 2019 року; Листівка для пацієнтів, версія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01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від 23 травня 2019 року, переклад українською мовою від 07 серпня 2019 року; Листівка для пацієнтів, версія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01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ru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від 23 травня 2019 року, переклад російською мовою від 07 серпня 2019 року; Переклад українською мовою від 02 серпня 2019 року Листа лікарю про направлення пацієнтів, версія 01 від 23 травня 2019 року; Переклад українською мовою від 02 серпня 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2019 року картки з критеріями включення та виключення пацієнтів, версія 01 від 23 травня 2019 року; Розділ 2.1.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S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.7 «Стабільність» Досьє досліджуваного лікарського засобу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SHR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0302 від 08 серпня 2019 року, англійською мовою; Подовження терміну придатності ДЛЗ (таблеток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SHR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0302 4 мг) до 24 місяців 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Номер та дата наказу МОЗ щодо затвердження клінічного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lastRenderedPageBreak/>
              <w:t>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F52A8B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1403 від 14.06.2019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lastRenderedPageBreak/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103AA5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, плацебо-контрольоване, подвійне сліпе дослідження фази II, що проводиться в чотирьох групах з підбором доз із метою оцінки ефективності та безпечності препарату SHR0302 порівняно із плацебо в пацієнтів з активною хворобою Крона від середнього до важкого ступеня», код дослідження RSJ10201, версія 1.1 від 12 листопада 2018 року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Підприємство із 100% іноземною інвестицією «АЙК’ЮВІА РДС Україна»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103AA5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Реістоун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Біофарма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Компані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Лімітед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, Китай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Reistone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Biopharma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Limited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China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F52A8B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1AC8" w:rsidRPr="00F52A8B" w:rsidRDefault="000D1AC8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3A3" w:rsidRPr="00F52A8B" w:rsidRDefault="009703A3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F52A8B" w:rsidRDefault="008223EB" w:rsidP="00C33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F52A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F52A8B" w:rsidRDefault="009605B8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F52A8B" w:rsidTr="009605B8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4138AF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4138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4</w:t>
            </w:r>
          </w:p>
          <w:p w:rsidR="0014473A" w:rsidRPr="00F52A8B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F52A8B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F52A8B" w:rsidRDefault="005923FF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14473A" w:rsidRPr="00F52A8B" w:rsidRDefault="0014473A" w:rsidP="00954B4D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9605B8" w:rsidP="008C1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Брошура дослідника MK-7264, видання 18 від 29 серпня 2019, англійською мовою 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BB2877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1132 від 15.06.2018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, подвійне сліпе, плацебо-контрольоване, 12-місячне дослідження ІІІ фази для оцінки ефективності та безпеки MK-7264 у дорослих пацієнтів з хронічним кашлем (дослідження PN030)», код дослідження MK-7264-030, з інкорпорованою поправкою 04 від 26 квітня 2019 року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 «МСД Україна»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Шарп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Доум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.», дочірнє підприємство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Ко., Інк.», США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Sharp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Dohme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Corp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., a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subsidiary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., USA)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BB2877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F52A8B" w:rsidRDefault="00954B4D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F52A8B" w:rsidRDefault="00954B4D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F52A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F52A8B" w:rsidTr="009605B8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4138AF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4138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5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F52A8B" w:rsidRDefault="005923F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14473A" w:rsidRPr="00F52A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9605B8" w:rsidP="008C1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Оновлений Протокол клінічного дослідження RSJ10101, версія 3.0 від 31 липня 2019 року, англійською мовою; Брошура дослідника SHR0302, версія 7.0 від 29 грудня 2018 року, англійською мовою;  Інформаційний листок і форма згоди, версія V3.0UKR(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uk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)1.0 від 22 серпня 2019 року, переклад українською мовою від 06 вересня 2019 року; Інформаційний листок і форма згоди, версія V3.0UKR(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)1.0 від 22 серпня 2019 року, переклад російською мовою від 06 вересня 2019 року;  Вагітна партнерка: інформаційний листок та форма згоди на проведення аналізу на вагітність і відповідне подальше спостереження, версія V2.0UKR(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uk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)1.0 від 22 серпня 2019 року, переклад українською мовою від 06 вересня 2019 року; Вагітна партнерка: інформаційний листок та форма згоди на проведення аналізу на вагітність і відповідне подальше спостереження, версія V2.0UKR(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)1.0 від 22 серпня 2019 року, переклад російською мовою від 06 вересня 2019 року; Картка візитів, версія V01UKR(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uk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від 23 травня 2019 року, переклад українською мовою від 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02 серпня 2019 року; Картка візитів, версія V01UKR(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від 23 травня 2019 року, переклад російською мовою від 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02 серпня 2019 року; Картка-нагадування про візит, версія V01UKR(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uk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 від 23 травня 2019 року, переклад українською мовою від 02 серпня 2019 року; Картка-нагадування про візит, версія V01UKR(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 від 23 травня 2019 року, переклад російською мовою від 02 серпня 2019 року; Плакат для пацієнтів, версія V01UKR(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uk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 від 23 травня 2019 року, переклад українською мовою від 07 серпня 2019 року;  Плакат для пацієнтів, версія V01UKR(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від 23 травня 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2019 року, переклад російською мовою від 07 серпня 2019 року; Брошура для пацієнтів, версія V01UKR(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uk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від 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23 травня 2019 року, переклад українською мовою для 02 серпня 2019 року; Брошура для пацієнтів, версія V01UKR(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 від 23 травня 2019 року, переклад російською мовою для 02 серпня 2019 року; Інформаційний бюлетень для друзів та членів сім'ї, версія V01UKR(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uk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 від 23 травня 2019 року, переклад українською мовою від 02 серпня 2019 року; Інформаційний бюлетень для друзів та членів сім'ї, версія V01UKR(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 від 23 травня 2019 року, переклад російською мовою від 02 серпня 2019 року; Листівка для пацієнтів, версія V01UKR(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uk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 від 23 травня 2019 року, переклад українською мовою від 02 серпня 2019 року; Листівка для пацієнтів, версія V01UKR(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від 23 травня 2019 року, переклад російською мовою від 02 серпня 2019 року;  Переклад українською мовою від 02 серпня 2019 року Листа лікарю про направлення пацієнтів, версія 02 від 23 травня 2019 року; Переклад українською мовою від 02 серпня 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2019 року картки з критеріями включення та виключення пацієнтів, версія 01 від 23 травня 2019 року; Розділ 2.1.S.7 «Стабільність» Досьє досліджуваного лікарського засобу SHR0302 від 08 серпня 2019 року, англійською мовою; подовження терміну придатності ДЛЗ (таблеток SHR0302 4 мг) до 24 місяців 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Номер та дата наказу МОЗ щодо затвердження клінічного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lastRenderedPageBreak/>
              <w:t>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BB2877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1403 від 14.06.2019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lastRenderedPageBreak/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плацебо-контрольоване, подвійне сліпе дослідження фази II, що проводиться в 4 групах із підбором доз із метою оцінки ефективності та безпечності препарату SHR0302 порівняно з плацебо в пацієнтів із активним виразковим колітом від середнього до тяжкого ступеня», код дослідження RSJ10101, версія 1.1 від 12 листопада </w:t>
            </w:r>
            <w:r w:rsidR="00E1494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2018 року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Реістоун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Біофарма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Компані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Лімітед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Reistone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Biopharma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Limited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), Китай.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07333C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F52A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F52A8B" w:rsidTr="009605B8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4138AF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4138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6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F52A8B" w:rsidRDefault="005923F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14473A" w:rsidRPr="00F52A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9605B8" w:rsidP="008C1B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Додаток до Брошури дослідника: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Budesonide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Albuterol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Sulfate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Pressurized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Inhalation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Suspension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(BDA MDI),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Budesonide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Pressurized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Inhalation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Suspension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(BD MDI),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Albuterol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Sulfate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Pressurized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Inhalation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Suspension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(AS MDI), від </w:t>
            </w:r>
            <w:r w:rsidR="00F95D5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14 грудня2018р., англійською мовою; Відео-інструкція: AV003_версія 1_відео_31 січня 2019 р._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Україна_українською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мовою; </w:t>
            </w:r>
            <w:r w:rsidR="008C1B3A" w:rsidRPr="00F52A8B">
              <w:rPr>
                <w:rFonts w:ascii="Times New Roman" w:hAnsi="Times New Roman"/>
                <w:sz w:val="24"/>
                <w:szCs w:val="24"/>
              </w:rPr>
              <w:t xml:space="preserve">Відео-інструкція: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AV003_ версія 1_відео_23 січня 2019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р._Україна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_російською  мовою;</w:t>
            </w:r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Збільшення запланованої кількості пацієнтів, що будуть залучатися у клінічне випробування в Україні</w:t>
            </w:r>
            <w:r w:rsidRPr="00F52A8B" w:rsidDel="0055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з 145 до 251 (на 106 пацієнтів); </w:t>
            </w:r>
            <w:r w:rsidR="008C1B3A"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Залучення </w:t>
            </w:r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додаткових місць проведення клінічного випробування</w:t>
            </w:r>
            <w:r w:rsidR="008C1B3A" w:rsidRPr="00F52A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tbl>
            <w:tblPr>
              <w:tblW w:w="12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11570"/>
            </w:tblGrid>
            <w:tr w:rsidR="009605B8" w:rsidRPr="00F52A8B" w:rsidTr="008C1B3A">
              <w:tc>
                <w:tcPr>
                  <w:tcW w:w="486" w:type="dxa"/>
                  <w:shd w:val="clear" w:color="auto" w:fill="auto"/>
                </w:tcPr>
                <w:p w:rsidR="009605B8" w:rsidRPr="00F95D52" w:rsidRDefault="009605B8" w:rsidP="008C1B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D52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624" w:type="dxa"/>
                </w:tcPr>
                <w:p w:rsidR="009605B8" w:rsidRPr="00F52A8B" w:rsidRDefault="009605B8" w:rsidP="008C1B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9605B8" w:rsidRPr="00F52A8B" w:rsidRDefault="009605B8" w:rsidP="008C1B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9605B8" w:rsidRPr="00F52A8B" w:rsidTr="008C1B3A">
              <w:tc>
                <w:tcPr>
                  <w:tcW w:w="486" w:type="dxa"/>
                  <w:shd w:val="clear" w:color="auto" w:fill="auto"/>
                </w:tcPr>
                <w:p w:rsidR="009605B8" w:rsidRPr="00F52A8B" w:rsidRDefault="008C1B3A" w:rsidP="008C1B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24" w:type="dxa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д.м.н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., проф.,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Мостовой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Ю.М.</w:t>
                  </w:r>
                </w:p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Приватне мале підприємство, медичний центр «Пульс», терапевтичне відділення, м. Вінниця</w:t>
                  </w:r>
                </w:p>
              </w:tc>
            </w:tr>
            <w:tr w:rsidR="009605B8" w:rsidRPr="00F52A8B" w:rsidTr="008C1B3A">
              <w:tc>
                <w:tcPr>
                  <w:tcW w:w="486" w:type="dxa"/>
                  <w:shd w:val="clear" w:color="auto" w:fill="auto"/>
                </w:tcPr>
                <w:p w:rsidR="009605B8" w:rsidRPr="00F52A8B" w:rsidRDefault="008C1B3A" w:rsidP="008C1B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624" w:type="dxa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зав.від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. Гармаш Н.С.</w:t>
                  </w:r>
                </w:p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Комунальне некомерційне підприємство «Черкаська обласна лікарня Черкаської обласної ради», алергологічне відділення, м. Черкаси</w:t>
                  </w:r>
                </w:p>
              </w:tc>
            </w:tr>
            <w:tr w:rsidR="009605B8" w:rsidRPr="00F52A8B" w:rsidTr="008C1B3A">
              <w:tc>
                <w:tcPr>
                  <w:tcW w:w="486" w:type="dxa"/>
                  <w:shd w:val="clear" w:color="auto" w:fill="auto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1624" w:type="dxa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директор Лимар Ю.В.</w:t>
                  </w:r>
                </w:p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Комунальне некомерційне підприємство «Консультативно-діагностичний центр» Деснянського району </w:t>
                  </w:r>
                  <w:r w:rsidR="00F95D5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м. Києва, відділення денного стаціонару, м. Київ</w:t>
                  </w:r>
                </w:p>
              </w:tc>
            </w:tr>
            <w:tr w:rsidR="009605B8" w:rsidRPr="00F52A8B" w:rsidTr="008C1B3A">
              <w:tc>
                <w:tcPr>
                  <w:tcW w:w="486" w:type="dxa"/>
                  <w:shd w:val="clear" w:color="auto" w:fill="auto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1624" w:type="dxa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зав. від. </w:t>
                  </w:r>
                  <w:proofErr w:type="spellStart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Амер</w:t>
                  </w:r>
                  <w:proofErr w:type="spellEnd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Л.Б.</w:t>
                  </w:r>
                </w:p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Комунальне некомерційне підприємство «Міська клінічна лікарня №27» Харківської міської ради, алергологічне відділення, м. Харків</w:t>
                  </w:r>
                </w:p>
              </w:tc>
            </w:tr>
            <w:tr w:rsidR="009605B8" w:rsidRPr="00F52A8B" w:rsidTr="008C1B3A">
              <w:tc>
                <w:tcPr>
                  <w:tcW w:w="486" w:type="dxa"/>
                  <w:shd w:val="clear" w:color="auto" w:fill="auto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1624" w:type="dxa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к.м.н</w:t>
                  </w:r>
                  <w:proofErr w:type="spellEnd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Блажко</w:t>
                  </w:r>
                  <w:proofErr w:type="spellEnd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В.І.</w:t>
                  </w:r>
                </w:p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Комунальне некомерційне підприємство «Міська клінічна лікарня №13» Харківської міської ради, </w:t>
                  </w:r>
                  <w:proofErr w:type="spellStart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пульмонологічне</w:t>
                  </w:r>
                  <w:proofErr w:type="spellEnd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відділення №2, м. Харків</w:t>
                  </w:r>
                </w:p>
              </w:tc>
            </w:tr>
            <w:tr w:rsidR="009605B8" w:rsidRPr="00F52A8B" w:rsidTr="008C1B3A">
              <w:tc>
                <w:tcPr>
                  <w:tcW w:w="486" w:type="dxa"/>
                  <w:shd w:val="clear" w:color="auto" w:fill="auto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1624" w:type="dxa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лікар, </w:t>
                  </w:r>
                  <w:proofErr w:type="spellStart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Авгайтіс</w:t>
                  </w:r>
                  <w:proofErr w:type="spellEnd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С.С.</w:t>
                  </w:r>
                </w:p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Комунальне некомерційне підприємство «Херсонська міська клінічна лікарня імені Афанасія і Ольги </w:t>
                  </w:r>
                  <w:proofErr w:type="spellStart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Тропіних</w:t>
                  </w:r>
                  <w:proofErr w:type="spellEnd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» Херсонської міської ради, відділення терапії №1, м. Херсон</w:t>
                  </w:r>
                </w:p>
              </w:tc>
            </w:tr>
            <w:tr w:rsidR="009605B8" w:rsidRPr="00F52A8B" w:rsidTr="008C1B3A">
              <w:tc>
                <w:tcPr>
                  <w:tcW w:w="486" w:type="dxa"/>
                  <w:shd w:val="clear" w:color="auto" w:fill="auto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1624" w:type="dxa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к.м.н</w:t>
                  </w:r>
                  <w:proofErr w:type="spellEnd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. Богацька К.Є.</w:t>
                  </w:r>
                </w:p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Комунальний заклад «Міська клінічна лікарня №6» Дніпровської міської ради, </w:t>
                  </w:r>
                </w:p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терапевтичне відділення з </w:t>
                  </w:r>
                  <w:proofErr w:type="spellStart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пульмонологічними</w:t>
                  </w:r>
                  <w:proofErr w:type="spellEnd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ліжками, Державний заклад «Дніпропетровська медична академія Міністерства охорони здоров’я України», кафедра внутрішньої медицини 1, м. Дніпро</w:t>
                  </w:r>
                </w:p>
              </w:tc>
            </w:tr>
            <w:tr w:rsidR="009605B8" w:rsidRPr="00F52A8B" w:rsidTr="008C1B3A">
              <w:tc>
                <w:tcPr>
                  <w:tcW w:w="486" w:type="dxa"/>
                  <w:shd w:val="clear" w:color="auto" w:fill="auto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1624" w:type="dxa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д.м.н</w:t>
                  </w:r>
                  <w:proofErr w:type="spellEnd"/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. Лемко І.С.</w:t>
                  </w:r>
                </w:p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lastRenderedPageBreak/>
                    <w:t>Державна установа «Науково-практичний медичний центр «Реабілітація» Міністерства охорони здоров'я України», відділ пульмонології, м. Ужгород</w:t>
                  </w:r>
                </w:p>
              </w:tc>
            </w:tr>
          </w:tbl>
          <w:p w:rsidR="009605B8" w:rsidRPr="00F52A8B" w:rsidRDefault="009605B8" w:rsidP="008C1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5B10BE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1753 від 06.08.2019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«Довгострокове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подвійне сліпе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дослідження фази III в паралельних групах для оцінки ефективності та безпечності препарату PT027 у порівнянні з препаратом PT007, що застосовується при потребі у відповідь на симптоматичні прояви астми у дорослих та дітей віком 4 років і старших, з клінічно вираженою бронхіальною астмою (MANDALA)», код дослідження AV003, версія фінальна 1.0, УКРАЇНА-1, від 04 червня 2019 р.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iCs/>
                <w:sz w:val="24"/>
                <w:szCs w:val="24"/>
              </w:rPr>
              <w:t xml:space="preserve">ТОВ «ІНС </w:t>
            </w:r>
            <w:proofErr w:type="spellStart"/>
            <w:r w:rsidRPr="00F52A8B">
              <w:rPr>
                <w:rFonts w:ascii="Times New Roman" w:hAnsi="Times New Roman"/>
                <w:iCs/>
                <w:sz w:val="24"/>
                <w:szCs w:val="24"/>
              </w:rPr>
              <w:t>Ресерч</w:t>
            </w:r>
            <w:proofErr w:type="spellEnd"/>
            <w:r w:rsidRPr="00F52A8B">
              <w:rPr>
                <w:rFonts w:ascii="Times New Roman" w:hAnsi="Times New Roman"/>
                <w:iCs/>
                <w:sz w:val="24"/>
                <w:szCs w:val="24"/>
              </w:rPr>
              <w:t xml:space="preserve"> Україна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Бонд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Авілліон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ЛП», Гернсі [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Bond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Avillion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LP,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Guernsey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5B10BE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F52A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F52A8B" w:rsidTr="009605B8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4138AF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4138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7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F52A8B" w:rsidRDefault="005923F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14473A" w:rsidRPr="00F52A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9605B8" w:rsidP="009605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Досьє досліджуваного лікарського засобу, версія 3.0 від червня 2019 р.; Залучення додаткової виробничої ділянки для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Каріпразину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капсула 1,5 мг,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Каріпразину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капсула 3,0 мг: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Eurofins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Biopharma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Product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Testing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Ireland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Limited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Ірландія 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5B10BE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«Подвійне сліпе плацебо-контрольоване дослідження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Каріпразину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в якості додаткової терапії до антидепресантів при лікуванні пацієнтів з великим депресивним розладом, які не мали належної відповіді на лікування антидепресантами», код дослідження 3111-301-001, протокол з інкорпорованою поправкою 1 від 19 грудня 2018 р.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ТОВ «ІНС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Ресерч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Україна»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Allergan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Limited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філія компанії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Allergan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Sales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, LLC, Великобританія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5B10BE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F52A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F52A8B" w:rsidTr="009605B8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4138AF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4138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8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F52A8B" w:rsidRDefault="005923F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14473A" w:rsidRPr="00F52A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9605B8" w:rsidP="008C1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Брошура дослідника MK-7264, видання 18 від 29 серпня 2019, англійською мовою 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5B10BE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1962 від 29.10.2018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, подвійне сліпе, плацебо-контрольоване, 12-місячне дослідження ІІІ фази для оцінки ефективності та безпеки MK-7264 у дорослих пацієнтів з хронічним кашлем (дослідження PN027)», код дослідження МК-7264-027, версія з інкорпорованою поправкою 03 від 26 квітня 2019 року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 «МСД Україна»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Шарп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Доум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.», дочірнє підприємство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Ко.,Інк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.», США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Sharp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Dohme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Corp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., a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subsidiary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., USA)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5B10BE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F52A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F52A8B" w:rsidRDefault="00954B4D" w:rsidP="00570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F52A8B" w:rsidTr="009605B8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4138AF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4138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9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F52A8B" w:rsidRDefault="005923F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14473A" w:rsidRPr="00F52A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9605B8" w:rsidP="008C1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528920462"/>
            <w:r w:rsidRPr="00F52A8B">
              <w:rPr>
                <w:rFonts w:ascii="Times New Roman" w:hAnsi="Times New Roman"/>
                <w:sz w:val="24"/>
                <w:szCs w:val="24"/>
              </w:rPr>
              <w:t>Розділ досьє: МК-3475 (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APD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-1) 3.2.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P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Лікарський продукт, версія 059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NPG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від 22 серпня 2019 року, англійською мовою; Залучення додаткових виробничих ділянок для лікарського засобу ОКСАЛІПЛАТИН (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OXALIPLATIN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AqVida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GmbH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Німеччина;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Bendalis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GmbH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Німеччина;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TEVA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Biotech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GmbH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, Німеччина; Зміна назви власника реєстраційного посвідчення для лікарського засобу ТРАСТУЗУМАБ (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TRASTUZUMAB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), а саме: назву компанії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Roche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Registration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Limited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» було змінено на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Roche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Registration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GmbH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»; Залучення додаткового лікарського засобу КСЕЛОДА® (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XELODA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®), 150 та 500 мг, таблетки, вкриті плівкою оболонкою, у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блістерній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упаковці,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Ф.Хоффманн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-Ля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Рош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Лтд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Швейцарія </w:t>
            </w:r>
            <w:bookmarkEnd w:id="0"/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5B10BE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 від 02.01.2019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52A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III</w:t>
            </w:r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фази, подвійне сліпе дослідження комбінації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трастузумабу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, хіміотерапії та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пембролізумабу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у порівнянні з комбінацією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трастузумабу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, хіміотерапії та плацебо як терапії першої лінії у пацієнтів з </w:t>
            </w:r>
            <w:r w:rsidRPr="00F52A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HER</w:t>
            </w:r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2-позитивною метастатичною аденокарциномою шлунку або шлунково-стравохідного з'єднання (</w:t>
            </w:r>
            <w:r w:rsidRPr="00F52A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KEYNOTE</w:t>
            </w:r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811)»,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код дослідження МК-3475-811, з інкорпорованою поправкою 04 від 27 лютого 2019 року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 «МСД Україна»</w:t>
            </w:r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8C1B3A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Шарп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Доум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.», дочірнє підприємство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Ко., Інк.», США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Merck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Sharp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Dohme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Corp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subsidiary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of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Merck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Co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Inc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USA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</w:tr>
      <w:tr w:rsidR="009605B8" w:rsidRPr="00F52A8B" w:rsidTr="0096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B8" w:rsidRPr="00F52A8B" w:rsidRDefault="009605B8" w:rsidP="00960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5B10BE" w:rsidP="009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F52A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F52A8B" w:rsidRDefault="00954B4D" w:rsidP="00954B4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970" w:type="dxa"/>
        <w:tblLook w:val="01E0" w:firstRow="1" w:lastRow="1" w:firstColumn="1" w:lastColumn="1" w:noHBand="0" w:noVBand="0"/>
      </w:tblPr>
      <w:tblGrid>
        <w:gridCol w:w="2344"/>
        <w:gridCol w:w="8821"/>
        <w:gridCol w:w="3685"/>
        <w:gridCol w:w="120"/>
      </w:tblGrid>
      <w:tr w:rsidR="0014473A" w:rsidRPr="00F52A8B" w:rsidTr="0014473A">
        <w:trPr>
          <w:gridBefore w:val="2"/>
          <w:wBefore w:w="11165" w:type="dxa"/>
          <w:trHeight w:val="568"/>
        </w:trPr>
        <w:tc>
          <w:tcPr>
            <w:tcW w:w="3805" w:type="dxa"/>
            <w:gridSpan w:val="2"/>
          </w:tcPr>
          <w:p w:rsidR="0014473A" w:rsidRPr="004138AF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4138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F52A8B" w:rsidRDefault="005923F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14473A" w:rsidRPr="00F52A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9605B8" w:rsidP="008C1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Збільшення кількості досліджуваних в Україні (з 84 до 150 осіб) 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5B10B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 від 02.01.2019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8C1B3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подвійне сліпе, у паралельних групах дослідження фази III з метою порівняння ефективності, безпечності та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імуногенності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препарату TX05 з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Герцептином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® у пацієнтів з HER2-позитивним раком молочної залози на ранніх стадіях»</w:t>
            </w:r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код дослідження TX05-03, протокол з поправкою 1 від 30 листопада 2017 р.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8C1B3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ТОВ «Клінічні дослідження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Айкон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», Україна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8C1B3A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Танвекс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Біолоджікс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Корпорейшн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Тайвань/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Tanvex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Biologics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Corpation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Taiwan</w:t>
            </w:r>
            <w:proofErr w:type="spellEnd"/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5B10B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F52A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A8B">
        <w:rPr>
          <w:rFonts w:ascii="Times New Roman" w:hAnsi="Times New Roman"/>
          <w:sz w:val="24"/>
          <w:szCs w:val="24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F52A8B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4138AF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4138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11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F52A8B" w:rsidRDefault="005923F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14473A" w:rsidRPr="00F52A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9605B8" w:rsidP="00195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Подовження тривалості клінічного дослідження в Україні до 31 грудня 2022 року; зміна найменування заявника з Підприємство з 100% іноземною інвестицією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Квінтайлс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Україна» на Підприємство з 100% іноземною інвестицією «АЙК’ЮВІА РДС Україна» 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5B10B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195CBF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подвійне сліпе, багато-центрове дослідження III фази, яке проводиться в паралельних групах, з метою порівняння ефективності та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переносимості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препаратів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Фулвестрант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(ФАЗЛОДЕКС™) 500мг і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Анастрозол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(АРИМІДЕКС™) 1мг у якості гормональної терапії при місцево поширеному або метастатичному раку грудної залози з позитивними гормональними рецепторами у жінок у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постменопаузі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, які попередньо не отримували будь-якої гормональної терапії (ФАЛКОН [FALCON] )», код дослідження D699BC00001, видання 4 від 01 грудня 2017 року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F95D5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52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F95D5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АстраЗенека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АБ»</w:t>
            </w:r>
            <w:r w:rsidR="00195CBF" w:rsidRPr="00F52A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95CBF" w:rsidRPr="00F52A8B">
              <w:rPr>
                <w:rFonts w:ascii="Times New Roman" w:hAnsi="Times New Roman"/>
                <w:sz w:val="24"/>
                <w:szCs w:val="24"/>
              </w:rPr>
              <w:t>AstraZeneca</w:t>
            </w:r>
            <w:proofErr w:type="spellEnd"/>
            <w:r w:rsidR="00195CBF" w:rsidRPr="00F52A8B">
              <w:rPr>
                <w:rFonts w:ascii="Times New Roman" w:hAnsi="Times New Roman"/>
                <w:sz w:val="24"/>
                <w:szCs w:val="24"/>
              </w:rPr>
              <w:t xml:space="preserve"> AB), Швеція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5B10B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F52A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8223EB" w:rsidRPr="00F52A8B" w:rsidRDefault="009605B8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F52A8B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4138AF" w:rsidRDefault="0014473A" w:rsidP="0014473A">
            <w:pPr>
              <w:spacing w:after="0" w:line="240" w:lineRule="auto"/>
              <w:ind w:left="2694" w:hanging="2694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4138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12</w:t>
            </w:r>
          </w:p>
          <w:p w:rsidR="0014473A" w:rsidRPr="00F52A8B" w:rsidRDefault="0014473A" w:rsidP="0014473A">
            <w:pPr>
              <w:spacing w:after="0" w:line="240" w:lineRule="auto"/>
              <w:ind w:left="2694" w:hanging="269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F52A8B" w:rsidRDefault="0014473A" w:rsidP="0014473A">
            <w:pPr>
              <w:spacing w:after="0" w:line="240" w:lineRule="auto"/>
              <w:ind w:left="2694" w:hanging="269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F52A8B" w:rsidRDefault="005923FF" w:rsidP="0014473A">
            <w:pPr>
              <w:spacing w:after="0" w:line="240" w:lineRule="auto"/>
              <w:ind w:left="2694" w:hanging="269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14473A" w:rsidRPr="00F52A8B" w:rsidRDefault="0014473A" w:rsidP="0014473A">
            <w:pPr>
              <w:spacing w:after="0" w:line="240" w:lineRule="auto"/>
              <w:ind w:left="2694" w:hanging="269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9605B8" w:rsidP="00195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Розділ 2.1 Резюме з якості спрощеного Досьє досліджуваного лікарського засобу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Entyvio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версія 2.0 від 21 червня 2019р., англійською мовою; Спрощене Досьє досліджуваного лікарського засобу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Entyvio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Vedolizumab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, версія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1.0 від 21 червня 2019р., англійською мовою; Залучення додаткових виробничих ділянок досліджуваного лікарського засобу: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Patheon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Italia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S.P.A.,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Italy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Takeda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Ltd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Hikari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plant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Japan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Almac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Clinical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Services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Ireland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Limited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Ireland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Almac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Clinical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Services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United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States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America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5B10B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1005 від 28.09.2016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195CBF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«Програма розширеного доступу до препарату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Ентівіо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ведолізумаб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для в/в застосування) для пацієнтів з виразковим колітом та хворобою Крона», код дослідження Vedolizumab-4013, з поправкою 6, версія від 17 липня 2018р.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195CBF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Контрактно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-дослідницька організація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ІнноФарм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-Україна»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195CBF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Такеда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Сентер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Юроп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Лтд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.», Сполучене Королівство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Takeda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Centre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Europe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Limited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United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Kingdom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5B10B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F52A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8223EB" w:rsidRPr="00F52A8B" w:rsidRDefault="009605B8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F52A8B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4138AF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4138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13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F52A8B" w:rsidRDefault="005923F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14473A" w:rsidRPr="00F52A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9605B8" w:rsidP="00195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Включення препарату супутньої терапії -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Questran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®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Cholestyramine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Questran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Квестран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®;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Квестран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холестирамін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); Порошок для суспензії (по 4,68г порошку у пакетику); 4 г;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sanofi-aventis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recherche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développement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(інша назва -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Sanofi-Aventis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R&amp;D),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France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Farmea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(інша назва -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Farmea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Angers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France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; Скорочене досьє немодифікованого лікарського засобу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Questran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®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Cholestyramine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), 4 г, порошок для суспензії, версія від серпня 2019 року, англійською мовою; Коротка характеристика лікарського засобу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Questran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, від 17 квітня 2019р., мовою оригіналу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французська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та переклад українською мовою; Листок-вкладиш для пацієнта.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Квестран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4г, пероральний порошок у пакетиках, від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 17 квітня 2019р., мовою оригіналу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французська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та переклад українською мовою; Зразок маркування оригінальної упаковки лікарського засобу супутньої терапії (для відмивання)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Questran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®, українською мовою; Зразок додаткового маркування оригінальної упаковки пакетика лікарського засобу супутньої терапії (для відмивання)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Questran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®, українською мовою; Зразок маркування первинної та вторинної упаковки досліджуваного лікарського засобу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Терифлуномід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3.5 мг, 7 мг, 14 мг та плацебо до нього, українською мовою 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5B10B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544 від 19.05.2017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195CBF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Двохрічне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подвійне сліпе плацебо-контрольоване дослідження в паралельних групах з метою оцінки ефективності, безпеки,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переносимості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фармакокінетичних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властивостей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терифлуноміду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при пероральному прийомі один раз на добу у дітей з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рецидивуючими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формами розсіяного склерозу з періодом відкритого подальшого лікування», код дослідження EFC11759, № 03, версія 1 від 02 серпня 2018р.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195CBF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Санофі-Авентіс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Україна»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195CBF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Genzyme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Corporation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, USA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Джензайм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Корпорейшн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, США)</w:t>
            </w:r>
          </w:p>
        </w:tc>
      </w:tr>
      <w:tr w:rsidR="00954B4D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F52A8B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F52A8B" w:rsidRDefault="005B10B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F52A8B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F52A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E24FD8" w:rsidRPr="00F52A8B" w:rsidRDefault="00E24FD8" w:rsidP="00E24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F52A8B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4138AF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4138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14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F52A8B" w:rsidRDefault="005923F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14473A" w:rsidRPr="00F52A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E24FD8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F52A8B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9605B8" w:rsidP="009605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Зміна назви місця проведення клінічного випробування</w:t>
            </w:r>
            <w:r w:rsidR="00195CBF" w:rsidRPr="00F52A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6"/>
              <w:gridCol w:w="6126"/>
            </w:tblGrid>
            <w:tr w:rsidR="009605B8" w:rsidRPr="00F52A8B" w:rsidTr="00E1494F">
              <w:trPr>
                <w:trHeight w:val="168"/>
              </w:trPr>
              <w:tc>
                <w:tcPr>
                  <w:tcW w:w="6126" w:type="dxa"/>
                  <w:shd w:val="clear" w:color="auto" w:fill="auto"/>
                </w:tcPr>
                <w:p w:rsidR="009605B8" w:rsidRPr="00F52A8B" w:rsidRDefault="009605B8" w:rsidP="00195C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6126" w:type="dxa"/>
                  <w:shd w:val="clear" w:color="auto" w:fill="auto"/>
                </w:tcPr>
                <w:p w:rsidR="009605B8" w:rsidRPr="00F52A8B" w:rsidRDefault="009605B8" w:rsidP="00195C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Стало</w:t>
                  </w:r>
                </w:p>
              </w:tc>
            </w:tr>
            <w:tr w:rsidR="009605B8" w:rsidRPr="00F52A8B" w:rsidTr="00E1494F">
              <w:tc>
                <w:tcPr>
                  <w:tcW w:w="6126" w:type="dxa"/>
                  <w:shd w:val="clear" w:color="auto" w:fill="auto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д.м.н., проф. Кириченко А.Г.</w:t>
                  </w:r>
                </w:p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Комунальний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заклад «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Дніпропетровська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дитяча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Дніпропетровської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ради</w:t>
                  </w:r>
                  <w:proofErr w:type="gram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відділенн</w:t>
                  </w:r>
                  <w:r w:rsidR="00F95D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я</w:t>
                  </w:r>
                  <w:proofErr w:type="spellEnd"/>
                  <w:r w:rsidR="00F95D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F95D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нейрохірургії</w:t>
                  </w:r>
                  <w:proofErr w:type="spellEnd"/>
                  <w:r w:rsidR="00F95D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F95D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дитячого</w:t>
                  </w:r>
                  <w:proofErr w:type="spellEnd"/>
                  <w:r w:rsidR="00F95D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F95D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віку</w:t>
                  </w:r>
                  <w:proofErr w:type="spellEnd"/>
                  <w:r w:rsidR="00F95D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  <w:tc>
                <w:tcPr>
                  <w:tcW w:w="6126" w:type="dxa"/>
                  <w:shd w:val="clear" w:color="auto" w:fill="auto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д.м.н., проф. Кириченко А.Г. </w:t>
                  </w:r>
                </w:p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Комунальний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заклад «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Дніпропетровська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дитяча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Дніпропетровської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ради, невроло</w:t>
                  </w:r>
                  <w:r w:rsidR="00F95D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го-</w:t>
                  </w:r>
                  <w:proofErr w:type="spellStart"/>
                  <w:r w:rsidR="00F95D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нейрохірургічне</w:t>
                  </w:r>
                  <w:proofErr w:type="spellEnd"/>
                  <w:r w:rsidR="00F95D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F95D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="00F95D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Дні</w:t>
                  </w:r>
                  <w:proofErr w:type="gram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про</w:t>
                  </w:r>
                  <w:proofErr w:type="spellEnd"/>
                  <w:proofErr w:type="gramEnd"/>
                </w:p>
              </w:tc>
            </w:tr>
          </w:tbl>
          <w:p w:rsidR="00E24FD8" w:rsidRPr="00F52A8B" w:rsidRDefault="00E24FD8" w:rsidP="00195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D8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F52A8B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F52A8B" w:rsidRDefault="005B10B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1468 від 21.11.2017</w:t>
            </w:r>
          </w:p>
        </w:tc>
      </w:tr>
      <w:tr w:rsidR="00E24FD8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F52A8B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F52A8B" w:rsidRDefault="00195CBF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«Відкрите дослідження з метою визначення безпеки,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переносимості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та ефективності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Лакосаміду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(LCM) при тривалому застосуванні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перорально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в якості додаткової терапії у дітей, хворих на епілепсію», код дослідження SP848, протокол з поправкою 7 від 06 лютого 2017 року</w:t>
            </w:r>
          </w:p>
        </w:tc>
      </w:tr>
      <w:tr w:rsidR="00E24FD8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F52A8B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F52A8B" w:rsidRDefault="00195CBF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E24FD8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F52A8B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F52A8B" w:rsidRDefault="00195CBF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UCB BIOSCIENCES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., Сполучені Штати Америки</w:t>
            </w:r>
          </w:p>
        </w:tc>
      </w:tr>
      <w:tr w:rsidR="00E24FD8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F52A8B" w:rsidRDefault="00E24FD8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F52A8B" w:rsidRDefault="005B10B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4FD8" w:rsidRPr="00F52A8B" w:rsidRDefault="00E24FD8" w:rsidP="00E24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F52A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E24FD8" w:rsidRPr="00F52A8B" w:rsidRDefault="00E24FD8" w:rsidP="00E24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F52A8B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4138AF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4138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15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F52A8B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F52A8B" w:rsidRDefault="005923F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14473A" w:rsidRPr="00F52A8B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E24FD8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F52A8B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F52A8B" w:rsidRDefault="009605B8" w:rsidP="00195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Брошура для дослідника з препарату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Понесимод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ACT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-128800), редакція 14 від червня 2019 р. Додаток до Досьє досліджуваного лікарського засобу – «Додання виробничих ділянок відповідальних за контроль якості випуску, пакування та маркування досліджуваного лікарського засобу /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Addition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of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Release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Site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and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Packaging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Labeling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Site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for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IMP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`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s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». Додання нової / альтернативної виробничої ділянки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Janssen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Pharmaceutica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NV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», Бельгія, відповідальної за контроль якості випуску, за пакування та маркування досліджуваного лікарського засобу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Понесимод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ACT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-128800) таблетки, вкриті плівковою оболонкою). Додання нових / альтернативних виробничих ділянок: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Fisher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Clinical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Services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GmbH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», Швейцарія;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Fisher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Clinical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Services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UK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Limited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», Велика Британія;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Fisher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Clinical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Services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Inc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.», США;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Catalent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Pharma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Solutions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LLC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», США, відповідальних за пакування та маркування досліджуваного лікарського засобу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Понесимод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ACT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-128800) таблетки, вкриті плівковою оболонкою) </w:t>
            </w:r>
          </w:p>
        </w:tc>
      </w:tr>
      <w:tr w:rsidR="00E24FD8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F52A8B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F52A8B" w:rsidRDefault="005B10B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915 від 08.08.2017</w:t>
            </w:r>
          </w:p>
        </w:tc>
      </w:tr>
      <w:tr w:rsidR="00E24FD8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F52A8B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F52A8B" w:rsidRDefault="00195CBF" w:rsidP="00195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непорівняльне дослідження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понесимоду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при довготривалому застосуванні в дозі 20 мг з метою оцінки його безпечності,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переносимості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та здатності контролювати перебіг захворювання у хворих на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рецидивуючий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розсіяний склероз (продовження дослідження AC-058B301)», код дослідження AC-058B303, остаточна редакція 2 від 01 березня 2018 р.</w:t>
            </w:r>
          </w:p>
        </w:tc>
      </w:tr>
      <w:tr w:rsidR="00E24FD8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F52A8B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F52A8B" w:rsidRDefault="00195CBF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«ПІ ЕС АЙ-УКРАЇНА»</w:t>
            </w:r>
          </w:p>
        </w:tc>
      </w:tr>
      <w:tr w:rsidR="00E24FD8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F52A8B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F52A8B" w:rsidRDefault="00195CBF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Актеліон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Фармасьютикалз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Лімітед</w:t>
            </w:r>
            <w:proofErr w:type="spellEnd"/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», Швейцарія</w:t>
            </w:r>
          </w:p>
        </w:tc>
      </w:tr>
      <w:tr w:rsidR="00E24FD8" w:rsidRPr="00F52A8B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F52A8B" w:rsidRDefault="00E24FD8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F52A8B" w:rsidRDefault="005B10BE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4FD8" w:rsidRPr="00F52A8B" w:rsidRDefault="00E24FD8" w:rsidP="00E24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FD8" w:rsidRPr="00F52A8B" w:rsidRDefault="00E24FD8" w:rsidP="00E24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F52A8B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F52A8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373F69" w:rsidRPr="00F52A8B" w:rsidRDefault="00373F69">
      <w:r w:rsidRPr="00F52A8B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373F69" w:rsidRPr="00F52A8B" w:rsidTr="00B73A1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373F69" w:rsidRPr="004138AF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4138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16</w:t>
            </w:r>
          </w:p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3F69" w:rsidRPr="00F52A8B" w:rsidRDefault="005923FF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373F69" w:rsidRPr="00F52A8B" w:rsidRDefault="00373F69" w:rsidP="00B73A1A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9605B8" w:rsidP="00195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Розділ P5.1 «Специфікація(ї)» [SA237 SC, PFS + NSD 120 MG/1 ML,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Chugai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] Досьє досліджуваного лікарського засобу SA237 (SA237_IND_P5.1.SPE_amendment)</w:t>
            </w:r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59210B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545 від 19.05.2017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195CBF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подвійне сліпе плацебо-контрольоване дослідження 3 фази для оцінки ефективності та безпечності препарату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сатралізумаб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(SA237) як доповнення до основного лікування у пацієнтів з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оптиконевромієлітом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(ОНМ) та з хворобами спектру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оптиконевромієліту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(ХСОНМ)»</w:t>
            </w:r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код дослідження BN40898 (SA-307JG), </w:t>
            </w:r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>версія 9 від</w:t>
            </w:r>
            <w:r w:rsidR="00F95D52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 14 березня 2019 року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195CBF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 «ПАРЕКСЕЛ Україна»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195CBF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«Ф.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Хоффманн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-Ля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Рош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Лтд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.», Швейцарія [F.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Hoffmann-La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Roche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Ltd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Switzerland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59210B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 w:rsidP="00373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>
      <w:r w:rsidRPr="00F52A8B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373F69" w:rsidRPr="00F52A8B" w:rsidTr="00B73A1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373F69" w:rsidRPr="004138AF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2778DA" w:rsidRPr="004138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17</w:t>
            </w:r>
          </w:p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3F69" w:rsidRPr="00F52A8B" w:rsidRDefault="005923FF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373F69" w:rsidRPr="00F52A8B" w:rsidRDefault="00373F69" w:rsidP="00B73A1A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9605B8" w:rsidP="00195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Оновлений протокол версія 5.0 від 19 липня 2019 року; 747-304_ Інформація для пацієнта-учасника наукового дослідження і форма інформованої згоди/ частина 1: подвійна сліпа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фаза_Україна_версія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5.1_від 14 серпня 2019р., українською та російською мовами; 747-304_Інформація для пацієнта- учасника наукового дослідження і форма інформованої згоди/частина 2: відкрита подовжена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фаза_Україна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_ версія 5.1_від 14 серпня 2019р., українською та російською мовами; 747-304_Форма інформованої згоди на участь у необов'язковому взятті зразків крові для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фармакокінетичного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аналізу для дослідження 747-304/частина 1: подвійна сліпа фаза _Україна_ версія 5.1_від 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14 серпня 2019р., українською та російською мовами; 747-304 Картка пацієнта, для України версія 2.0 від 31 липня 2019 р., українською та російською мовами; EQ-5D-5L Анкета щодо стану здоров’я, переклад на українську мову для України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Ukraine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Ukrainian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© 2010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EuroQol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EQ-5D™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trade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mark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EuroQol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», версія дослідження 2.0 від 14 серпня 2019р., українською мовою; EQ-5D-5L Опитувальник щодо стану здоров’я, переклад на російську мову для України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Ukraine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© 2010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EuroQol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 EQ-5D™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trade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mark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EuroQol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», версія дослідження 2.0 від 14 серпня 2019, російською мовою; Опитувальник В.А.Ш.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пруріта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(Візуальна аналогова шкала свербіння) 05 листопада 2014р. Протокол 747-304 ВАШ свербіння, В.2.0 ,14 серпня 2019р., українською мовою; Опитувальник В.А.Ш.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пруріта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(Візуальна аналогова шкала оцінки ступеню тяжкості свербіння) 05 листопада 2014 р. Протокол 747-304 ВАШ оцінка ступеню тяжкості свербіння, ред. 2.0, 14 серпня 2019р., російською мовою; Опитувальник щодо продуктивності праці та зниження робочої активності: загальний стан здоров’я «WPAI:GH V2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Ukrainian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)» , версія дослідження 2.0 від 14 серпня 2019р., українською мовою; Опитувальник щодо погіршення працездатності та активності: загальний стан здоров’я «WPAI-GH V2.0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Ukraine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)», версія дослідження 2.0 від 14 серпня 2019р., російською мовою; Опитувальник AUDIT «Протокол 747-304 AUDIT», В.2.0 14 серпня 2019р., українською мовою; AUDIT «Протокол 747-304 АУДИТ», ред. 2.0, 14 серпня 2019р., російською мовою; Опитувальник CLDQ-NAFLD «Протокол 747-304 CLDQ-NAFLD» В. 2.0 14 серпня 2019р., українською мовою; Опитувальник CLDQ-NAFLD «Протокол 747-304 CLDQ-NAFLD» ред. 2.0 14 серпня 2019р., російською мовою 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59210B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540 від 07.03.2019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195CBF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«Подвійне сліпе,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плацебо-контрольоване,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дослідження фази 3 для оцінки ефективності та безпечності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обетихолевої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кислоти у пацієнтів із компенсованим цирозом печінки, спричиненим неалкогольним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стеатогепатитом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», код дослідження 747-304, версія 4.0 від 14 січня 2019 року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lastRenderedPageBreak/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195CBF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ТОВ «ІНС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Ресерч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Україна»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195CBF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Інтерсепт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Фармасьютікалc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, Інк, США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Intercept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Pharmaceuticals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., USA)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59210B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 w:rsidP="00373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36AA5" w:rsidRPr="00F52A8B" w:rsidRDefault="00736AA5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736AA5" w:rsidRPr="00F52A8B" w:rsidTr="00264C1F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18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6AA5" w:rsidRPr="00F52A8B" w:rsidRDefault="005923FF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736AA5" w:rsidRPr="00F52A8B" w:rsidRDefault="00736AA5" w:rsidP="00264C1F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195CBF" w:rsidP="00195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Збільшення запланованої кількості досліджуваних для включення у випробування в Україні з 335 до 500 осіб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59210B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1399 від 27.07.2018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195CBF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подвійно сліпе порівняльне дослідження ефективності та безпечності препарату EG12014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трастузумабу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ЕйрДженікс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») і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Герцептину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® при проведенні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неоад’ювантної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терапії пацієнткам із HER2-позитивним раком молочної залози ранньої стадії у поєднанні із системною терапією на основі препарату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антрациклінового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ряду і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паклітакселу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(ІІІ фаза клінічних досліджень)», код дослідження EGC002, остаточна редакція згідно з Поправкою 3 від 05 квітня 2019 р.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195CBF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«ПІ ЕС АЙ-УКРАЇНА»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195CBF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ЕйрДженікс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Інкорпорейтед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EirGenix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.), Тайвань, Республіка Китай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59210B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>
      <w:r w:rsidRPr="00F52A8B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736AA5" w:rsidRPr="00F52A8B" w:rsidTr="00264C1F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19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6AA5" w:rsidRPr="00F52A8B" w:rsidRDefault="005923FF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736AA5" w:rsidRPr="00F52A8B" w:rsidRDefault="00736AA5" w:rsidP="00264C1F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8" w:rsidRPr="00F52A8B" w:rsidRDefault="009605B8" w:rsidP="009605B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Зміна відповідального дослідника та місця проведення клінічного випробування</w:t>
            </w:r>
            <w:r w:rsidR="00195CBF" w:rsidRPr="00F52A8B">
              <w:rPr>
                <w:rFonts w:ascii="Times New Roman" w:hAnsi="Times New Roman"/>
                <w:sz w:val="24"/>
                <w:szCs w:val="24"/>
              </w:rPr>
              <w:t>: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12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6"/>
              <w:gridCol w:w="6126"/>
            </w:tblGrid>
            <w:tr w:rsidR="009605B8" w:rsidRPr="00F52A8B" w:rsidTr="00E1494F">
              <w:tc>
                <w:tcPr>
                  <w:tcW w:w="6126" w:type="dxa"/>
                  <w:shd w:val="clear" w:color="auto" w:fill="auto"/>
                </w:tcPr>
                <w:p w:rsidR="009605B8" w:rsidRPr="00F52A8B" w:rsidRDefault="009605B8" w:rsidP="00195C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Було:</w:t>
                  </w:r>
                </w:p>
              </w:tc>
              <w:tc>
                <w:tcPr>
                  <w:tcW w:w="6126" w:type="dxa"/>
                  <w:shd w:val="clear" w:color="auto" w:fill="auto"/>
                </w:tcPr>
                <w:p w:rsidR="009605B8" w:rsidRPr="00F52A8B" w:rsidRDefault="009605B8" w:rsidP="00195C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Стало:</w:t>
                  </w:r>
                </w:p>
              </w:tc>
            </w:tr>
            <w:tr w:rsidR="009605B8" w:rsidRPr="00F52A8B" w:rsidTr="00E1494F">
              <w:tc>
                <w:tcPr>
                  <w:tcW w:w="6126" w:type="dxa"/>
                  <w:shd w:val="clear" w:color="auto" w:fill="auto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д.м.н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., проф.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Колеснік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О.П.</w:t>
                  </w:r>
                </w:p>
                <w:p w:rsidR="009605B8" w:rsidRPr="00F52A8B" w:rsidRDefault="009605B8" w:rsidP="00195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Комунальна установа «Запорізький обласний клінічний онкологічний диспансер» Запорізької обласної рад</w:t>
                  </w:r>
                  <w:r w:rsidR="00195CBF"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и, відділення </w:t>
                  </w:r>
                  <w:proofErr w:type="spellStart"/>
                  <w:r w:rsidR="00195CBF" w:rsidRPr="00F52A8B">
                    <w:rPr>
                      <w:rFonts w:ascii="Times New Roman" w:hAnsi="Times New Roman"/>
                      <w:sz w:val="24"/>
                      <w:szCs w:val="24"/>
                    </w:rPr>
                    <w:t>онкогінекології</w:t>
                  </w:r>
                  <w:proofErr w:type="spellEnd"/>
                  <w:r w:rsidR="00195CBF"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м. Запоріжжя</w:t>
                  </w:r>
                </w:p>
              </w:tc>
              <w:tc>
                <w:tcPr>
                  <w:tcW w:w="6126" w:type="dxa"/>
                  <w:shd w:val="clear" w:color="auto" w:fill="auto"/>
                </w:tcPr>
                <w:p w:rsidR="009605B8" w:rsidRPr="00F52A8B" w:rsidRDefault="009605B8" w:rsidP="009605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к.м.н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. Голобородько О.О.</w:t>
                  </w:r>
                </w:p>
                <w:p w:rsidR="009605B8" w:rsidRPr="00F52A8B" w:rsidRDefault="009605B8" w:rsidP="00195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Комунальна установа «Запорізький обласний клінічний онкологічний диспансер» Запорізької обласної р</w:t>
                  </w:r>
                  <w:r w:rsidR="00195CBF"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ади, гінекологічне відділення, </w:t>
                  </w: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м. Запоріжжя</w:t>
                  </w:r>
                </w:p>
              </w:tc>
            </w:tr>
          </w:tbl>
          <w:p w:rsidR="00736AA5" w:rsidRPr="00F52A8B" w:rsidRDefault="00736AA5" w:rsidP="00F12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59210B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835 від 15.08.2016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F12B89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Проспективне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відкрите, з централізованим розподілом за групами терапії, активно контрольоване дослідження 2/3 фази для оцінки ефективності та безпеки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масітинібу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в комбінації з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гемцитабіном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у порівнянні з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монотерапією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гемцитабіном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у пацієнтів з розповсюдженим/метастатичним епітеліальним раком яєчників при другій лінії терапії, при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рефрактерності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до терапії першої лінії препаратами платини, чи при терапії третьої лінії», 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код дослідження AB12008, версія 8.0 ROW від 26.09.2016,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F12B89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Сінерджи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Україна»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F12B89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AB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, Франція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59210B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>
      <w:r w:rsidRPr="00F52A8B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736AA5" w:rsidRPr="00F52A8B" w:rsidTr="00264C1F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20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6AA5" w:rsidRPr="00F52A8B" w:rsidRDefault="005923FF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736AA5" w:rsidRPr="00F52A8B" w:rsidRDefault="00736AA5" w:rsidP="00264C1F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9605B8" w:rsidP="00F12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bCs/>
                <w:sz w:val="24"/>
                <w:szCs w:val="24"/>
              </w:rPr>
              <w:t xml:space="preserve">Інформація та документ про інформовану згоду для пацієнта, версія 02 від 03 вересня 2019 року, українською мовою; Інформація та документ про інформовану згоду для пацієнта, версія 02 від 03 вересня року, російською мовою 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59210B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1166 від 23.05.2019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F12B89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«Міжнародне,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подвійне сліпе клінічне дослідження ІІІ фази з використанням активного препарату порівняння для оцінки безпеки,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переносимості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та ефективності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іміпенему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циластатину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релебактаму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(MK-7655A) у порівнянні з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піперациліном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тазобактамом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у пацієнтів із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внутрішньолікарняною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бактеріальною пневмонією або вентилятор-асоційованою бактеріальною пневмонією», код дослідження MK-7655A-016, з інкорпорованою поправкою 01 від 29 серпня 2018 року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F12B89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 «МСД Україна»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F12B89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Шарп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Доум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.», дочірнє підприємство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Ко., Інк.», США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Sharp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Dohme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Corp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subsidiary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., USA)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59210B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>
      <w:r w:rsidRPr="00F52A8B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736AA5" w:rsidRPr="00F52A8B" w:rsidTr="00264C1F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21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6AA5" w:rsidRPr="00F52A8B" w:rsidRDefault="005923FF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736AA5" w:rsidRPr="00F52A8B" w:rsidRDefault="00736AA5" w:rsidP="00264C1F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9" w:rsidRPr="00F52A8B" w:rsidRDefault="00F12B89" w:rsidP="009605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>Включення додаткових місць проведення клінічного випробування: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11712"/>
            </w:tblGrid>
            <w:tr w:rsidR="00F12B89" w:rsidRPr="00451905" w:rsidTr="00F95D52">
              <w:trPr>
                <w:trHeight w:val="572"/>
              </w:trPr>
              <w:tc>
                <w:tcPr>
                  <w:tcW w:w="540" w:type="dxa"/>
                  <w:shd w:val="clear" w:color="auto" w:fill="auto"/>
                </w:tcPr>
                <w:p w:rsidR="00F12B89" w:rsidRPr="00451905" w:rsidRDefault="00F12B89" w:rsidP="00F95D5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712" w:type="dxa"/>
                  <w:shd w:val="clear" w:color="auto" w:fill="auto"/>
                </w:tcPr>
                <w:p w:rsidR="00F12B89" w:rsidRPr="00451905" w:rsidRDefault="00F12B89" w:rsidP="00F95D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досл</w:t>
                  </w:r>
                  <w:proofErr w:type="gramEnd"/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ідника</w:t>
                  </w:r>
                  <w:proofErr w:type="spellEnd"/>
                </w:p>
                <w:p w:rsidR="00F12B89" w:rsidRPr="00451905" w:rsidRDefault="00F12B89" w:rsidP="00F95D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F12B89" w:rsidRPr="00451905" w:rsidTr="00451905">
              <w:tc>
                <w:tcPr>
                  <w:tcW w:w="540" w:type="dxa"/>
                  <w:shd w:val="clear" w:color="auto" w:fill="auto"/>
                </w:tcPr>
                <w:p w:rsidR="00F12B89" w:rsidRPr="00451905" w:rsidRDefault="00F12B89" w:rsidP="00F95D5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12" w:type="dxa"/>
                  <w:shd w:val="clear" w:color="auto" w:fill="auto"/>
                </w:tcPr>
                <w:p w:rsidR="00F12B89" w:rsidRPr="00451905" w:rsidRDefault="00F12B89" w:rsidP="00F95D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д.м.н</w:t>
                  </w:r>
                  <w:proofErr w:type="spellEnd"/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., проф. Крячок І.А.</w:t>
                  </w:r>
                </w:p>
                <w:p w:rsidR="00F12B89" w:rsidRPr="00451905" w:rsidRDefault="00F12B89" w:rsidP="00F95D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Національний інститут раку, науково-дослідне відділення хіміотерапії </w:t>
                  </w:r>
                  <w:proofErr w:type="spellStart"/>
                  <w:r w:rsidRPr="00451905">
                    <w:rPr>
                      <w:rFonts w:ascii="Times New Roman" w:hAnsi="Times New Roman"/>
                      <w:sz w:val="24"/>
                      <w:szCs w:val="24"/>
                    </w:rPr>
                    <w:t>гемобластозів</w:t>
                  </w:r>
                  <w:proofErr w:type="spellEnd"/>
                  <w:r w:rsidRPr="00451905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451905">
                    <w:rPr>
                      <w:rFonts w:ascii="Times New Roman" w:hAnsi="Times New Roman"/>
                      <w:sz w:val="24"/>
                      <w:szCs w:val="24"/>
                    </w:rPr>
                    <w:t>ад`ювантних</w:t>
                  </w:r>
                  <w:proofErr w:type="spellEnd"/>
                  <w:r w:rsidRPr="0045190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методів лікування, відділення </w:t>
                  </w:r>
                  <w:proofErr w:type="spellStart"/>
                  <w:r w:rsidRPr="00451905">
                    <w:rPr>
                      <w:rFonts w:ascii="Times New Roman" w:hAnsi="Times New Roman"/>
                      <w:sz w:val="24"/>
                      <w:szCs w:val="24"/>
                    </w:rPr>
                    <w:t>онкогематології</w:t>
                  </w:r>
                  <w:proofErr w:type="spellEnd"/>
                  <w:r w:rsidRPr="00451905">
                    <w:rPr>
                      <w:rFonts w:ascii="Times New Roman" w:hAnsi="Times New Roman"/>
                      <w:sz w:val="24"/>
                      <w:szCs w:val="24"/>
                    </w:rPr>
                    <w:t xml:space="preserve"> з сектором </w:t>
                  </w:r>
                  <w:proofErr w:type="spellStart"/>
                  <w:r w:rsidRPr="00451905">
                    <w:rPr>
                      <w:rFonts w:ascii="Times New Roman" w:hAnsi="Times New Roman"/>
                      <w:sz w:val="24"/>
                      <w:szCs w:val="24"/>
                    </w:rPr>
                    <w:t>ад'ювантних</w:t>
                  </w:r>
                  <w:proofErr w:type="spellEnd"/>
                  <w:r w:rsidRPr="0045190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методів лікування, м. Київ</w:t>
                  </w:r>
                </w:p>
              </w:tc>
            </w:tr>
            <w:tr w:rsidR="00F12B89" w:rsidRPr="00451905" w:rsidTr="00451905">
              <w:tc>
                <w:tcPr>
                  <w:tcW w:w="540" w:type="dxa"/>
                  <w:shd w:val="clear" w:color="auto" w:fill="auto"/>
                </w:tcPr>
                <w:p w:rsidR="00F12B89" w:rsidRPr="00451905" w:rsidRDefault="00F12B89" w:rsidP="00F95D5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12" w:type="dxa"/>
                  <w:shd w:val="clear" w:color="auto" w:fill="auto"/>
                </w:tcPr>
                <w:p w:rsidR="00F12B89" w:rsidRPr="00451905" w:rsidRDefault="00F12B89" w:rsidP="00F95D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Поповська</w:t>
                  </w:r>
                  <w:proofErr w:type="spellEnd"/>
                  <w:r w:rsidRPr="00451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Т.М.</w:t>
                  </w:r>
                </w:p>
                <w:p w:rsidR="00F12B89" w:rsidRPr="00451905" w:rsidRDefault="00F12B89" w:rsidP="00F95D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sz w:val="24"/>
                      <w:szCs w:val="24"/>
                    </w:rPr>
                    <w:t>Державна установа «Інститут медичної радіології імені С.П. Григор’єва Національної академії медичних наук України», відділення клінічної онкології з групою гематології , м. Харків</w:t>
                  </w:r>
                </w:p>
              </w:tc>
            </w:tr>
          </w:tbl>
          <w:p w:rsidR="00736AA5" w:rsidRPr="00F52A8B" w:rsidRDefault="00F12B89" w:rsidP="00F12B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Матеріали для пацієнтів: Брошура з інформацією для учасника дослідження FLINTER (242435 UKR </w:t>
            </w:r>
            <w:proofErr w:type="spellStart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>Participant</w:t>
            </w:r>
            <w:proofErr w:type="spellEnd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>Information</w:t>
            </w:r>
            <w:proofErr w:type="spellEnd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>Brochure</w:t>
            </w:r>
            <w:proofErr w:type="spellEnd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20190117 1.0), версія для України 1.0 від 17 січня 2019 року, українською та російською мовами; Інформаційний лист для учасника дослідження FLINTER (242435 UKR </w:t>
            </w:r>
            <w:proofErr w:type="spellStart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>Patient</w:t>
            </w:r>
            <w:proofErr w:type="spellEnd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>Infogetter</w:t>
            </w:r>
            <w:proofErr w:type="spellEnd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20190117 1.0), версія для України 1.0 від 17 січня 2019 року, українською та російською мовами; </w:t>
            </w:r>
            <w:proofErr w:type="spellStart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>Постер</w:t>
            </w:r>
            <w:proofErr w:type="spellEnd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«Чи хочете Ви контролювати доступні Вам варіанти лікування фолікулярної лімфоми» (242435 UKR </w:t>
            </w:r>
            <w:proofErr w:type="spellStart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>Poster</w:t>
            </w:r>
            <w:proofErr w:type="spellEnd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20190117 1.0), версія для України 1.0 від 17 січня 2019 року , українською та російською мовами; Довідник для учасника дослідження FLINTER (242435 UKR </w:t>
            </w:r>
            <w:proofErr w:type="spellStart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>Study</w:t>
            </w:r>
            <w:proofErr w:type="spellEnd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>Guide</w:t>
            </w:r>
            <w:proofErr w:type="spellEnd"/>
            <w:r w:rsidRPr="00F52A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20191017 1.0), версія для України 1.0 від 17 січня 2019 року, українською та російською мовами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007EC7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1753 від 06.08.2019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F12B89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подвійне сліпе дослідження фази ІІІ, що проводиться у паралельних групах з метою порівняння ефективності, безпечності та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імуногенності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запропонованого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біосиміляру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препарату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Ритуксимаб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(DRL_RI) з препаратом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Мабтера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® у пацієнтів із раніше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нелікованою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фолікулярною лімфомою стадії II-IV з низьким пухлинним навантаженням та експресією кластеру диференціювання (CD)20», код дослідження RI-01-006, версія 2.0 від 04 січня 2019 року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F12B89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 «ПАРЕКСЕЛ Україна»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F12B89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Reddy’s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Laboratories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S.A.,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Switzerland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Редді’с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Лабораторіз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С.А., Швейцарія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Супутні </w:t>
            </w: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007EC7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>
      <w:r w:rsidRPr="00F52A8B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736AA5" w:rsidRPr="00F52A8B" w:rsidTr="00264C1F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22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6AA5" w:rsidRPr="00F52A8B" w:rsidRDefault="005923FF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736AA5" w:rsidRPr="00F52A8B" w:rsidRDefault="00736AA5" w:rsidP="00264C1F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9605B8" w:rsidP="00F12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Подовження терміну придатності досліджуваного лікарського засобу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IMU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-131 (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P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467-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CRM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197,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VAC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-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IMU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131, </w:t>
            </w:r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HER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  <w:lang w:val="ru-RU"/>
              </w:rPr>
              <w:t>Vaxx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до 43 місяців; Збільшення кількості пацієнтів в Україні з 7 до 65 осіб 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007EC7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1265 від 05.06.2019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F12B89" w:rsidP="00F12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«Відкрите дослідження 1b/2 фази  з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рандомізованим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методом відбору у фазі 2 IMU-131 HER2/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neu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пептидної вакцини у поєднанні зі стандартним курсом хіміотерапії у пацієнтів із HER2/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neu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гіперекспресією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при метастатичній або розповсюдженій аденокарциномі шлунку або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гастроезофагеального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відділу», код дослідження IMU.ACS.001, версія з глобальною поправкою #2 від 23 листопада 2018 р.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F12B89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 «АРЕНСІЯ ЕКСПЛОРАТОРІ МЕДІСІН», Україна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F12B89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Ім'юджин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Лімітед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Imugene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Limited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), Австралія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007EC7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>
      <w:r w:rsidRPr="00F52A8B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736AA5" w:rsidRPr="00F52A8B" w:rsidTr="00264C1F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23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6AA5" w:rsidRPr="00F52A8B" w:rsidRDefault="005923FF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736AA5" w:rsidRPr="00F52A8B" w:rsidRDefault="00736AA5" w:rsidP="00264C1F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9605B8" w:rsidP="00F12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Досьє досліджуваного лікарського засобу К-877 від 12 серпня 2019 року, англійською мовою; подовження терміну придатності К-877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пемафібрат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та плацебо до 60 місяців 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007EC7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581 від 31.05.2017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F12B89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«Застосування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пемафібрату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для зменшення серцево-судинних ускладнень за рахунок зниження рівня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тригліцеридів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у пацієнтів із цукровим діабетом», код дослідження K-877-302, версія 2 від 27 березня 2017 року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A05E9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A05E9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Kowa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Institute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United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States</w:t>
            </w:r>
            <w:proofErr w:type="spellEnd"/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007EC7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>
      <w:r w:rsidRPr="00F52A8B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736AA5" w:rsidRPr="00F52A8B" w:rsidTr="00264C1F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24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6AA5" w:rsidRPr="00F52A8B" w:rsidRDefault="005923FF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736AA5" w:rsidRPr="00F52A8B" w:rsidRDefault="00736AA5" w:rsidP="00264C1F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9605B8" w:rsidP="00A0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Оновлена Брошура Дослідника пероральний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семаглутид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, проект NN9924, діабет 2-го типу, видання 11, фінальна версія 1.0 від 31 липня 2019 року, англійською мовою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Investigator's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Brochure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Oral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Semaglutide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; Project: NN9924;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Diabetes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11;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Final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version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1.0;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dated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July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2019); Оновлений Додаток 1,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Nonclinical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Tabulations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», фінальна версія 1.0 від 31 липня 2019 року, англійською мовою. Оновлений Додаток 2,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Summary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clinical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completed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clinical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trials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», фінальна версія 1.0 від 31 липня 2019 року, англійською мовою. Матеріали для пацієнтів «Важливість клінічних досліджень: кожен пацієнт має значення», версія 1.0-UA(UK) від 20 червня 2019 року, українською мовою; Матеріали для пацієнтів «Важливість клінічних досліджень: кожен пацієнт має значення», версія 1.0-UA(RU) від 25 липня 2019 року, російською мовою; Матеріали для пацієнтів «Перелік контактних осіб», версія 1.0-UA(UK) від 20 червня 2019 року, українською мовою; Матеріали для пацієнтів «Перелік контактних осіб», версія 1.0-UA(RU) від 25 липня 2019 року, російською мовою; Матеріали для пацієнтів «ДО ЗУСТРІЧІ!», версія 1.0-UA(UK) від 20 червня 2019 року, українською мовою; Матеріали для пацієнтів «ДО ЗУСТРІЧІ!!», версія 1.0-UA(RU) від 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25 липня 2019 року, російською мовою;  Матеріали для пацієнтів «БРОШУРА ДЛЯ ПАЦІЄНТА», версія 1.0-UA(UK) від 20 червня 2019 року, українською мовою; Матеріали для пацієнтів «БРОШУРА ДЛЯ ПАЦІЄНТА», версія 1.0-UA(RU) від 25 липня 2019 року, російською мовою; Матеріали для пацієнтів «Про цукровий діабет 2-го типу», версія 1.0-UA(UK) від 20 червня 2019 року, українською мовою; Матеріали для пацієнтів «Про цукровий діабет 2-го типу», версія 1.0-UA(RU) від 25 липня 2019 року, російською мовою; Матеріали для пацієнтів «Фізична активність і діабет», версія 1.0-UA(UK) від 20 червня 2019 року, українською мовою; Матеріали для пацієнтів «Фізична активність і діабет», версія 1.0-UA(RU) від 25 липня 2019 року, російською мовою; Матеріали для пацієнтів «Як змінити свої звички та планувати свій час», версія 1.0-UA(UK) від 20 червня 2019 року, українською мовою; Матеріали для пацієнтів «Як змінити свої звички та планувати свій час», версія 1.0-UA(RU) від 25 липня 2019 року, російською мовою; Матеріали для пацієнтів «Низькі та високі рівні цукру в крові», версія 1.0-UA(UK) від 20 червня 2019 року, українською мовою; Матеріали для пацієнтів «Низькі та високі рівні цукру в крові», версія 1.0-UA(RU) від 25 липня 2019 року, російською мовою; Матеріали для пацієнтів «Ускладнення діабету», версія 1.0-UA(UK) від 20 червня 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2019 року, українською мовою; Матеріали для пацієнтів «Ускладнення діабету», версія 1.0-UA(RU) від 25 липня 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2019 року, російською мовою; Матеріали для пацієнтів «Здорове харчування для серцево-судинної системи Рекомендації експертів», версія 1.0-UA(UK) від 02 серпня 2019 року, українською мовою; Матеріали для пацієнтів «Здорове харчування для серцево-судинної системи Рекомендації експертів», версія 1.0-UA(RU) від 31 липня </w:t>
            </w:r>
            <w:r w:rsidR="00F95D5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2019 року, російською мовою; Матеріали для пацієнтів «Здорове харчування Як рахувати калорії», версія 1.0-UA(UK) від 02 серпня 2019 року, українською мовою; Матеріали для пацієнтів «Здорове харчування Як рахувати калорії», версія 1.0-UA(RU) від 31 липня 2019 року, російською мовою; Матеріали для пацієнтів «Секрет розміру порції у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lastRenderedPageBreak/>
              <w:t>Вашій долоні!», версія 1.0-UA(UK) від 02 серпня 2019 року, українською мовою; Матеріали для пацієнтів «Секрет розміру порції у Вашій долоні!», версія 1.0-UA(RU) від 31 липня 2019 року, російською мовою; Матеріали для пацієнтів «Здорове харчування Як читати етикетки на продуктах», версія 1.0-UA(UK) від 02 серпня 2019 року, українською мовою; Матеріали для пацієнтів «Здорове харчування Як читати етикетки на продуктах», версія 1.0-UA(RU) від 31 липня 2019 року, російською мовою; Матеріали для пацієнтів «Здорове харчування Як не переїдати», версія 1.0-UA(UK) від 02 серпня 2019 року, українською мовою; Матеріали для пацієнтів «Здорове харчування Як не переїдати», версія 1.0-UA(RU) від 31 липня 2019 року, російською мовою; Матеріали для пацієнтів «Інструкція з дозування», версія 1.0-UA(UK) від 20 червня 2019, українською мовою; Матеріали для пацієнтів «Інструкція з дозування», версія 1.0-UA(</w:t>
            </w:r>
            <w:r w:rsidRPr="00F52A8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від 25 липня 2019, російською мовою 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007EC7" w:rsidP="000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2006 від 02.10.2019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A05E9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«Дослідження впливу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семаглутиду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на серцево-судинні ускладнення у пацієнтів з цукровим діабетом 2-го типу (SOUL)», код дослідження EX9924-4473, фінальна версія 1.0 від 17 січня 2019 року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A05E9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iCs/>
                <w:sz w:val="24"/>
                <w:szCs w:val="24"/>
              </w:rPr>
              <w:t xml:space="preserve">ТОВ «Ново </w:t>
            </w:r>
            <w:proofErr w:type="spellStart"/>
            <w:r w:rsidRPr="00F52A8B">
              <w:rPr>
                <w:rFonts w:ascii="Times New Roman" w:hAnsi="Times New Roman"/>
                <w:iCs/>
                <w:sz w:val="24"/>
                <w:szCs w:val="24"/>
              </w:rPr>
              <w:t>Нордіск</w:t>
            </w:r>
            <w:proofErr w:type="spellEnd"/>
            <w:r w:rsidRPr="00F52A8B">
              <w:rPr>
                <w:rFonts w:ascii="Times New Roman" w:hAnsi="Times New Roman"/>
                <w:iCs/>
                <w:sz w:val="24"/>
                <w:szCs w:val="24"/>
              </w:rPr>
              <w:t xml:space="preserve"> Україна»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A05E9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Novo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Nordisk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A/S,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Denmark</w:t>
            </w:r>
            <w:proofErr w:type="spellEnd"/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007EC7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>
      <w:r w:rsidRPr="00F52A8B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736AA5" w:rsidRPr="00F52A8B" w:rsidTr="00264C1F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25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6AA5" w:rsidRPr="00F52A8B" w:rsidRDefault="005923FF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736AA5" w:rsidRPr="00F52A8B" w:rsidRDefault="00736AA5" w:rsidP="00264C1F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9605B8" w:rsidP="00A0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Оновлений протокол з поправкою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Amendment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5 від 02.08.2019 р.; Додаток 1 від 17.05.2019 р. до Брошури Дослідника JNJ 56136379 видання 4; «Політика конфіденційності при проведенні опитування»,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HealthiVibe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версія 3.0 українською мовою для України від 22.02.2019 р.; «Політика конфіденційності опитування»,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HealthiVibe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версія 3.0 російською мовою для України від 27.02.2019 р.; «Умови користування»,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HealthiVibe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версія 1.0 українською мовою для України від 09.05.2019 р.; «Умови користування»,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HealthiVibe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версія 1.0 російською мовою для України від 09.05.2019 р.; «Опитування щодо досвіду участі в дослідженні»,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HealthiPerspectives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версія 3.0 українською мовою для України від 30.07.2019 р.; «Завершальне опитування про досвід участі в науковому дослідженні»,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HealthiPerspectives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версія 2.0 російською мовою для України від 09.05.2019 р.; Картка «Опитування щодо досвіду участі в дослідженні»,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HealthiPerspectives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™, версія 3.1 українською мовою для України від 19.11.2018 р.; Картка «Опитування про досвід участі в науковому дослідженні»,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HealthiPerspectives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™, версія 4.0 російською мовою для України від 02.11.2018 р.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007EC7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1207 від 25.06.2018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A05E9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частково сліпе, плацебо-контрольоване клінічне дослідження 2а фази для оцінки ефективності, безпечності та фармакокінетики лікування різними дозами JNJ-56136379 у вигляді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монотерапії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та у комбінації з аналогом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нуклеозиду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(нуклеотиду) у пацієнтів з хронічним вірусним гепатитом В», код дослідження 56136379HPB2001, з поправкою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Amendment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4 від 20.02.2019 р.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A05E9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«ЯНССЕН ФАРМАЦЕВТИКА НВ», Бельгія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A05E9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«ЯНССЕН ФАРМАЦЕВТИКА НВ», Бельгія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007EC7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>
      <w:r w:rsidRPr="00F52A8B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736AA5" w:rsidRPr="00F52A8B" w:rsidTr="00264C1F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26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6AA5" w:rsidRPr="00F52A8B" w:rsidRDefault="005923FF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736AA5" w:rsidRPr="00F52A8B" w:rsidRDefault="00736AA5" w:rsidP="00264C1F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36AA5" w:rsidRPr="00F52A8B" w:rsidTr="00A05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9605B8" w:rsidP="00A0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Подовження тривалості клінічного дослідження в Україні до 15 жовтня 2020 року 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6A6DF4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415 від 18.02.2019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A05E9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відкрите, контрольоване за допомогою активного препарату порівняння дослідження фази 2 з адаптивним дизайном, що проводиться з метою оцінки безпечності та ефективності препарату SelK2 при його внутрішньовенному введенні пацієнтам, яким призначена тотальна артропластика колінного суглоба», </w:t>
            </w:r>
            <w:r w:rsidR="0039187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код дослідження SELK2-00005, версія 2.0 від 21 травня 2019 року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A05E9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A05E9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Tetherex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Pharmaceuticals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Corporation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, США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6A6DF4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>
      <w:r w:rsidRPr="00F52A8B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736AA5" w:rsidRPr="00F52A8B" w:rsidTr="00264C1F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27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6AA5" w:rsidRPr="00F52A8B" w:rsidRDefault="005923FF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736AA5" w:rsidRPr="00F52A8B" w:rsidRDefault="00736AA5" w:rsidP="00264C1F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9605B8" w:rsidP="00A0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Модуль 2 досьє досліджуваного лікарського засобу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Baloxavir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Marboxil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RO7191686 (RO7191686,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Baloxavir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Marboxil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Tablets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20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Placebo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Tablets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; RO7191686,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Baloxavir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Marboxil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Granules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Oral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Suspension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2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/ml;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Placebo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Granules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Oral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Suspension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), від серпня 2019 р., англійською мовою; Перекидний буклет ФІЗ, версія 1.2, 15 липня 2019 р., українською мовою; Посібник учасника дослідження, версія 1.2, 15 липня 2019 р., українською мовою; Адаптована для дослідження брошура, версія 1.2, 15 липня 2019 р., українською мовою; Брошура з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двозгинним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фальцюванням, версія 1.2, 15 липня 2019 р., українською мовою; Привітальний лист, версія 1.1, 15 липня 2019 р., українською мовою. 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0A504F" w:rsidP="006A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4F">
              <w:rPr>
                <w:rFonts w:ascii="Times New Roman" w:hAnsi="Times New Roman"/>
                <w:sz w:val="24"/>
                <w:szCs w:val="24"/>
              </w:rPr>
              <w:t>№ 1016 від 06.05.2019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A05E9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дослідження фази III для оцінки ефективності та безпечності препарату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Балоксавір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Марбоксіл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в комбінації зі стандартним лікуванням інгібітором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нейрамінідази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у госпіталізованих пацієнтів з важкою формою грипу», код дослідження CP40617, версія 2 від 30 травня 2019 р.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A05E9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Контрактно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-дослідницька організація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Іннофарм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-Україна»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A05E9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F.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Hoffmann-La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Roche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Ltd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Switzerland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/ Ф.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Хоффманн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-Ля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Рош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Лтд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, Швейцарія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6A6DF4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>
      <w:r w:rsidRPr="00F52A8B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736AA5" w:rsidRPr="00F52A8B" w:rsidTr="00264C1F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28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6AA5" w:rsidRPr="00F52A8B" w:rsidRDefault="005923FF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736AA5" w:rsidRPr="00F52A8B" w:rsidRDefault="00736AA5" w:rsidP="00264C1F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923704" w:rsidP="00923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Q1.6 Інформація для пацієнтів, що буде зображена на екрані телефону, українською мовою; Q1.6 Інформація для пацієнтів, що буде зображена на екрані телефону,  російською мовою; Умови використання Q1.6, версія українською мовою, вересень 2019; Умови використання Q1.6, версія російською мовою, червень 2019; Q1.6 Політика конфіденційності, версія українською мовою, червень 2019; Q1.6 Політика конфіденційності, версія російською мовою, червень 2019 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0A504F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1804 від 15.08.2019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B43BA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плацебо-контрольоване, в паралельних групах,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клінічне дослідження 2-а фази, що вивчає ефективність, безпечність,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переносимість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та фармакокінетику JNJ-67953964 у пацієнтів з великим депресивним розладом», код дослідження 67953964MDD2001 з поправкою INT-2 від 26.02.2019 р.: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B43BA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«ЯНССЕН ФАРМАЦЕВТИКА НВ», Бельгія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B43BA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«ЯНССЕН ФАРМАЦЕВТИКА НВ», Бельгія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6A6DF4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>
      <w:r w:rsidRPr="00F52A8B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736AA5" w:rsidRPr="00F52A8B" w:rsidTr="00264C1F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29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6AA5" w:rsidRPr="00F52A8B" w:rsidRDefault="005923FF" w:rsidP="00264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736AA5" w:rsidRPr="00F52A8B" w:rsidRDefault="00736AA5" w:rsidP="00264C1F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4" w:rsidRPr="00F52A8B" w:rsidRDefault="00923704" w:rsidP="00923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Включення додатково</w:t>
            </w:r>
            <w:r w:rsidR="00B43BA6" w:rsidRPr="00F52A8B">
              <w:rPr>
                <w:rFonts w:ascii="Times New Roman" w:hAnsi="Times New Roman"/>
                <w:sz w:val="24"/>
                <w:szCs w:val="24"/>
              </w:rPr>
              <w:t>го місця проведення дослідження:</w:t>
            </w:r>
          </w:p>
          <w:tbl>
            <w:tblPr>
              <w:tblW w:w="12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11690"/>
            </w:tblGrid>
            <w:tr w:rsidR="00923704" w:rsidRPr="00451905" w:rsidTr="0045190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3704" w:rsidRPr="00451905" w:rsidRDefault="00923704" w:rsidP="004519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3704" w:rsidRPr="00451905" w:rsidRDefault="00923704" w:rsidP="004519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519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4519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4519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4519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досл</w:t>
                  </w:r>
                  <w:proofErr w:type="gramEnd"/>
                  <w:r w:rsidRPr="004519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ідника</w:t>
                  </w:r>
                  <w:proofErr w:type="spellEnd"/>
                </w:p>
                <w:p w:rsidR="00923704" w:rsidRPr="00451905" w:rsidRDefault="00391877" w:rsidP="004519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</w:t>
                  </w:r>
                  <w:r w:rsidR="00923704" w:rsidRPr="004519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азва</w:t>
                  </w:r>
                  <w:proofErr w:type="spellEnd"/>
                  <w:r w:rsidR="00923704" w:rsidRPr="004519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923704" w:rsidRPr="004519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="00923704" w:rsidRPr="004519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923704" w:rsidRPr="004519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="00923704" w:rsidRPr="004519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923704" w:rsidRPr="004519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="00923704" w:rsidRPr="004519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923704" w:rsidRPr="004519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923704" w:rsidRPr="00451905" w:rsidTr="0045190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3704" w:rsidRPr="00451905" w:rsidRDefault="00923704" w:rsidP="004519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3704" w:rsidRPr="00451905" w:rsidRDefault="00923704" w:rsidP="004519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д.м.н., проф. Гриневич</w:t>
                  </w:r>
                  <w:proofErr w:type="gramStart"/>
                  <w:r w:rsidRPr="004519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Є.</w:t>
                  </w:r>
                  <w:proofErr w:type="gramEnd"/>
                  <w:r w:rsidRPr="004519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Г. </w:t>
                  </w:r>
                </w:p>
                <w:p w:rsidR="00923704" w:rsidRPr="00451905" w:rsidRDefault="00923704" w:rsidP="004519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sz w:val="24"/>
                      <w:szCs w:val="24"/>
                    </w:rPr>
                    <w:t>Національний військово-медичний клінічний центр «Головний військовий клінічний госпіталь», клініка психіатрії з палатами для наркологічних хворих , м. Київ</w:t>
                  </w:r>
                </w:p>
              </w:tc>
            </w:tr>
          </w:tbl>
          <w:p w:rsidR="00736AA5" w:rsidRPr="00F52A8B" w:rsidRDefault="00736AA5" w:rsidP="00B43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6A6DF4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1265 від 05.06.2019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B43BA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«12-тижневе,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 дослідження фази 2 в паралельних групах для оцінки ефективності, безпечності,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переносимості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та фармакокінетики 3-х рівнів доз препарату TAК-831 як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ад'юнктивної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терапії у дорослих пацієнтів із негативними симптомами шизофренії», код дослідження TAK-831-2002 з інкорпорованою поправкою 03 від 13 березня 2019 року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B43BA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B43BA6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Мілленніум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Фармасьютікалз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, Інк.»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Millennium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Pharmaceuticals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.) (дочірня компанія, що знаходиться у повній власності компанії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Такеда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Фармасьютікал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Компані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Лімітед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Takeda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Limited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)), США</w:t>
            </w:r>
          </w:p>
        </w:tc>
      </w:tr>
      <w:tr w:rsidR="00736AA5" w:rsidRPr="00F52A8B" w:rsidTr="0026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A5" w:rsidRPr="00F52A8B" w:rsidRDefault="00736AA5" w:rsidP="00264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5" w:rsidRPr="00F52A8B" w:rsidRDefault="006A6DF4" w:rsidP="0026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AA5" w:rsidRPr="00F52A8B" w:rsidRDefault="00736AA5" w:rsidP="00736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36AA5" w:rsidRPr="00F52A8B" w:rsidRDefault="00736AA5" w:rsidP="00736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>
      <w:r w:rsidRPr="00F52A8B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373F69" w:rsidRPr="00F52A8B" w:rsidTr="00B73A1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30</w:t>
            </w:r>
          </w:p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3F69" w:rsidRPr="00F52A8B" w:rsidRDefault="005923FF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373F69" w:rsidRPr="00F52A8B" w:rsidRDefault="00373F69" w:rsidP="00B73A1A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923704" w:rsidP="00B43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Брошура дослідника R076477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paliperidone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R092670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paliperidone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palmitate</w:t>
            </w:r>
            <w:proofErr w:type="spellEnd"/>
            <w:r w:rsidR="00B43BA6" w:rsidRPr="00F52A8B">
              <w:rPr>
                <w:rFonts w:ascii="Times New Roman" w:hAnsi="Times New Roman"/>
                <w:sz w:val="24"/>
                <w:szCs w:val="24"/>
              </w:rPr>
              <w:t>), Видання 20 від 14.08.2019 р.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Default="000A504F" w:rsidP="006A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4F">
              <w:rPr>
                <w:rFonts w:ascii="Times New Roman" w:hAnsi="Times New Roman"/>
                <w:sz w:val="24"/>
                <w:szCs w:val="24"/>
              </w:rPr>
              <w:t>№ 2006 від 02.10.2019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504F" w:rsidRPr="00F52A8B" w:rsidRDefault="000A504F" w:rsidP="006A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1465 від 08.08.2018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B43BA6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«Подвійне сліпе,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активно контрольоване, в паралельних групах  клінічне дослідження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Паліперидону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Пальмітату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 шестимісячної дії», код дослідження R092670PSY3015 з поправкою </w:t>
            </w:r>
            <w:proofErr w:type="spellStart"/>
            <w:r w:rsidR="00E1494F">
              <w:rPr>
                <w:rFonts w:ascii="Times New Roman" w:hAnsi="Times New Roman"/>
                <w:sz w:val="24"/>
                <w:szCs w:val="24"/>
              </w:rPr>
              <w:t>Amendment</w:t>
            </w:r>
            <w:proofErr w:type="spellEnd"/>
            <w:r w:rsidR="00E1494F">
              <w:rPr>
                <w:rFonts w:ascii="Times New Roman" w:hAnsi="Times New Roman"/>
                <w:sz w:val="24"/>
                <w:szCs w:val="24"/>
              </w:rPr>
              <w:t xml:space="preserve"> 3 від 11.02.2019 р.;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 «Відкрите, з одним рукавом лікування подовження подвійного сліпого,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рандомізованого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активно контрольованого, в паралельних групах клінічного дослідження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Паліперидону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Пальмітату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шестимісячної дії», R092670PSY3016 від 14.02.2019 р.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B43BA6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«ЯНССЕН ФАРМАЦЕВТИКА НВ», Бельгія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B43BA6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«ЯНССЕН ФАРМАЦЕВТИКА НВ», Бельгія.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6A6DF4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 w:rsidP="00373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>
      <w:r w:rsidRPr="00F52A8B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373F69" w:rsidRPr="00F52A8B" w:rsidTr="00B73A1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31</w:t>
            </w:r>
          </w:p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3F69" w:rsidRPr="00F52A8B" w:rsidRDefault="005923FF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373F69" w:rsidRPr="00F52A8B" w:rsidRDefault="00373F69" w:rsidP="00B73A1A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D5" w:rsidRPr="00AE7FD5" w:rsidRDefault="00923704" w:rsidP="00B43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Оновлений протокол клінічного випробування MK-7902-007, з інкорпорованою поправкою 02 від 27 червня 2019 року, англійською </w:t>
            </w:r>
            <w:r w:rsidRPr="00AE7FD5">
              <w:rPr>
                <w:rFonts w:ascii="Times New Roman" w:hAnsi="Times New Roman"/>
                <w:sz w:val="24"/>
                <w:szCs w:val="24"/>
              </w:rPr>
              <w:t xml:space="preserve">мовою; Оновлене досьє досліджуваного лікарського засобу Е7080, редакція 23, версія 054WMR, 054WLZ, англійською мовою; включення додаткових виробничих ділянок </w:t>
            </w:r>
            <w:proofErr w:type="spellStart"/>
            <w:r w:rsidRPr="00AE7FD5">
              <w:rPr>
                <w:rFonts w:ascii="Times New Roman" w:hAnsi="Times New Roman"/>
                <w:sz w:val="24"/>
                <w:szCs w:val="24"/>
              </w:rPr>
              <w:t>Eisai</w:t>
            </w:r>
            <w:proofErr w:type="spellEnd"/>
            <w:r w:rsidRPr="00AE7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7FD5"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  <w:r w:rsidRPr="00AE7F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7FD5">
              <w:rPr>
                <w:rFonts w:ascii="Times New Roman" w:hAnsi="Times New Roman"/>
                <w:sz w:val="24"/>
                <w:szCs w:val="24"/>
              </w:rPr>
              <w:t>Germany</w:t>
            </w:r>
            <w:proofErr w:type="spellEnd"/>
            <w:r w:rsidRPr="00AE7FD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E7FD5">
              <w:rPr>
                <w:rFonts w:ascii="Times New Roman" w:hAnsi="Times New Roman"/>
                <w:sz w:val="24"/>
                <w:szCs w:val="24"/>
              </w:rPr>
              <w:t>Almac</w:t>
            </w:r>
            <w:proofErr w:type="spellEnd"/>
            <w:r w:rsidRPr="00AE7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7FD5">
              <w:rPr>
                <w:rFonts w:ascii="Times New Roman" w:hAnsi="Times New Roman"/>
                <w:sz w:val="24"/>
                <w:szCs w:val="24"/>
              </w:rPr>
              <w:t>Clinical</w:t>
            </w:r>
            <w:proofErr w:type="spellEnd"/>
            <w:r w:rsidRPr="00AE7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7FD5">
              <w:rPr>
                <w:rFonts w:ascii="Times New Roman" w:hAnsi="Times New Roman"/>
                <w:sz w:val="24"/>
                <w:szCs w:val="24"/>
              </w:rPr>
              <w:t>Services</w:t>
            </w:r>
            <w:proofErr w:type="spellEnd"/>
            <w:r w:rsidRPr="00AE7F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E7FD5">
              <w:rPr>
                <w:rFonts w:ascii="Times New Roman" w:hAnsi="Times New Roman"/>
                <w:sz w:val="24"/>
                <w:szCs w:val="24"/>
              </w:rPr>
              <w:t>Ireland</w:t>
            </w:r>
            <w:proofErr w:type="spellEnd"/>
            <w:r w:rsidRPr="00AE7FD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E7FD5">
              <w:rPr>
                <w:rFonts w:ascii="Times New Roman" w:hAnsi="Times New Roman"/>
                <w:sz w:val="24"/>
                <w:szCs w:val="24"/>
              </w:rPr>
              <w:t>Limited</w:t>
            </w:r>
            <w:proofErr w:type="spellEnd"/>
            <w:r w:rsidRPr="00AE7F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7FD5">
              <w:rPr>
                <w:rFonts w:ascii="Times New Roman" w:hAnsi="Times New Roman"/>
                <w:sz w:val="24"/>
                <w:szCs w:val="24"/>
              </w:rPr>
              <w:t>Ireland</w:t>
            </w:r>
            <w:proofErr w:type="spellEnd"/>
            <w:r w:rsidRPr="00AE7FD5">
              <w:rPr>
                <w:rFonts w:ascii="Times New Roman" w:hAnsi="Times New Roman"/>
                <w:sz w:val="24"/>
                <w:szCs w:val="24"/>
              </w:rPr>
              <w:t>; зміна назви виробничої ділянки</w:t>
            </w:r>
            <w:r w:rsidR="00AE7FD5" w:rsidRPr="00AE7FD5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12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0"/>
              <w:gridCol w:w="6090"/>
            </w:tblGrid>
            <w:tr w:rsidR="00AE7FD5" w:rsidRPr="00AE7FD5" w:rsidTr="00391877">
              <w:tc>
                <w:tcPr>
                  <w:tcW w:w="6090" w:type="dxa"/>
                  <w:shd w:val="clear" w:color="auto" w:fill="auto"/>
                </w:tcPr>
                <w:p w:rsidR="00AE7FD5" w:rsidRPr="00AE7FD5" w:rsidRDefault="00AE7FD5" w:rsidP="00AE7FD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E7FD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6090" w:type="dxa"/>
                  <w:shd w:val="clear" w:color="auto" w:fill="auto"/>
                </w:tcPr>
                <w:p w:rsidR="00AE7FD5" w:rsidRPr="00AE7FD5" w:rsidRDefault="00AE7FD5" w:rsidP="00AE7FD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E7FD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Стало</w:t>
                  </w:r>
                </w:p>
              </w:tc>
            </w:tr>
            <w:tr w:rsidR="00AE7FD5" w:rsidRPr="00AE7FD5" w:rsidTr="00391877">
              <w:tc>
                <w:tcPr>
                  <w:tcW w:w="6090" w:type="dxa"/>
                  <w:shd w:val="clear" w:color="auto" w:fill="auto"/>
                </w:tcPr>
                <w:p w:rsidR="00AE7FD5" w:rsidRPr="00AE7FD5" w:rsidRDefault="00AE7FD5" w:rsidP="00E1494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Eisai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Co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Ltd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E1494F" w:rsidRDefault="00AE7FD5" w:rsidP="00E1494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Formulation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Research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Pharmaceutical</w:t>
                  </w:r>
                  <w:proofErr w:type="spellEnd"/>
                </w:p>
                <w:p w:rsidR="00AE7FD5" w:rsidRPr="00AE7FD5" w:rsidRDefault="00AE7FD5" w:rsidP="00E1494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Science&amp;Technology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Japan</w:t>
                  </w:r>
                  <w:proofErr w:type="spellEnd"/>
                </w:p>
                <w:p w:rsidR="00AE7FD5" w:rsidRPr="00AE7FD5" w:rsidRDefault="00AE7FD5" w:rsidP="00E1494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Kawashimatakehaya-machi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Kakamigahara-shi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Gifu-ken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501-6195, 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Japan</w:t>
                  </w:r>
                  <w:proofErr w:type="spellEnd"/>
                </w:p>
              </w:tc>
              <w:tc>
                <w:tcPr>
                  <w:tcW w:w="6090" w:type="dxa"/>
                  <w:shd w:val="clear" w:color="auto" w:fill="auto"/>
                </w:tcPr>
                <w:p w:rsidR="00AE7FD5" w:rsidRPr="00AE7FD5" w:rsidRDefault="00AE7FD5" w:rsidP="00E1494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Eisai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Co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.,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Ltd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AE7FD5" w:rsidRPr="00AE7FD5" w:rsidRDefault="00AE7FD5" w:rsidP="00E1494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Kawashima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Pilot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Plant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Japan</w:t>
                  </w:r>
                  <w:proofErr w:type="spellEnd"/>
                </w:p>
                <w:p w:rsidR="00AE7FD5" w:rsidRPr="00AE7FD5" w:rsidRDefault="00AE7FD5" w:rsidP="00E1494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Kawashimatakehaya-machi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Kakamigahara-shi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Gifu-ken</w:t>
                  </w:r>
                  <w:proofErr w:type="spellEnd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501-6195, </w:t>
                  </w:r>
                  <w:proofErr w:type="spellStart"/>
                  <w:r w:rsidRPr="00AE7FD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Japan</w:t>
                  </w:r>
                  <w:proofErr w:type="spellEnd"/>
                </w:p>
              </w:tc>
            </w:tr>
          </w:tbl>
          <w:p w:rsidR="00923704" w:rsidRPr="00F52A8B" w:rsidRDefault="00923704" w:rsidP="00B43B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Оновлене досьє досліджуваного лікарського засобу Е7080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Placebo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редакція 07, версія 054WN6, 054WLY, англійською мовою; включення додаткових виробничих ділянок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Eisai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Germany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Almac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Clinical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Services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Ireland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Limited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Ireland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; зміна назви виробничої ділянки</w:t>
            </w:r>
            <w:r w:rsidR="00B43BA6" w:rsidRPr="00F52A8B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26"/>
              <w:gridCol w:w="6126"/>
            </w:tblGrid>
            <w:tr w:rsidR="00923704" w:rsidRPr="00F52A8B" w:rsidTr="00391877">
              <w:trPr>
                <w:trHeight w:val="168"/>
              </w:trPr>
              <w:tc>
                <w:tcPr>
                  <w:tcW w:w="6126" w:type="dxa"/>
                </w:tcPr>
                <w:p w:rsidR="00923704" w:rsidRPr="00F52A8B" w:rsidRDefault="00923704" w:rsidP="00B43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6126" w:type="dxa"/>
                </w:tcPr>
                <w:p w:rsidR="00923704" w:rsidRPr="00F52A8B" w:rsidRDefault="00923704" w:rsidP="00B43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Стало</w:t>
                  </w:r>
                </w:p>
              </w:tc>
            </w:tr>
            <w:tr w:rsidR="00923704" w:rsidRPr="00F52A8B" w:rsidTr="00391877">
              <w:trPr>
                <w:trHeight w:val="204"/>
              </w:trPr>
              <w:tc>
                <w:tcPr>
                  <w:tcW w:w="6126" w:type="dxa"/>
                </w:tcPr>
                <w:p w:rsidR="00923704" w:rsidRPr="00F52A8B" w:rsidRDefault="00923704" w:rsidP="009237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Eisai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Co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Ltd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23704" w:rsidRPr="00F52A8B" w:rsidRDefault="00923704" w:rsidP="00B43B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Formulation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Research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Pharmaceutical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Science&amp;Technology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Japan</w:t>
                  </w:r>
                  <w:proofErr w:type="spellEnd"/>
                </w:p>
                <w:p w:rsidR="00923704" w:rsidRPr="00F52A8B" w:rsidRDefault="00923704" w:rsidP="009237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Kawashimatakehaya-machi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Kakamigahara-shi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Gifu-ken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501-6195,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Japan</w:t>
                  </w:r>
                  <w:proofErr w:type="spellEnd"/>
                </w:p>
              </w:tc>
              <w:tc>
                <w:tcPr>
                  <w:tcW w:w="6126" w:type="dxa"/>
                </w:tcPr>
                <w:p w:rsidR="00923704" w:rsidRPr="00F52A8B" w:rsidRDefault="00923704" w:rsidP="009237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Eisai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Co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Ltd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23704" w:rsidRPr="00F52A8B" w:rsidRDefault="00923704" w:rsidP="009237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Kawashima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Pilot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Plant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Japan</w:t>
                  </w:r>
                  <w:proofErr w:type="spellEnd"/>
                </w:p>
                <w:p w:rsidR="00923704" w:rsidRPr="00F52A8B" w:rsidRDefault="00923704" w:rsidP="00B43B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Kawashimatakehaya-machi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Kakamigahara-shi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Gifu-ken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501-6195,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Japan</w:t>
                  </w:r>
                  <w:proofErr w:type="spellEnd"/>
                </w:p>
              </w:tc>
            </w:tr>
          </w:tbl>
          <w:p w:rsidR="00923704" w:rsidRPr="00F52A8B" w:rsidRDefault="00923704" w:rsidP="009237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Залучення додаткових місць проведення клінічного випробування:</w:t>
            </w:r>
          </w:p>
          <w:tbl>
            <w:tblPr>
              <w:tblW w:w="12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11430"/>
            </w:tblGrid>
            <w:tr w:rsidR="00923704" w:rsidRPr="00F52A8B" w:rsidTr="00AE7FD5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3704" w:rsidRPr="00F52A8B" w:rsidRDefault="00923704" w:rsidP="003918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3704" w:rsidRPr="00F52A8B" w:rsidRDefault="00923704" w:rsidP="003918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ПІБ відповідального дослідника</w:t>
                  </w:r>
                </w:p>
                <w:p w:rsidR="00923704" w:rsidRPr="00F52A8B" w:rsidRDefault="00923704" w:rsidP="003918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52A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923704" w:rsidRPr="00F52A8B" w:rsidTr="00AE7FD5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3704" w:rsidRPr="00F52A8B" w:rsidRDefault="00923704" w:rsidP="009237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1.</w:t>
                  </w:r>
                </w:p>
              </w:tc>
              <w:tc>
                <w:tcPr>
                  <w:tcW w:w="1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3704" w:rsidRPr="00F52A8B" w:rsidRDefault="00923704" w:rsidP="009237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Крулько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 І.</w:t>
                  </w:r>
                </w:p>
                <w:p w:rsidR="00923704" w:rsidRPr="00F52A8B" w:rsidRDefault="00923704" w:rsidP="009237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Товариство з обмеженою відповідальністю «Український центр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томотерапії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відділення хіміотерапії, </w:t>
                  </w:r>
                  <w:r w:rsidR="003918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м. Кропивницький</w:t>
                  </w:r>
                </w:p>
              </w:tc>
            </w:tr>
            <w:tr w:rsidR="00923704" w:rsidRPr="00F52A8B" w:rsidTr="00AE7FD5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3704" w:rsidRPr="00F52A8B" w:rsidRDefault="00923704" w:rsidP="009237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3704" w:rsidRPr="00F52A8B" w:rsidRDefault="00923704" w:rsidP="009237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Кобзєв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О.І.</w:t>
                  </w:r>
                </w:p>
                <w:p w:rsidR="00923704" w:rsidRPr="00F52A8B" w:rsidRDefault="00923704" w:rsidP="009237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Комунальне некомерційне підприємство «Обласний центр онкології»,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онкохірургічне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відділення органів грудної порожнини, м. Харків</w:t>
                  </w:r>
                </w:p>
              </w:tc>
            </w:tr>
            <w:tr w:rsidR="00923704" w:rsidRPr="00F52A8B" w:rsidTr="00AE7FD5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3704" w:rsidRPr="00F52A8B" w:rsidRDefault="00923704" w:rsidP="009237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3704" w:rsidRPr="00F52A8B" w:rsidRDefault="00923704" w:rsidP="009237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к.м.н. Винниченко</w:t>
                  </w:r>
                  <w:proofErr w:type="gram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І.</w:t>
                  </w:r>
                  <w:proofErr w:type="gram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О.</w:t>
                  </w:r>
                </w:p>
                <w:p w:rsidR="00923704" w:rsidRPr="00F52A8B" w:rsidRDefault="00923704" w:rsidP="009237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Обласний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комунальний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заклад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диспансер,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онкоторакальне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, кафе</w:t>
                  </w:r>
                  <w:r w:rsidR="0039187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дра </w:t>
                  </w:r>
                  <w:proofErr w:type="spellStart"/>
                  <w:r w:rsidR="0039187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хірургії</w:t>
                  </w:r>
                  <w:proofErr w:type="spellEnd"/>
                  <w:r w:rsidR="0039187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="0039187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="0039187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F52A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Суми</w:t>
                  </w:r>
                  <w:proofErr w:type="spellEnd"/>
                </w:p>
              </w:tc>
            </w:tr>
          </w:tbl>
          <w:p w:rsidR="00373F69" w:rsidRPr="00F52A8B" w:rsidRDefault="00373F69" w:rsidP="00923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6A6DF4" w:rsidP="006A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727 від 04.04.2019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923704" w:rsidP="00391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подвійне сліпе дослідження ІІІ фази комбінації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пембролізумабу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(MK-3475) з або без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ленватиніба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(Е7080/МК-7902) у раніше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нелікованих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пацієнтів з метастатичним недрібноклітинним раком легень (НДКРЛ) </w:t>
            </w:r>
            <w:r w:rsidR="0039187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з показником пропорції пухлини (TPS), що більше або дорівнює 1% (LEAP-007)», код дослідження MK-7902-007,</w:t>
            </w:r>
            <w:r w:rsidR="0039187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з інкорпорованою поправкою 01 від 17 січня 2019 року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923704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 «МСД Україна»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923704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Шарп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Доум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.», дочірнє підприємство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Ко.,Інк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.» (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Sharp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Dohme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Corp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., a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subsidiary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>.), США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6A6DF4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 w:rsidP="00373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Default="00373F69">
      <w:r w:rsidRPr="00F52A8B">
        <w:br w:type="page"/>
      </w:r>
    </w:p>
    <w:p w:rsidR="00391877" w:rsidRPr="00F52A8B" w:rsidRDefault="00391877"/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7734"/>
        <w:gridCol w:w="4856"/>
        <w:gridCol w:w="25"/>
      </w:tblGrid>
      <w:tr w:rsidR="00373F69" w:rsidRPr="00F52A8B" w:rsidTr="00B73A1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373F69" w:rsidRPr="00F52A8B" w:rsidRDefault="00373F69" w:rsidP="0081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32</w:t>
            </w:r>
          </w:p>
          <w:p w:rsidR="00816FAD" w:rsidRDefault="00816FAD" w:rsidP="00816FAD">
            <w:pPr>
              <w:spacing w:after="0" w:line="240" w:lineRule="auto"/>
              <w:ind w:left="-9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73F69"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</w:t>
            </w:r>
          </w:p>
          <w:p w:rsidR="00373F69" w:rsidRDefault="00816FAD" w:rsidP="00816FAD">
            <w:pPr>
              <w:spacing w:after="0" w:line="240" w:lineRule="auto"/>
              <w:ind w:lef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73F69"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охорони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73F69"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="00373F69"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16FAD" w:rsidRPr="00F52A8B" w:rsidRDefault="00816FAD" w:rsidP="0081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373F69" w:rsidRPr="00F52A8B" w:rsidRDefault="00373F69" w:rsidP="00816FAD">
            <w:pPr>
              <w:spacing w:after="0" w:line="240" w:lineRule="auto"/>
              <w:ind w:left="-93" w:firstLine="262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4" w:rsidRPr="00F52A8B" w:rsidRDefault="00923704" w:rsidP="0092370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Включення додаткових місць проведення випробування:</w:t>
            </w:r>
          </w:p>
          <w:tbl>
            <w:tblPr>
              <w:tblW w:w="12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11853"/>
            </w:tblGrid>
            <w:tr w:rsidR="00923704" w:rsidRPr="00451905" w:rsidTr="006A6DF4">
              <w:tc>
                <w:tcPr>
                  <w:tcW w:w="540" w:type="dxa"/>
                  <w:shd w:val="clear" w:color="auto" w:fill="auto"/>
                </w:tcPr>
                <w:p w:rsidR="00923704" w:rsidRPr="00451905" w:rsidRDefault="00923704" w:rsidP="004519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923704" w:rsidRPr="00451905" w:rsidRDefault="00923704" w:rsidP="004519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1853" w:type="dxa"/>
                  <w:shd w:val="clear" w:color="auto" w:fill="auto"/>
                </w:tcPr>
                <w:p w:rsidR="00923704" w:rsidRPr="00451905" w:rsidRDefault="00923704" w:rsidP="004519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sz w:val="24"/>
                      <w:szCs w:val="24"/>
                    </w:rPr>
                    <w:t>ПІБ відповідального дослідника</w:t>
                  </w:r>
                </w:p>
                <w:p w:rsidR="00923704" w:rsidRPr="00451905" w:rsidRDefault="00923704" w:rsidP="004519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5190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923704" w:rsidRPr="00451905" w:rsidTr="006A6DF4">
              <w:tc>
                <w:tcPr>
                  <w:tcW w:w="540" w:type="dxa"/>
                  <w:shd w:val="clear" w:color="auto" w:fill="auto"/>
                </w:tcPr>
                <w:p w:rsidR="00923704" w:rsidRPr="00451905" w:rsidRDefault="00923704" w:rsidP="004519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853" w:type="dxa"/>
                  <w:shd w:val="clear" w:color="auto" w:fill="auto"/>
                </w:tcPr>
                <w:p w:rsidR="00923704" w:rsidRPr="00451905" w:rsidRDefault="00923704" w:rsidP="004519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45190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д.м.н</w:t>
                  </w:r>
                  <w:proofErr w:type="spellEnd"/>
                  <w:r w:rsidRPr="0045190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. Господарський І.Я.</w:t>
                  </w:r>
                </w:p>
                <w:p w:rsidR="00923704" w:rsidRPr="00451905" w:rsidRDefault="00923704" w:rsidP="004519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Комунальне некомерційне підприємство «Тернопільська університетська лікарня» Тернопільської обласної ради, Обласний центр гастроентерології з </w:t>
                  </w:r>
                  <w:proofErr w:type="spellStart"/>
                  <w:r w:rsidRPr="0045190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гепатологією</w:t>
                  </w:r>
                  <w:proofErr w:type="spellEnd"/>
                  <w:r w:rsidRPr="0045190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 м. Тернопіль</w:t>
                  </w:r>
                </w:p>
              </w:tc>
            </w:tr>
            <w:tr w:rsidR="00923704" w:rsidRPr="00451905" w:rsidTr="006A6DF4">
              <w:tc>
                <w:tcPr>
                  <w:tcW w:w="540" w:type="dxa"/>
                  <w:shd w:val="clear" w:color="auto" w:fill="auto"/>
                </w:tcPr>
                <w:p w:rsidR="00923704" w:rsidRPr="00451905" w:rsidRDefault="00923704" w:rsidP="004519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853" w:type="dxa"/>
                  <w:shd w:val="clear" w:color="auto" w:fill="auto"/>
                </w:tcPr>
                <w:p w:rsidR="00923704" w:rsidRPr="00451905" w:rsidRDefault="00923704" w:rsidP="004519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45190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к.м.н</w:t>
                  </w:r>
                  <w:proofErr w:type="spellEnd"/>
                  <w:r w:rsidRPr="0045190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., зав. від. </w:t>
                  </w:r>
                  <w:proofErr w:type="spellStart"/>
                  <w:r w:rsidRPr="0045190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Балицький</w:t>
                  </w:r>
                  <w:proofErr w:type="spellEnd"/>
                  <w:r w:rsidRPr="0045190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В.В.</w:t>
                  </w:r>
                </w:p>
                <w:p w:rsidR="00923704" w:rsidRPr="00451905" w:rsidRDefault="00923704" w:rsidP="004519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Хмельницька обласна лікарня, проктологічне відділення, м. Хмельницький</w:t>
                  </w:r>
                </w:p>
              </w:tc>
            </w:tr>
            <w:tr w:rsidR="00923704" w:rsidRPr="00451905" w:rsidTr="006A6DF4">
              <w:tc>
                <w:tcPr>
                  <w:tcW w:w="540" w:type="dxa"/>
                  <w:shd w:val="clear" w:color="auto" w:fill="auto"/>
                </w:tcPr>
                <w:p w:rsidR="00923704" w:rsidRPr="00451905" w:rsidRDefault="00923704" w:rsidP="004519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1853" w:type="dxa"/>
                  <w:shd w:val="clear" w:color="auto" w:fill="auto"/>
                </w:tcPr>
                <w:p w:rsidR="00923704" w:rsidRPr="00451905" w:rsidRDefault="00923704" w:rsidP="004519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45190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к.м.н</w:t>
                  </w:r>
                  <w:proofErr w:type="spellEnd"/>
                  <w:r w:rsidRPr="0045190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. Коваль В.І.</w:t>
                  </w:r>
                </w:p>
                <w:p w:rsidR="00923704" w:rsidRPr="00451905" w:rsidRDefault="00923704" w:rsidP="004519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5190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Комунальне некомерційне підприємство «Черкаська обласна лікарня Черкаської обласної ради», проктологічне відділення, м. Черкаси</w:t>
                  </w:r>
                </w:p>
              </w:tc>
            </w:tr>
          </w:tbl>
          <w:p w:rsidR="00373F69" w:rsidRPr="00F52A8B" w:rsidRDefault="00373F69" w:rsidP="00923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E8484F" w:rsidP="00E84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1753 від 06.08.2019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Default="00923704" w:rsidP="00923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 дослідження багатократних доз для індукційної терапії, яке проводиться в паралельних групах для оцінки безпечності,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переносимості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та оптимальної дози препарату ABX464 порівняно з плацебо в пацієнтів з виразковим колітом від середнього до тяжкого ступеня, у яких спостерігається недостатня відповідь, втрата відповіді або непереносимість принаймні одного з таких лікарських препаратів: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імунодепресантів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(тобто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азатіоприну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6-меркаптопурину,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метотрексату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), інгібіторів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фактора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некрозу пухлини альфа [ФНП-α],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ведолізумабу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інгібіторів JAK та (або) кортикостероїдів», код дослідження ABX464-103, версія 1.0 від </w:t>
            </w:r>
            <w:r w:rsidR="0039187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18 грудня 2018 року</w:t>
            </w:r>
          </w:p>
          <w:p w:rsidR="00391877" w:rsidRPr="00F52A8B" w:rsidRDefault="00391877" w:rsidP="00923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4" w:rsidRDefault="00923704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  <w:p w:rsidR="00391877" w:rsidRPr="00F52A8B" w:rsidRDefault="00391877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4" w:rsidRDefault="00923704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ABIVAX, Франція</w:t>
            </w:r>
          </w:p>
          <w:p w:rsidR="00391877" w:rsidRPr="00F52A8B" w:rsidRDefault="00391877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E8484F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8484F" w:rsidRDefault="00E8484F" w:rsidP="00373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F69" w:rsidRPr="00F52A8B" w:rsidRDefault="00373F69" w:rsidP="00373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>
      <w:r w:rsidRPr="00F52A8B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373F69" w:rsidRPr="00F52A8B" w:rsidTr="00B73A1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33</w:t>
            </w:r>
          </w:p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373F69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1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B182B" w:rsidRPr="00F52A8B" w:rsidRDefault="00EB182B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</w:p>
          <w:p w:rsidR="00373F69" w:rsidRPr="00F52A8B" w:rsidRDefault="00373F69" w:rsidP="00EB1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923704" w:rsidP="00923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Поправка №1.0 від 06 серпня 2019 р. до Брошури дослідника лікарського засобу BAY 59-7939, версія 27.0 від </w:t>
            </w:r>
            <w:r w:rsidR="0039187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19 березня 2019 р. англійською та українською мовами; Інтегрована Брошура дослідника лікарського засобу</w:t>
            </w:r>
            <w:r w:rsidR="0039187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 BAY 59-7939, версія 27.0 від 19 березня 2019 р. з поправкою №1.0 від 06 серпня 2019 р. англійською мовою 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DF446C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494 від 31.05.2016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923704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«Міжнародне,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 дослідження ІІІ фази для вивчення ефективності та безпечності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рівароксабану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для зниження ризику серйозних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тромботичних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судинних ускладнень у пацієнтів з симптоматичними захворюваннями периферійних артерій, які проходять процедури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реваскуляризації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нижніх кінцівок», код дослідження BAY 59-7939/17454, версія 3.0 від 21 березня 2017 року з поправкою 5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923704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Чілтерн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Інтернешнл Україна»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923704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«Байєр АГ» [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Bayer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AG], Німеччина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DF446C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 w:rsidP="00373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>
      <w:r w:rsidRPr="00F52A8B"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373F69" w:rsidRPr="00F52A8B" w:rsidTr="00B73A1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34</w:t>
            </w:r>
          </w:p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F5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3F69" w:rsidRPr="00F52A8B" w:rsidRDefault="00EA7BDC" w:rsidP="00B73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67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12.11.2019 № 2267</w:t>
            </w:r>
            <w:bookmarkStart w:id="1" w:name="_GoBack"/>
            <w:bookmarkEnd w:id="1"/>
          </w:p>
          <w:p w:rsidR="00373F69" w:rsidRPr="00F52A8B" w:rsidRDefault="00373F69" w:rsidP="00B73A1A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923704" w:rsidP="00923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Інформація для пацієнта та Форма згоди на участь у дослідженні, фінальна версія 4.0-</w:t>
            </w:r>
            <w:r w:rsidRPr="00F52A8B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r w:rsidRPr="00F52A8B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), від 06 серпня 2019, українською мовою; Інформація для пацієнта та Форма згоди на участь у дослідженні, фінальна версія 4.0-</w:t>
            </w:r>
            <w:r w:rsidRPr="00F52A8B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(</w:t>
            </w:r>
            <w:r w:rsidRPr="00F52A8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0E5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 xml:space="preserve">від 06 серпня 2019, російською мовою 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75247A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F0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1962 від 29.10.2018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923704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«SELECT – вплив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семаглутиду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на серцево-судинні ускладнення у людей з надлишковою вагою або ожирінням», </w:t>
            </w:r>
            <w:r w:rsidR="0039187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F52A8B">
              <w:rPr>
                <w:rFonts w:ascii="Times New Roman" w:hAnsi="Times New Roman"/>
                <w:sz w:val="24"/>
                <w:szCs w:val="24"/>
              </w:rPr>
              <w:t>код дослідження EX9536-4388, фінальна версія 3.0 від 07 березня 2019 р.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923704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 xml:space="preserve">ТОВ «Ново </w:t>
            </w:r>
            <w:proofErr w:type="spellStart"/>
            <w:r w:rsidRPr="00F52A8B">
              <w:rPr>
                <w:rFonts w:ascii="Times New Roman" w:hAnsi="Times New Roman"/>
                <w:sz w:val="24"/>
                <w:szCs w:val="24"/>
              </w:rPr>
              <w:t>Нордіск</w:t>
            </w:r>
            <w:proofErr w:type="spellEnd"/>
            <w:r w:rsidRPr="00F52A8B">
              <w:rPr>
                <w:rFonts w:ascii="Times New Roman" w:hAnsi="Times New Roman"/>
                <w:sz w:val="24"/>
                <w:szCs w:val="24"/>
              </w:rPr>
              <w:t xml:space="preserve"> Україна»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8B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923704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A8B">
              <w:rPr>
                <w:rFonts w:ascii="Times New Roman" w:hAnsi="Times New Roman"/>
                <w:iCs/>
                <w:sz w:val="24"/>
                <w:szCs w:val="24"/>
              </w:rPr>
              <w:t>Novo</w:t>
            </w:r>
            <w:proofErr w:type="spellEnd"/>
            <w:r w:rsidRPr="00F52A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52A8B">
              <w:rPr>
                <w:rFonts w:ascii="Times New Roman" w:hAnsi="Times New Roman"/>
                <w:iCs/>
                <w:sz w:val="24"/>
                <w:szCs w:val="24"/>
              </w:rPr>
              <w:t>Nordisk</w:t>
            </w:r>
            <w:proofErr w:type="spellEnd"/>
            <w:r w:rsidRPr="00F52A8B">
              <w:rPr>
                <w:rFonts w:ascii="Times New Roman" w:hAnsi="Times New Roman"/>
                <w:iCs/>
                <w:sz w:val="24"/>
                <w:szCs w:val="24"/>
              </w:rPr>
              <w:t xml:space="preserve"> A/S (Данія)</w:t>
            </w:r>
          </w:p>
        </w:tc>
      </w:tr>
      <w:tr w:rsidR="00373F69" w:rsidRPr="00F52A8B" w:rsidTr="00B7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69" w:rsidRPr="00F52A8B" w:rsidRDefault="00373F69" w:rsidP="00B73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2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9" w:rsidRPr="00F52A8B" w:rsidRDefault="0075247A" w:rsidP="00B7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 w:rsidP="00373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A8B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2A8B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F52A8B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F52A8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373F69" w:rsidRPr="00F52A8B" w:rsidRDefault="00373F69" w:rsidP="0037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F69" w:rsidRPr="00F52A8B" w:rsidRDefault="00373F69" w:rsidP="009605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1F8" w:rsidRPr="00F52A8B" w:rsidRDefault="008E51F8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E51F8" w:rsidRPr="00F52A8B" w:rsidSect="005709D6">
      <w:pgSz w:w="16838" w:h="11906" w:orient="landscape"/>
      <w:pgMar w:top="993" w:right="1245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4A" w:rsidRDefault="000D494A" w:rsidP="00E71D49">
      <w:pPr>
        <w:spacing w:after="0" w:line="240" w:lineRule="auto"/>
      </w:pPr>
      <w:r>
        <w:separator/>
      </w:r>
    </w:p>
  </w:endnote>
  <w:endnote w:type="continuationSeparator" w:id="0">
    <w:p w:rsidR="000D494A" w:rsidRDefault="000D494A" w:rsidP="00E7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4A" w:rsidRDefault="000D494A" w:rsidP="00E71D49">
      <w:pPr>
        <w:spacing w:after="0" w:line="240" w:lineRule="auto"/>
      </w:pPr>
      <w:r>
        <w:separator/>
      </w:r>
    </w:p>
  </w:footnote>
  <w:footnote w:type="continuationSeparator" w:id="0">
    <w:p w:rsidR="000D494A" w:rsidRDefault="000D494A" w:rsidP="00E7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18E"/>
    <w:multiLevelType w:val="hybridMultilevel"/>
    <w:tmpl w:val="839A151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A60866"/>
    <w:multiLevelType w:val="multilevel"/>
    <w:tmpl w:val="6A78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A56B5E"/>
    <w:multiLevelType w:val="hybridMultilevel"/>
    <w:tmpl w:val="5EA2FD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530D75"/>
    <w:multiLevelType w:val="hybridMultilevel"/>
    <w:tmpl w:val="5EA2FD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CF"/>
    <w:rsid w:val="00007EC7"/>
    <w:rsid w:val="00011A71"/>
    <w:rsid w:val="00027CF3"/>
    <w:rsid w:val="00041B05"/>
    <w:rsid w:val="00045856"/>
    <w:rsid w:val="00045C07"/>
    <w:rsid w:val="0005201E"/>
    <w:rsid w:val="000544FF"/>
    <w:rsid w:val="00060676"/>
    <w:rsid w:val="0007333C"/>
    <w:rsid w:val="000746CF"/>
    <w:rsid w:val="00075DAE"/>
    <w:rsid w:val="00080442"/>
    <w:rsid w:val="00084A8E"/>
    <w:rsid w:val="00091E5A"/>
    <w:rsid w:val="00094034"/>
    <w:rsid w:val="000967DB"/>
    <w:rsid w:val="000971D7"/>
    <w:rsid w:val="000A504F"/>
    <w:rsid w:val="000B030D"/>
    <w:rsid w:val="000D1791"/>
    <w:rsid w:val="000D1AC8"/>
    <w:rsid w:val="000D3EE5"/>
    <w:rsid w:val="000D494A"/>
    <w:rsid w:val="000E497B"/>
    <w:rsid w:val="000E58D5"/>
    <w:rsid w:val="000F57A0"/>
    <w:rsid w:val="0010305A"/>
    <w:rsid w:val="00103AA5"/>
    <w:rsid w:val="00110A5E"/>
    <w:rsid w:val="0013109B"/>
    <w:rsid w:val="0014473A"/>
    <w:rsid w:val="00145084"/>
    <w:rsid w:val="001462A3"/>
    <w:rsid w:val="0015324E"/>
    <w:rsid w:val="0016397F"/>
    <w:rsid w:val="001662BA"/>
    <w:rsid w:val="00166E00"/>
    <w:rsid w:val="001800DD"/>
    <w:rsid w:val="00193616"/>
    <w:rsid w:val="00195CBF"/>
    <w:rsid w:val="001A18CF"/>
    <w:rsid w:val="001D37DF"/>
    <w:rsid w:val="001D7CEC"/>
    <w:rsid w:val="001E3A3D"/>
    <w:rsid w:val="001F3FCF"/>
    <w:rsid w:val="001F778A"/>
    <w:rsid w:val="00212240"/>
    <w:rsid w:val="00217CD5"/>
    <w:rsid w:val="00227C8F"/>
    <w:rsid w:val="00234895"/>
    <w:rsid w:val="0023522E"/>
    <w:rsid w:val="002355BF"/>
    <w:rsid w:val="00246A80"/>
    <w:rsid w:val="00260B09"/>
    <w:rsid w:val="00264C1F"/>
    <w:rsid w:val="00267C33"/>
    <w:rsid w:val="002778DA"/>
    <w:rsid w:val="00283BF4"/>
    <w:rsid w:val="00296A31"/>
    <w:rsid w:val="002A35E6"/>
    <w:rsid w:val="002A372C"/>
    <w:rsid w:val="002B5B33"/>
    <w:rsid w:val="002B6D3A"/>
    <w:rsid w:val="002C6F6B"/>
    <w:rsid w:val="002C78C4"/>
    <w:rsid w:val="002D3A2E"/>
    <w:rsid w:val="002D4FF5"/>
    <w:rsid w:val="002F13D0"/>
    <w:rsid w:val="002F5F0B"/>
    <w:rsid w:val="002F6E1D"/>
    <w:rsid w:val="0030716F"/>
    <w:rsid w:val="0030719F"/>
    <w:rsid w:val="00313366"/>
    <w:rsid w:val="00356593"/>
    <w:rsid w:val="00360819"/>
    <w:rsid w:val="00361A6B"/>
    <w:rsid w:val="00366C4A"/>
    <w:rsid w:val="00373F69"/>
    <w:rsid w:val="0038354D"/>
    <w:rsid w:val="003874AE"/>
    <w:rsid w:val="00391877"/>
    <w:rsid w:val="003931B3"/>
    <w:rsid w:val="003A2685"/>
    <w:rsid w:val="003A4ABD"/>
    <w:rsid w:val="003C1EEB"/>
    <w:rsid w:val="003D7C73"/>
    <w:rsid w:val="003E6D9A"/>
    <w:rsid w:val="003F6D6A"/>
    <w:rsid w:val="00401C8A"/>
    <w:rsid w:val="004138AF"/>
    <w:rsid w:val="00416C57"/>
    <w:rsid w:val="004303EE"/>
    <w:rsid w:val="00435F87"/>
    <w:rsid w:val="00436A55"/>
    <w:rsid w:val="00441CD2"/>
    <w:rsid w:val="00451905"/>
    <w:rsid w:val="00451944"/>
    <w:rsid w:val="00453757"/>
    <w:rsid w:val="00467A05"/>
    <w:rsid w:val="0047448F"/>
    <w:rsid w:val="00477690"/>
    <w:rsid w:val="0048713D"/>
    <w:rsid w:val="0049580A"/>
    <w:rsid w:val="004A082F"/>
    <w:rsid w:val="004A4A31"/>
    <w:rsid w:val="004B455D"/>
    <w:rsid w:val="004C03E7"/>
    <w:rsid w:val="004C1397"/>
    <w:rsid w:val="004C60D4"/>
    <w:rsid w:val="004F57DB"/>
    <w:rsid w:val="005141B0"/>
    <w:rsid w:val="005200B2"/>
    <w:rsid w:val="005300A9"/>
    <w:rsid w:val="00532FEB"/>
    <w:rsid w:val="00536970"/>
    <w:rsid w:val="005546E1"/>
    <w:rsid w:val="005548B6"/>
    <w:rsid w:val="0056023B"/>
    <w:rsid w:val="00567913"/>
    <w:rsid w:val="005709D6"/>
    <w:rsid w:val="005806A3"/>
    <w:rsid w:val="005910BC"/>
    <w:rsid w:val="0059210B"/>
    <w:rsid w:val="005923FF"/>
    <w:rsid w:val="00593FC0"/>
    <w:rsid w:val="005968B3"/>
    <w:rsid w:val="00597BE1"/>
    <w:rsid w:val="005A0D12"/>
    <w:rsid w:val="005B10BE"/>
    <w:rsid w:val="005C3A27"/>
    <w:rsid w:val="005C68E4"/>
    <w:rsid w:val="00603231"/>
    <w:rsid w:val="00611454"/>
    <w:rsid w:val="00612D6F"/>
    <w:rsid w:val="006132CA"/>
    <w:rsid w:val="00623CFF"/>
    <w:rsid w:val="00624241"/>
    <w:rsid w:val="00660502"/>
    <w:rsid w:val="006650FD"/>
    <w:rsid w:val="006846BB"/>
    <w:rsid w:val="006867A5"/>
    <w:rsid w:val="00693E55"/>
    <w:rsid w:val="00695FEE"/>
    <w:rsid w:val="0069734A"/>
    <w:rsid w:val="006A0CD7"/>
    <w:rsid w:val="006A6DF4"/>
    <w:rsid w:val="006B69B7"/>
    <w:rsid w:val="006C1D5F"/>
    <w:rsid w:val="006C343D"/>
    <w:rsid w:val="006C4E0B"/>
    <w:rsid w:val="006D695E"/>
    <w:rsid w:val="006E123F"/>
    <w:rsid w:val="0070504B"/>
    <w:rsid w:val="0070533D"/>
    <w:rsid w:val="007274A2"/>
    <w:rsid w:val="00731139"/>
    <w:rsid w:val="00735FC0"/>
    <w:rsid w:val="00736AA5"/>
    <w:rsid w:val="0075247A"/>
    <w:rsid w:val="00754CFF"/>
    <w:rsid w:val="00756DAE"/>
    <w:rsid w:val="007723EB"/>
    <w:rsid w:val="00774C22"/>
    <w:rsid w:val="00775746"/>
    <w:rsid w:val="00781C1C"/>
    <w:rsid w:val="0078507A"/>
    <w:rsid w:val="00794042"/>
    <w:rsid w:val="007A6BD6"/>
    <w:rsid w:val="007D204A"/>
    <w:rsid w:val="007D6539"/>
    <w:rsid w:val="007E19D4"/>
    <w:rsid w:val="007E1D78"/>
    <w:rsid w:val="007E7015"/>
    <w:rsid w:val="007F2719"/>
    <w:rsid w:val="007F300C"/>
    <w:rsid w:val="007F6DD4"/>
    <w:rsid w:val="007F7CD1"/>
    <w:rsid w:val="008033AF"/>
    <w:rsid w:val="0080360F"/>
    <w:rsid w:val="0080706F"/>
    <w:rsid w:val="008138A7"/>
    <w:rsid w:val="00813C1E"/>
    <w:rsid w:val="00816FAD"/>
    <w:rsid w:val="008223EB"/>
    <w:rsid w:val="0084266E"/>
    <w:rsid w:val="008464D2"/>
    <w:rsid w:val="00850405"/>
    <w:rsid w:val="008721AE"/>
    <w:rsid w:val="00874D4D"/>
    <w:rsid w:val="008851CB"/>
    <w:rsid w:val="008870D4"/>
    <w:rsid w:val="00893109"/>
    <w:rsid w:val="00893713"/>
    <w:rsid w:val="00893EEF"/>
    <w:rsid w:val="00896FA3"/>
    <w:rsid w:val="008A1A32"/>
    <w:rsid w:val="008A377F"/>
    <w:rsid w:val="008B08A5"/>
    <w:rsid w:val="008C1B3A"/>
    <w:rsid w:val="008D1AB0"/>
    <w:rsid w:val="008D2F43"/>
    <w:rsid w:val="008E51F8"/>
    <w:rsid w:val="008F1EFD"/>
    <w:rsid w:val="008F2854"/>
    <w:rsid w:val="009012E9"/>
    <w:rsid w:val="009154A8"/>
    <w:rsid w:val="00917036"/>
    <w:rsid w:val="00920F5C"/>
    <w:rsid w:val="00923565"/>
    <w:rsid w:val="00923704"/>
    <w:rsid w:val="00926400"/>
    <w:rsid w:val="00942D90"/>
    <w:rsid w:val="00943BFC"/>
    <w:rsid w:val="009448B7"/>
    <w:rsid w:val="00954B4D"/>
    <w:rsid w:val="009605B8"/>
    <w:rsid w:val="0096395D"/>
    <w:rsid w:val="009703A3"/>
    <w:rsid w:val="00980875"/>
    <w:rsid w:val="009850B8"/>
    <w:rsid w:val="00987A9F"/>
    <w:rsid w:val="009974CB"/>
    <w:rsid w:val="009B74C5"/>
    <w:rsid w:val="009C2421"/>
    <w:rsid w:val="009C5612"/>
    <w:rsid w:val="009D2941"/>
    <w:rsid w:val="009E02C3"/>
    <w:rsid w:val="009E1800"/>
    <w:rsid w:val="009E4567"/>
    <w:rsid w:val="009F25DC"/>
    <w:rsid w:val="009F7198"/>
    <w:rsid w:val="00A0220D"/>
    <w:rsid w:val="00A05E96"/>
    <w:rsid w:val="00A11C64"/>
    <w:rsid w:val="00A2347F"/>
    <w:rsid w:val="00A23555"/>
    <w:rsid w:val="00A240CE"/>
    <w:rsid w:val="00A3772F"/>
    <w:rsid w:val="00A40DAF"/>
    <w:rsid w:val="00A433C6"/>
    <w:rsid w:val="00A57A77"/>
    <w:rsid w:val="00A77E69"/>
    <w:rsid w:val="00A815A3"/>
    <w:rsid w:val="00A849D0"/>
    <w:rsid w:val="00A84FEA"/>
    <w:rsid w:val="00A8566B"/>
    <w:rsid w:val="00A91702"/>
    <w:rsid w:val="00AA0F28"/>
    <w:rsid w:val="00AA4639"/>
    <w:rsid w:val="00AB3812"/>
    <w:rsid w:val="00AC1543"/>
    <w:rsid w:val="00AC76C5"/>
    <w:rsid w:val="00AE7FD5"/>
    <w:rsid w:val="00AF127F"/>
    <w:rsid w:val="00AF3EC5"/>
    <w:rsid w:val="00B01FE4"/>
    <w:rsid w:val="00B12C50"/>
    <w:rsid w:val="00B15F63"/>
    <w:rsid w:val="00B24A84"/>
    <w:rsid w:val="00B4060E"/>
    <w:rsid w:val="00B43BA6"/>
    <w:rsid w:val="00B47BBE"/>
    <w:rsid w:val="00B47ED4"/>
    <w:rsid w:val="00B66923"/>
    <w:rsid w:val="00B73A1A"/>
    <w:rsid w:val="00B80EE7"/>
    <w:rsid w:val="00B80F18"/>
    <w:rsid w:val="00B83065"/>
    <w:rsid w:val="00B9133B"/>
    <w:rsid w:val="00B94757"/>
    <w:rsid w:val="00B9623B"/>
    <w:rsid w:val="00B96320"/>
    <w:rsid w:val="00BA201C"/>
    <w:rsid w:val="00BA7A8C"/>
    <w:rsid w:val="00BB05C8"/>
    <w:rsid w:val="00BB2877"/>
    <w:rsid w:val="00BB3125"/>
    <w:rsid w:val="00BB558E"/>
    <w:rsid w:val="00BC2A92"/>
    <w:rsid w:val="00BE6BD0"/>
    <w:rsid w:val="00BE74AC"/>
    <w:rsid w:val="00BF6727"/>
    <w:rsid w:val="00C0294E"/>
    <w:rsid w:val="00C062AC"/>
    <w:rsid w:val="00C26EC0"/>
    <w:rsid w:val="00C338DE"/>
    <w:rsid w:val="00C50FC4"/>
    <w:rsid w:val="00C530A1"/>
    <w:rsid w:val="00C54669"/>
    <w:rsid w:val="00C63CCA"/>
    <w:rsid w:val="00C67D46"/>
    <w:rsid w:val="00C7430C"/>
    <w:rsid w:val="00C74D53"/>
    <w:rsid w:val="00C765DB"/>
    <w:rsid w:val="00C8730E"/>
    <w:rsid w:val="00C90EA8"/>
    <w:rsid w:val="00C9167E"/>
    <w:rsid w:val="00C92584"/>
    <w:rsid w:val="00CC42F5"/>
    <w:rsid w:val="00CC495E"/>
    <w:rsid w:val="00CC4B83"/>
    <w:rsid w:val="00CC5987"/>
    <w:rsid w:val="00CD3AC6"/>
    <w:rsid w:val="00D0072C"/>
    <w:rsid w:val="00D03332"/>
    <w:rsid w:val="00D318F5"/>
    <w:rsid w:val="00D31ABC"/>
    <w:rsid w:val="00D36957"/>
    <w:rsid w:val="00D37315"/>
    <w:rsid w:val="00D51F9B"/>
    <w:rsid w:val="00D640F3"/>
    <w:rsid w:val="00D64ECE"/>
    <w:rsid w:val="00D82719"/>
    <w:rsid w:val="00D905C9"/>
    <w:rsid w:val="00D94E4C"/>
    <w:rsid w:val="00D9598B"/>
    <w:rsid w:val="00DA4C7E"/>
    <w:rsid w:val="00DB3917"/>
    <w:rsid w:val="00DB62C4"/>
    <w:rsid w:val="00DC073E"/>
    <w:rsid w:val="00DC2ACF"/>
    <w:rsid w:val="00DC6A3A"/>
    <w:rsid w:val="00DE7F12"/>
    <w:rsid w:val="00DF446C"/>
    <w:rsid w:val="00E00F45"/>
    <w:rsid w:val="00E040A2"/>
    <w:rsid w:val="00E11540"/>
    <w:rsid w:val="00E1494F"/>
    <w:rsid w:val="00E23EA8"/>
    <w:rsid w:val="00E24FD8"/>
    <w:rsid w:val="00E322DD"/>
    <w:rsid w:val="00E403AA"/>
    <w:rsid w:val="00E561A2"/>
    <w:rsid w:val="00E71D49"/>
    <w:rsid w:val="00E720C4"/>
    <w:rsid w:val="00E842C0"/>
    <w:rsid w:val="00E842D8"/>
    <w:rsid w:val="00E8484F"/>
    <w:rsid w:val="00EA531B"/>
    <w:rsid w:val="00EA7BDC"/>
    <w:rsid w:val="00EB180F"/>
    <w:rsid w:val="00EB182B"/>
    <w:rsid w:val="00EC1E0B"/>
    <w:rsid w:val="00EC3DD8"/>
    <w:rsid w:val="00ED60F9"/>
    <w:rsid w:val="00EF2024"/>
    <w:rsid w:val="00EF7637"/>
    <w:rsid w:val="00F02506"/>
    <w:rsid w:val="00F1094A"/>
    <w:rsid w:val="00F12B89"/>
    <w:rsid w:val="00F25C9E"/>
    <w:rsid w:val="00F30956"/>
    <w:rsid w:val="00F43234"/>
    <w:rsid w:val="00F52A8B"/>
    <w:rsid w:val="00F536F3"/>
    <w:rsid w:val="00F57C9A"/>
    <w:rsid w:val="00F66D09"/>
    <w:rsid w:val="00F75AA2"/>
    <w:rsid w:val="00F77DAF"/>
    <w:rsid w:val="00F83F43"/>
    <w:rsid w:val="00F863D0"/>
    <w:rsid w:val="00F918E4"/>
    <w:rsid w:val="00F95D52"/>
    <w:rsid w:val="00FA442D"/>
    <w:rsid w:val="00FB6A40"/>
    <w:rsid w:val="00FE1E04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FD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B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5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C1E0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451944"/>
    <w:pPr>
      <w:spacing w:after="120" w:line="240" w:lineRule="auto"/>
    </w:pPr>
    <w:rPr>
      <w:rFonts w:ascii="Arial" w:eastAsia="SimSun" w:hAnsi="Arial"/>
      <w:sz w:val="24"/>
      <w:szCs w:val="20"/>
      <w:lang w:val="en-GB" w:eastAsia="zh-CN"/>
    </w:rPr>
  </w:style>
  <w:style w:type="character" w:customStyle="1" w:styleId="a8">
    <w:name w:val="Основной текст Знак"/>
    <w:link w:val="a7"/>
    <w:uiPriority w:val="99"/>
    <w:semiHidden/>
    <w:rsid w:val="00451944"/>
    <w:rPr>
      <w:rFonts w:ascii="Arial" w:eastAsia="SimSun" w:hAnsi="Arial" w:cs="Times New Roman"/>
      <w:sz w:val="24"/>
      <w:szCs w:val="20"/>
      <w:lang w:val="en-GB" w:eastAsia="zh-CN"/>
    </w:rPr>
  </w:style>
  <w:style w:type="paragraph" w:customStyle="1" w:styleId="1">
    <w:name w:val="Абзац списка1"/>
    <w:basedOn w:val="a"/>
    <w:uiPriority w:val="34"/>
    <w:qFormat/>
    <w:rsid w:val="00451944"/>
    <w:pPr>
      <w:spacing w:after="0" w:line="240" w:lineRule="auto"/>
      <w:ind w:left="720"/>
      <w:contextualSpacing/>
    </w:pPr>
    <w:rPr>
      <w:lang w:eastAsia="uk-UA"/>
    </w:rPr>
  </w:style>
  <w:style w:type="character" w:customStyle="1" w:styleId="hps">
    <w:name w:val="hps"/>
    <w:rsid w:val="00A57A77"/>
  </w:style>
  <w:style w:type="character" w:styleId="a9">
    <w:name w:val="Strong"/>
    <w:qFormat/>
    <w:rsid w:val="00416C57"/>
    <w:rPr>
      <w:b/>
      <w:bCs/>
    </w:rPr>
  </w:style>
  <w:style w:type="character" w:customStyle="1" w:styleId="tx1">
    <w:name w:val="tx1"/>
    <w:rsid w:val="0030716F"/>
    <w:rPr>
      <w:b/>
      <w:bCs/>
    </w:rPr>
  </w:style>
  <w:style w:type="paragraph" w:styleId="aa">
    <w:name w:val="header"/>
    <w:basedOn w:val="a"/>
    <w:link w:val="ab"/>
    <w:uiPriority w:val="99"/>
    <w:unhideWhenUsed/>
    <w:rsid w:val="00E71D4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E71D4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71D4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E71D4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842C0"/>
    <w:pPr>
      <w:spacing w:line="259" w:lineRule="auto"/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605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9605B8"/>
    <w:rPr>
      <w:sz w:val="16"/>
      <w:szCs w:val="16"/>
      <w:lang w:eastAsia="en-US"/>
    </w:rPr>
  </w:style>
  <w:style w:type="table" w:customStyle="1" w:styleId="4">
    <w:name w:val="Сетка таблицы4"/>
    <w:basedOn w:val="a1"/>
    <w:next w:val="a4"/>
    <w:uiPriority w:val="39"/>
    <w:rsid w:val="00960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9605B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9605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4B87-4688-4293-9B62-46170F41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42</Pages>
  <Words>38961</Words>
  <Characters>22209</Characters>
  <Application>Microsoft Office Word</Application>
  <DocSecurity>0</DocSecurity>
  <Lines>185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61048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Александрина Лія Ігоревна</dc:creator>
  <cp:lastModifiedBy>Наталія Гуцал</cp:lastModifiedBy>
  <cp:revision>6</cp:revision>
  <cp:lastPrinted>2016-10-04T08:21:00Z</cp:lastPrinted>
  <dcterms:created xsi:type="dcterms:W3CDTF">2019-11-12T13:26:00Z</dcterms:created>
  <dcterms:modified xsi:type="dcterms:W3CDTF">2019-11-12T13:41:00Z</dcterms:modified>
</cp:coreProperties>
</file>