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83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733"/>
      </w:tblGrid>
      <w:tr w:rsidR="002F13D0" w:rsidRPr="00DE39B2" w:rsidTr="000B2C60">
        <w:trPr>
          <w:gridBefore w:val="2"/>
          <w:wBefore w:w="11307" w:type="dxa"/>
          <w:trHeight w:val="1702"/>
        </w:trPr>
        <w:tc>
          <w:tcPr>
            <w:tcW w:w="15276" w:type="dxa"/>
            <w:gridSpan w:val="2"/>
          </w:tcPr>
          <w:p w:rsidR="002F13D0" w:rsidRPr="00DE39B2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F13D0" w:rsidRPr="00DE39B2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  <w:p w:rsidR="002F13D0" w:rsidRPr="00DE39B2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2F13D0" w:rsidRPr="00DE39B2" w:rsidRDefault="002F13D0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2F13D0" w:rsidRPr="00D604D1" w:rsidRDefault="00D604D1" w:rsidP="00D60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02.10.2019 </w:t>
            </w:r>
            <w:r w:rsidR="002F13D0"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№</w:t>
            </w: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2007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033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Оновлений протокол клінічного випробування D3741C00007, версія 2.0 від 26 квітня 2019 року;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Брошура дослідника для AZD7594, видання 7 від 17 травня 2019 року; Форма інформованої згоди для участі в клінічному науковому дослідженні, Модель для України / версія 3.0 від 28 травня 2019 року (російською та українською мовами)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3D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ві</w:t>
            </w:r>
            <w:r w:rsidR="003D5AD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02.01.2019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подвійне сліпе плацебо-контрольоване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дослідження фази 2b, що проводиться у паралельних групах для оцінки ефективності та безпечності багаторазових рівнів доз інгалятора сухого порошку AZD7594 при його застосуванні один раз на добу протягом дванадцяти тижнів, порівняно з плацебо, у хворих з симптомами астми із застосуванням низьких доз ІКС (інгаляційних кортикостероїдів)», код дослідження D3741C00007, версія 1.0 від 25 травня 2018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 «ПАРЕКСЕЛ Україна»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АстраЗенека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АБ», Швеція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73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4C7E" w:rsidRPr="00DE39B2" w:rsidRDefault="00DA4C7E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DE39B2" w:rsidRDefault="007F6DD4" w:rsidP="00DA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DE39B2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DE39B2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DE39B2" w:rsidRDefault="000B2C60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157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1307"/>
      </w:tblGrid>
      <w:tr w:rsidR="0014473A" w:rsidRPr="00DE39B2" w:rsidTr="000B2C60">
        <w:trPr>
          <w:gridBefore w:val="2"/>
          <w:wBefore w:w="11165" w:type="dxa"/>
          <w:trHeight w:val="1426"/>
        </w:trPr>
        <w:tc>
          <w:tcPr>
            <w:tcW w:w="14992" w:type="dxa"/>
            <w:gridSpan w:val="2"/>
          </w:tcPr>
          <w:p w:rsidR="0014473A" w:rsidRPr="00DE39B2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  <w:p w:rsidR="0014473A" w:rsidRPr="00DE39B2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DE39B2" w:rsidRDefault="00D35CAF" w:rsidP="005C6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  <w:r w:rsidR="0014473A"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033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Інформаційний листок пацієнта та форма інформованої згоди, версія 3.0 від 22 травня 2019 року українською, російською та англійською мовами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1070 від 14.05.2019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«ПОДОВЖЕНЕ ДОСЛІДЖЕННЯ SPIRIT: Міжнародне, відкрите, подовжене дослідження фази 3 з однією групою для оцінки безпечності та ефективності застосування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релуголіксу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разом із низькими дозами естрадіолу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норетиндрону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ацетату у жінок із болем, пов’язаним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ендометріозом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код дослідження MVT-601-3103, з поправкою 2 від 11 грудня 2018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ТOВАРИСТВО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Myovant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0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68E4" w:rsidRPr="00DE39B2" w:rsidRDefault="005C68E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DE39B2" w:rsidRDefault="007F6DD4" w:rsidP="005C6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3D" w:rsidRPr="00DE39B2" w:rsidRDefault="006C343D" w:rsidP="006C3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6867A5" w:rsidRPr="00DE39B2" w:rsidRDefault="006C343D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6C343D" w:rsidRPr="00DE39B2" w:rsidRDefault="000B2C60" w:rsidP="006C34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DE39B2" w:rsidTr="000B2C60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14473A" w:rsidRPr="00D604D1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604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DE39B2" w:rsidRDefault="00D35CAF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033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Брошура дослідника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видання 9 від 24 червня 2019 року, англійською мовою; подовження тривалості клінічного дослідження в Україні до 31 жовтня 2020 року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«Довгострокове дослідження наслідків для оцінки зниження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резидуального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ризику при застосуванні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статину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сполученні з препаратом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Епанова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пацієнтів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гіпертригліцеридемією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з високим серцево-судинним ризиком («STRENGTH»)», код дослідження D5881C00004, версія 4.0 від травня 2015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AstraZeneca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AB, Швеція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DE39B2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3A3" w:rsidRPr="00DE39B2" w:rsidRDefault="009703A3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C33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0B2C60" w:rsidRPr="00DE39B2" w:rsidRDefault="000B2C60">
      <w:r w:rsidRPr="00DE39B2">
        <w:br w:type="page"/>
      </w:r>
    </w:p>
    <w:tbl>
      <w:tblPr>
        <w:tblW w:w="26441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591"/>
      </w:tblGrid>
      <w:tr w:rsidR="0014473A" w:rsidRPr="00DE39B2" w:rsidTr="000B2C60">
        <w:trPr>
          <w:gridBefore w:val="2"/>
          <w:wBefore w:w="11307" w:type="dxa"/>
          <w:trHeight w:val="1426"/>
        </w:trPr>
        <w:tc>
          <w:tcPr>
            <w:tcW w:w="15134" w:type="dxa"/>
            <w:gridSpan w:val="2"/>
          </w:tcPr>
          <w:p w:rsidR="008223EB" w:rsidRPr="00DE39B2" w:rsidRDefault="008223EB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4473A" w:rsidRPr="00D604D1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604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Default="00D35CAF" w:rsidP="0014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D35CAF" w:rsidRPr="00DE39B2" w:rsidRDefault="00D35CAF" w:rsidP="0014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033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Коротка характеристика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Карбоплатин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10 мг/мл, концентрат для приготування розчину для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від 20 листопада 2018 року; Коротка характеристика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Паклітаксел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6 мг/мл, концентрат для приготування розчину для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від 23 грудня 2016 року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плацебо-контрольоване дослідження фази 3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карбоплатину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паклітакселу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з ПАРП інгібітором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веліпарибом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та без ПАРП інгібітору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веліпарибу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(АВТ-888) при HER2-негативному метастатичному або локально поширеному неоперабельному BRCA-асоційованому раку молочної залози»; код дослідження M12-914, з інкорпорованими адміністративними змінами 1 та 2 та поправками №1, №2 та №3 від 17 червня 2016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ЕббВі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Біофармасьютікалз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AbbVie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., USA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59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DE39B2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DE39B2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DE39B2" w:rsidRDefault="000B2C60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DE39B2" w:rsidTr="000B2C60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DE39B2" w:rsidRDefault="00D35CAF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3D5AD8" w:rsidRDefault="003D5AD8" w:rsidP="00033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D8">
              <w:rPr>
                <w:rFonts w:ascii="Times New Roman" w:hAnsi="Times New Roman"/>
                <w:sz w:val="24"/>
                <w:szCs w:val="24"/>
              </w:rPr>
              <w:t xml:space="preserve">Досьє досліджуваного лікарського засобу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Нірапариб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, редакція 9.0 від 14 червня 2019 р.; Зразок етикетки для флакону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нірапарибу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100 мг або плацебо, остаточна редакція 2.0 для України від 26 липня 2019 р., остаточний переклад з англійської мови на українську від 02 серпня 2019 р.; Додання нового (додаткового) виробника «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Quotient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Philadelphia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>, LLC» (раніше «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Charles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River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Laboratories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Contract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Manufacturing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PA, LLC» і «QS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Pharma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, LLC»), США, досліджуваних лікарських засобів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Нірапариб</w:t>
            </w:r>
            <w:proofErr w:type="spellEnd"/>
            <w:r w:rsidRPr="003D5AD8">
              <w:rPr>
                <w:rFonts w:ascii="Times New Roman" w:hAnsi="Times New Roman"/>
                <w:sz w:val="24"/>
                <w:szCs w:val="24"/>
              </w:rPr>
              <w:t xml:space="preserve"> та плацебо до </w:t>
            </w:r>
            <w:proofErr w:type="spellStart"/>
            <w:r w:rsidRPr="003D5AD8">
              <w:rPr>
                <w:rFonts w:ascii="Times New Roman" w:hAnsi="Times New Roman"/>
                <w:sz w:val="24"/>
                <w:szCs w:val="24"/>
              </w:rPr>
              <w:t>Нірапарибу</w:t>
            </w:r>
            <w:proofErr w:type="spellEnd"/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757 від 04.07.2017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подвійно сліпе плацебо-контрольоване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дослідження 3 фази з оцінки підтримуючої терапії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нірапарибом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код дослідження PR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noBreakHyphen/>
              <w:t>30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noBreakHyphen/>
              <w:t>5017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noBreakHyphen/>
              <w:t>C, редакція 4.0 з Поправкою №3 від 12 лютого 2018 р.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«ПІ ЕС АЙ-УКРАЇНА»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«ТЕСАРО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Інкорпорейтед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США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721E2F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DE39B2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DE39B2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0D1AC8" w:rsidRPr="00DE39B2" w:rsidRDefault="000B2C60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DE39B2" w:rsidTr="000B2C60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D604D1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604D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DE39B2" w:rsidRDefault="00D35CAF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F41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Збільшення кількості досліджуваних в Україні від попередньо запланованої з 2024 до 2700 осіб; Залучення ТОВ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Синексус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Україна» для виконання певних обов’язків, пов’язаних із проведенням клінічного випробування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581 від 31.05.2017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CA7380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«Застосування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пемафібрату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для зменшення серцево-судинних ускладнень за рахунок зниження рівня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тригліцеридів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пацієнтів із цукровим діабетом», код випробування K-877-302, версія 2 від 27 березня 2017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033A56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CA7380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Kowa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United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States</w:t>
            </w:r>
            <w:proofErr w:type="spellEnd"/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DE39B2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DE39B2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DE39B2" w:rsidRDefault="000B2C60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6299" w:type="dxa"/>
        <w:tblLook w:val="01E0" w:firstRow="1" w:lastRow="1" w:firstColumn="1" w:lastColumn="1" w:noHBand="0" w:noVBand="0"/>
      </w:tblPr>
      <w:tblGrid>
        <w:gridCol w:w="2344"/>
        <w:gridCol w:w="8963"/>
        <w:gridCol w:w="3543"/>
        <w:gridCol w:w="11449"/>
      </w:tblGrid>
      <w:tr w:rsidR="0014473A" w:rsidRPr="00DE39B2" w:rsidTr="000B2C60">
        <w:trPr>
          <w:gridBefore w:val="2"/>
          <w:wBefore w:w="11307" w:type="dxa"/>
          <w:trHeight w:val="1426"/>
        </w:trPr>
        <w:tc>
          <w:tcPr>
            <w:tcW w:w="14992" w:type="dxa"/>
            <w:gridSpan w:val="2"/>
          </w:tcPr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</w:p>
          <w:p w:rsidR="0014473A" w:rsidRPr="00DE39B2" w:rsidRDefault="00D35CAF" w:rsidP="00D82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E37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Інформаційний листок пацієнта та форма інформованої згоди, версія 3.0 від 22 травня 2019 року українською, російською та англійською мовами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466 від 13.03.2018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450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«SPIRIT 1: Міжнародне,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дослідження фази 3 для оцінки ефективності та безпеки застосування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релуголіксу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разом із низькими дозами естрадіолу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норетиндрону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ацетату та без них у жінок із болем, пов'язаним з 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ендометріозом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код дослідження MVT-601-3101, з поправкою 1 від 12 березня 2018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ТOВАРИСТВО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Myovant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44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1AC8" w:rsidRPr="00DE39B2" w:rsidRDefault="000D1AC8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7F6DD4" w:rsidRPr="00DE39B2" w:rsidRDefault="007F6DD4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732" w:type="dxa"/>
        <w:tblLook w:val="01E0" w:firstRow="1" w:lastRow="1" w:firstColumn="1" w:lastColumn="1" w:noHBand="0" w:noVBand="0"/>
      </w:tblPr>
      <w:tblGrid>
        <w:gridCol w:w="2344"/>
        <w:gridCol w:w="8396"/>
        <w:gridCol w:w="4110"/>
        <w:gridCol w:w="10882"/>
      </w:tblGrid>
      <w:tr w:rsidR="0014473A" w:rsidRPr="00DE39B2" w:rsidTr="000B2C60">
        <w:trPr>
          <w:gridBefore w:val="2"/>
          <w:wBefore w:w="10740" w:type="dxa"/>
          <w:trHeight w:val="568"/>
        </w:trPr>
        <w:tc>
          <w:tcPr>
            <w:tcW w:w="14992" w:type="dxa"/>
            <w:gridSpan w:val="2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E37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Збільшення кількості пацієнтів в Україні з 60 до 80 осіб (20 осіб)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505 від 12.08.2015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плацебо-контрольоване дослідження в паралельних групах для вивчення ефективності та безпечності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Лакосаміду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 якості допоміжної терапії у пацієнтів з епілепсією віком від ≥1 місяця до &lt;4 років з парціальними нападами», код дослідження SP0967, з інкорпорованою поправкою 3 від 05 квітня 2018 року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UCB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Biosciences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., США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2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DD4" w:rsidRPr="00DE39B2" w:rsidRDefault="007F6DD4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7F6D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17036" w:rsidRPr="00DE39B2" w:rsidRDefault="007F6DD4" w:rsidP="000D1A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1288" w:type="dxa"/>
        <w:tblLook w:val="01E0" w:firstRow="1" w:lastRow="1" w:firstColumn="1" w:lastColumn="1" w:noHBand="0" w:noVBand="0"/>
      </w:tblPr>
      <w:tblGrid>
        <w:gridCol w:w="2344"/>
        <w:gridCol w:w="8571"/>
        <w:gridCol w:w="3935"/>
        <w:gridCol w:w="6438"/>
      </w:tblGrid>
      <w:tr w:rsidR="00A77E69" w:rsidRPr="00DE39B2" w:rsidTr="000B2C60">
        <w:trPr>
          <w:trHeight w:val="568"/>
        </w:trPr>
        <w:tc>
          <w:tcPr>
            <w:tcW w:w="10915" w:type="dxa"/>
            <w:gridSpan w:val="2"/>
          </w:tcPr>
          <w:p w:rsidR="00A77E69" w:rsidRPr="00DE39B2" w:rsidRDefault="00A7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73" w:type="dxa"/>
            <w:gridSpan w:val="2"/>
          </w:tcPr>
          <w:p w:rsidR="00A77E69" w:rsidRPr="00DE39B2" w:rsidRDefault="00313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</w:t>
            </w:r>
            <w:r w:rsidR="00A77E69"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7448F"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A77E69" w:rsidRPr="00DE39B2" w:rsidRDefault="007D65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</w:t>
            </w:r>
            <w:r w:rsidR="00A77E69"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охорони</w:t>
            </w:r>
          </w:p>
          <w:p w:rsidR="00A77E69" w:rsidRPr="00DE39B2" w:rsidRDefault="00A77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="00D03332"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7E69" w:rsidRPr="00DE39B2" w:rsidRDefault="00D35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A77E69" w:rsidRPr="00DE39B2" w:rsidRDefault="00A77E69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Зміна заявника в Україні з ТОВ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Кованс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Клінікал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Періепрувал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Сервісез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вул. М. Грінченка, 4, 2-й поверх, бізнес центр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Регус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Горизонт Парк», м. Київ, 03680, Україна на ТОВ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Інтернешнл Україна», вул. Олени Теліги, 6, корпус 6, м. Київ, 04112, Україна; Зміна назви клінічного випробування на: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подвійне сліпе плацебо- контрольоване 26-тижневе дослідження II фази з вивчення ефективності, безпечності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GLPG1205 у пацієнтів з 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ідіопатичним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легеневим фіброзом»; Інформаційний листок пацієнта та форма інформованої згоди для участі у основному дослідженні, англійською мовою для України версія 2.0 від 11 лютого 2019 року; Інформаційний листок пацієнта та форма інформованої згоди для участі у основному дослідженні, українською мовою для України версія 2.0 від 18 лютого 2019 року; Інформаційний листок пацієнта та форма інформованої згоди для участі у основному дослідженні, російською мовою для України версія 2.0 від 18 лютого 2019 року; Інформаційний листок пацієнта та форма інформованої згоди для участі у необов’язковому генетичному дослідженні, англійською мовою для України версія 2.0 від 12 лютого 2019 року; Інформаційний листок пацієнта та форма інформованої згоди для участі у необов’язковому генетичному дослідженні, українською мовою для України версія 2.0 від 18 лютого 2019 року; Інформаційний листок пацієнта та форма інформованої згоди для участі у необов’язковому генетичному дослідженні, російською мовою для України версія 2.0 від 18 лютого 2019 року; Інформаційний листок та форма інформованої згоди для вагітної партнерки, англійською мовою для України версія 2.0 від 12 лютого 2019 року; Інформаційний листок та форма інформованої згоди для вагітної партнерки, українською мовою для України версія 2.0 від 18 лютого 2019 року; Інформаційний листок та форма інформованої згоди для вагітної партнерки, російською мовою для України версія 2.0 від 18 лютого 2019 року; Картка пацієнта-учасника, англійською мовою для України остаточна версія 2.0 від 25 червня 2019 року; Картка пацієнта-учасника, українською мовою для України остаточна версія 2.0 від 25 червня 2019 року; Картка пацієнта-учасника, російською мовою для України остаточна версія 2.0 від 25 червня 2019 року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1962 від 29.10.2018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подвійне сліпе плацебо- контрольоване 26-тижневе дослідження II фази з вивчення ефективності, безпечності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GLPG1205 у пацієнтів з 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ідіопатичним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фіброзом легень», код дослідження GLPG1205-CL-220, версія 2.00 з поправкою 1 від 24 січня 2019 р.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Чілтерн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Інтернешнл Україна»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Галапагос НВ,  Бельгія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Galapagos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NV,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438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015" w:rsidRPr="00DE39B2" w:rsidRDefault="007E7015" w:rsidP="00A77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DD4" w:rsidRPr="00DE39B2" w:rsidRDefault="007F6DD4" w:rsidP="00A77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223EB" w:rsidRPr="00DE39B2" w:rsidRDefault="000B2C60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873" w:type="dxa"/>
        <w:tblLook w:val="01E0" w:firstRow="1" w:lastRow="1" w:firstColumn="1" w:lastColumn="1" w:noHBand="0" w:noVBand="0"/>
      </w:tblPr>
      <w:tblGrid>
        <w:gridCol w:w="2344"/>
        <w:gridCol w:w="8537"/>
        <w:gridCol w:w="3969"/>
        <w:gridCol w:w="11023"/>
      </w:tblGrid>
      <w:tr w:rsidR="0014473A" w:rsidRPr="00DE39B2" w:rsidTr="000B2C60">
        <w:trPr>
          <w:gridBefore w:val="2"/>
          <w:wBefore w:w="10881" w:type="dxa"/>
          <w:trHeight w:val="568"/>
        </w:trPr>
        <w:tc>
          <w:tcPr>
            <w:tcW w:w="14992" w:type="dxa"/>
            <w:gridSpan w:val="2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7" w:rsidRPr="00DE39B2" w:rsidRDefault="00E37647" w:rsidP="00E376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Оновлений Протокол клінічного дослідження EGC002, остаточна редакція згідно з Поправкою 3 від 05 квітня 2019 р.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Синопсис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оновленого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proofErr w:type="gram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EGC002,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остаточна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редакція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Поправкою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05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р.,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остаточний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українську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мову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 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р.;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Додання препарату системної терапії, який буде ввозитися на митну територію України та постачатися до дослідницьких центрів: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Паклітаксел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Paclitaxel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 6 мг/мл, концентрат для приготування розчину для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виробництва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Thymoorgan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Pharmazie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», Німеччина; Зразок етикетки для зовнішньої упаковки препарату системної терапії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Паклітаксел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6 мг/мл, концентрат для приготування розчину для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остаточна редакція 3.0 для України від 31 січня 2019 р., остаточний переклад українською мовою від 11 лютого 2019 р.; Включення додаткових місць проведення клінічного дослідження</w:t>
            </w:r>
            <w:r w:rsidR="00E105A6" w:rsidRPr="00DE39B2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1224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682"/>
            </w:tblGrid>
            <w:tr w:rsidR="00E37647" w:rsidRPr="00DE39B2" w:rsidTr="00E105A6">
              <w:trPr>
                <w:cantSplit/>
                <w:trHeight w:val="348"/>
              </w:trPr>
              <w:tc>
                <w:tcPr>
                  <w:tcW w:w="567" w:type="dxa"/>
                </w:tcPr>
                <w:p w:rsidR="00E37647" w:rsidRPr="00DE39B2" w:rsidRDefault="00E37647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37647" w:rsidRPr="00DE39B2" w:rsidRDefault="00E37647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682" w:type="dxa"/>
                </w:tcPr>
                <w:p w:rsidR="00E37647" w:rsidRPr="00DE39B2" w:rsidRDefault="00E37647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E37647" w:rsidRPr="00DE39B2" w:rsidRDefault="00E37647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E37647" w:rsidRPr="00DE39B2" w:rsidTr="00E105A6">
              <w:trPr>
                <w:cantSplit/>
                <w:trHeight w:val="379"/>
              </w:trPr>
              <w:tc>
                <w:tcPr>
                  <w:tcW w:w="567" w:type="dxa"/>
                </w:tcPr>
                <w:p w:rsidR="00E37647" w:rsidRPr="00DE39B2" w:rsidRDefault="00E37647" w:rsidP="00E3764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2" w:type="dxa"/>
                </w:tcPr>
                <w:p w:rsidR="00E37647" w:rsidRPr="00DE39B2" w:rsidRDefault="00E37647" w:rsidP="00E376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. </w:t>
                  </w: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Псарас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Г.Г.</w:t>
                  </w:r>
                </w:p>
                <w:p w:rsidR="00E37647" w:rsidRPr="00DE39B2" w:rsidRDefault="00E37647" w:rsidP="00E376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Комунальна лікувально-профілактична установа «Міський міжрайонний онкологічний диспансер м. Маріуполя», хірургічне відділення №2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м. Маріуполь</w:t>
                  </w:r>
                </w:p>
              </w:tc>
            </w:tr>
            <w:tr w:rsidR="00E37647" w:rsidRPr="00DE39B2" w:rsidTr="00E105A6">
              <w:trPr>
                <w:cantSplit/>
                <w:trHeight w:val="379"/>
              </w:trPr>
              <w:tc>
                <w:tcPr>
                  <w:tcW w:w="567" w:type="dxa"/>
                </w:tcPr>
                <w:p w:rsidR="00E37647" w:rsidRPr="00DE39B2" w:rsidRDefault="00E37647" w:rsidP="00E3764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2" w:type="dxa"/>
                </w:tcPr>
                <w:p w:rsidR="00E37647" w:rsidRPr="00DE39B2" w:rsidRDefault="00E37647" w:rsidP="00E376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лікар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Ліпецька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О.П.</w:t>
                  </w:r>
                </w:p>
                <w:p w:rsidR="00E37647" w:rsidRPr="00DE39B2" w:rsidRDefault="00E37647" w:rsidP="00E376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Комунальна установа «Обласний онкологічний диспансер» Житомирської обласної ради, хіміотерапевтичне відділення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м. Житомир</w:t>
                  </w:r>
                </w:p>
              </w:tc>
            </w:tr>
            <w:tr w:rsidR="00E37647" w:rsidRPr="00DE39B2" w:rsidTr="00E105A6">
              <w:trPr>
                <w:cantSplit/>
                <w:trHeight w:val="379"/>
              </w:trPr>
              <w:tc>
                <w:tcPr>
                  <w:tcW w:w="567" w:type="dxa"/>
                </w:tcPr>
                <w:p w:rsidR="00E37647" w:rsidRPr="00DE39B2" w:rsidRDefault="00E37647" w:rsidP="00E3764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2" w:type="dxa"/>
                </w:tcPr>
                <w:p w:rsidR="00E37647" w:rsidRPr="00DE39B2" w:rsidRDefault="00E37647" w:rsidP="00E376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проф.</w:t>
                  </w:r>
                  <w:r w:rsidRPr="00DE39B2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Чешук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В.Є.</w:t>
                  </w:r>
                </w:p>
                <w:p w:rsidR="00E37647" w:rsidRPr="00DE39B2" w:rsidRDefault="00E37647" w:rsidP="00E376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Київська міська клінічна лікарня №2, хіміотерапевтичне відділення денного перебування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, 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м. Київ</w:t>
                  </w:r>
                </w:p>
              </w:tc>
            </w:tr>
          </w:tbl>
          <w:p w:rsidR="000B2C60" w:rsidRPr="00D604D1" w:rsidRDefault="000B2C60" w:rsidP="00E37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1399 від 27.07.2</w:t>
            </w:r>
            <w:r w:rsidR="00277D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подвійно сліпе порівняльне дослідження ефективності та безпечності препарату EG12014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трастузумабу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ЕйрДженікс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») 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Герцептину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® при проведенні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неоад’ювантної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терапії пацієнткам із HER2-позитивним раком молочної залози ранньої стадії у поєднанні із системною терапією на основі препарату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антрациклінового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ряду 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паклітакселу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(ІІІ фаза клінічних досліджень)», код дослідження EGC002, остаточна редакція згідно з Поправкою 2 від 05 квітня 2018 р.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«ПІ ЕС АЙ-УКРАЇНА»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E37647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ЕйрДженікс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Інкорпорейтед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EirGenix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.), Тайвань, Республіка Китай</w:t>
            </w:r>
          </w:p>
        </w:tc>
      </w:tr>
      <w:tr w:rsidR="000B2C60" w:rsidRPr="00DE39B2" w:rsidTr="000B2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60" w:rsidRPr="00DE39B2" w:rsidRDefault="000B2C60" w:rsidP="00C92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0" w:rsidRPr="00DE39B2" w:rsidRDefault="00450B91" w:rsidP="00C9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2A92" w:rsidRPr="00DE39B2" w:rsidRDefault="00BC2A92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A92" w:rsidRPr="00DE39B2" w:rsidRDefault="00BC2A92" w:rsidP="00BC2A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731" w:type="dxa"/>
        <w:tblLook w:val="01E0" w:firstRow="1" w:lastRow="1" w:firstColumn="1" w:lastColumn="1" w:noHBand="0" w:noVBand="0"/>
      </w:tblPr>
      <w:tblGrid>
        <w:gridCol w:w="2344"/>
        <w:gridCol w:w="8537"/>
        <w:gridCol w:w="3969"/>
        <w:gridCol w:w="10881"/>
      </w:tblGrid>
      <w:tr w:rsidR="0014473A" w:rsidRPr="00DE39B2" w:rsidTr="00883F45">
        <w:trPr>
          <w:gridBefore w:val="2"/>
          <w:wBefore w:w="10881" w:type="dxa"/>
          <w:trHeight w:val="568"/>
        </w:trPr>
        <w:tc>
          <w:tcPr>
            <w:tcW w:w="14850" w:type="dxa"/>
            <w:gridSpan w:val="2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6" w:rsidRPr="00DE39B2" w:rsidRDefault="00E105A6" w:rsidP="00E10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Включення додаткового місця проведення клінічного випробування в Україні: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1740"/>
            </w:tblGrid>
            <w:tr w:rsidR="00E105A6" w:rsidRPr="00DE39B2" w:rsidTr="00E105A6">
              <w:tc>
                <w:tcPr>
                  <w:tcW w:w="486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766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E105A6" w:rsidRPr="00DE39B2" w:rsidTr="00E105A6">
              <w:tc>
                <w:tcPr>
                  <w:tcW w:w="486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66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д.м.н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., проф. Дудник В.М.</w:t>
                  </w:r>
                </w:p>
                <w:p w:rsidR="00E105A6" w:rsidRPr="00DE39B2" w:rsidRDefault="00E105A6" w:rsidP="00E10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Вінницька обласна дитяча клінічна лікарня, відділення педіатрії №2, Вінницький національний медичний університет ім. М.І. Пирогова, кафедра педіатрії №2, м. Вінниця</w:t>
                  </w:r>
                </w:p>
              </w:tc>
            </w:tr>
          </w:tbl>
          <w:p w:rsidR="00883F45" w:rsidRPr="00DE39B2" w:rsidRDefault="00883F45" w:rsidP="00E1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540 від 07.03.2019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1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багатонаціональне,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контрольоване за допомогою активного препарату дослідження для оцінки ефективності та безпеки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карбоксимальтози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заліза для внутрішньовенного введення у дітей із залізодефіцитною анемією», код випробування 1VIT17044, від 20 квітня 2017 р. з інкорпорованою Поправкою 2 від </w:t>
            </w:r>
            <w:r w:rsidR="00277D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13 березня 2019 року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«КЦР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Україна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Амерікан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Реджент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Інк.»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Regent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.), США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81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25873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11023"/>
      </w:tblGrid>
      <w:tr w:rsidR="0014473A" w:rsidRPr="00DE39B2" w:rsidTr="00883F45">
        <w:trPr>
          <w:gridBefore w:val="2"/>
          <w:wBefore w:w="11023" w:type="dxa"/>
          <w:trHeight w:val="568"/>
        </w:trPr>
        <w:tc>
          <w:tcPr>
            <w:tcW w:w="14850" w:type="dxa"/>
            <w:gridSpan w:val="2"/>
          </w:tcPr>
          <w:p w:rsidR="0014473A" w:rsidRPr="00DE39B2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12</w:t>
            </w:r>
          </w:p>
          <w:p w:rsidR="0014473A" w:rsidRPr="00DE39B2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6" w:rsidRPr="00DE39B2" w:rsidRDefault="00E105A6" w:rsidP="00E105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Залучення додаткового місця проведення клінічного випробування: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11543"/>
            </w:tblGrid>
            <w:tr w:rsidR="00E105A6" w:rsidRPr="00DE39B2" w:rsidTr="00E105A6">
              <w:tc>
                <w:tcPr>
                  <w:tcW w:w="567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1543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П.І.Б. відповідального дослідника</w:t>
                  </w:r>
                </w:p>
                <w:p w:rsidR="00E105A6" w:rsidRPr="00DE39B2" w:rsidRDefault="00E105A6" w:rsidP="00E105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Назва місця проведення клінічного випробування</w:t>
                  </w:r>
                </w:p>
              </w:tc>
            </w:tr>
            <w:tr w:rsidR="00E105A6" w:rsidRPr="00DE39B2" w:rsidTr="00E105A6">
              <w:tc>
                <w:tcPr>
                  <w:tcW w:w="567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43" w:type="dxa"/>
                  <w:shd w:val="clear" w:color="auto" w:fill="auto"/>
                </w:tcPr>
                <w:p w:rsidR="00E105A6" w:rsidRPr="00DE39B2" w:rsidRDefault="00E105A6" w:rsidP="00E10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к.м.н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Вишиванюк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В.Ю. </w:t>
                  </w:r>
                </w:p>
                <w:p w:rsidR="00E105A6" w:rsidRPr="00DE39B2" w:rsidRDefault="00E105A6" w:rsidP="00E10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Обласна клінічна лікарня,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імені академіка </w:t>
                  </w:r>
                  <w:r w:rsidR="00277DEB" w:rsidRPr="00277D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 xml:space="preserve">Є.М. </w:t>
                  </w:r>
                  <w:proofErr w:type="spellStart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Нейка</w:t>
                  </w:r>
                  <w:proofErr w:type="spellEnd"/>
                  <w:r w:rsidRPr="00DE39B2">
                    <w:rPr>
                      <w:rFonts w:ascii="Times New Roman" w:hAnsi="Times New Roman"/>
                      <w:sz w:val="24"/>
                      <w:szCs w:val="24"/>
                    </w:rPr>
                    <w:t>, м. Івано-Франківськ</w:t>
                  </w:r>
                </w:p>
              </w:tc>
            </w:tr>
          </w:tbl>
          <w:p w:rsidR="00883F45" w:rsidRPr="00DE39B2" w:rsidRDefault="00883F45" w:rsidP="00E1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Відкрите, Подовжене Дослідження III Фази для Оцінки Довготривалої Ефективності та Безпечності Застосування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Мірікізумабу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Пацієнтів із Виразковим Колітом Помірного та Тяжкого Перебігу (LUCENT 3)», код дослідження I6T-MC-AMAP, ініціальна версія від  15 березня 2018 року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«Елі Ліллі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Восток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СА», Швейцарія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Елі Ліллі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Компані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США /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Eli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Lilly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USA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023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5384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534"/>
      </w:tblGrid>
      <w:tr w:rsidR="0014473A" w:rsidRPr="00DE39B2" w:rsidTr="00883F45">
        <w:trPr>
          <w:gridBefore w:val="2"/>
          <w:wBefore w:w="11023" w:type="dxa"/>
          <w:trHeight w:val="568"/>
        </w:trPr>
        <w:tc>
          <w:tcPr>
            <w:tcW w:w="4361" w:type="dxa"/>
            <w:gridSpan w:val="2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13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10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Оновлена брошура дослідника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Dabigatran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Etexilate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- BIBR 1048MS) версія 23 від 19 червня 2019 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«Відкрите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з паралельними групами, активно-контрольоване,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дослідження відсутності меншої ефективності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дабігатрану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етексилату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 порівнянні з стандартом лікування венозної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тромбоемболії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дітей від народження до 18 років. DIVERSITY», код дослідження 1160.106, версія 10.0 від 06 лютого 2019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ТОВ «ДОКУМЕДС» («СІА ДОКУМЕДС»), Латвія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E105A6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Boehringer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Ingelheim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RCV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KG, Австрія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4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hAnsi="Times New Roman"/>
          <w:sz w:val="24"/>
          <w:szCs w:val="24"/>
        </w:rPr>
        <w:br w:type="page"/>
      </w:r>
    </w:p>
    <w:tbl>
      <w:tblPr>
        <w:tblW w:w="14959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  <w:gridCol w:w="109"/>
      </w:tblGrid>
      <w:tr w:rsidR="0014473A" w:rsidRPr="00DE39B2" w:rsidTr="00883F45">
        <w:trPr>
          <w:gridBefore w:val="2"/>
          <w:wBefore w:w="11023" w:type="dxa"/>
          <w:trHeight w:val="568"/>
        </w:trPr>
        <w:tc>
          <w:tcPr>
            <w:tcW w:w="3936" w:type="dxa"/>
            <w:gridSpan w:val="2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53269D" w:rsidP="008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Оновлена брошура дослідника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Dabigatran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Etexilate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- BIBR 1048MS) версія 23 від 19 червня 2019 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«Відкрите непорівняльне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проспективне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когортне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дослідження безпеки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дабігатрану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етексилату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для вторинної профілактики венозної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тромбоемболії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дітей від народження до 18 років», код дослідження 1160.108, версія 9.0 від </w:t>
            </w:r>
            <w:r w:rsidR="008D637B" w:rsidRPr="008D63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07 лютого 2019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ТОВ «ДОКУМЕДС» («СІА ДОКУМЕДС»), Латвія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Boehringer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Ingelheim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RCV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KG, Австрія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9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27"/>
      </w:tblGrid>
      <w:tr w:rsidR="0014473A" w:rsidRPr="00DE39B2" w:rsidTr="00883F45">
        <w:trPr>
          <w:gridBefore w:val="2"/>
          <w:wBefore w:w="11023" w:type="dxa"/>
          <w:trHeight w:val="568"/>
        </w:trPr>
        <w:tc>
          <w:tcPr>
            <w:tcW w:w="3827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8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Європейська коротка характеристика (EU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SmPC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Nexavar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Sorafenib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«AG-013736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Акситиніб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 для лікування метастатичного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нирково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-клітинного раку», код дослідження 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A4061051, остаточна версія протоколу з поправкою №6 від 18 грудня 2012 року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 «ПАРЕКСЕЛ Україна»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8F4AD8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Файзер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Інк., США</w:t>
            </w:r>
          </w:p>
        </w:tc>
      </w:tr>
      <w:tr w:rsidR="00883F45" w:rsidRPr="00DE39B2" w:rsidTr="0088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45" w:rsidRPr="00DE39B2" w:rsidRDefault="00883F45" w:rsidP="00EB1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45" w:rsidRPr="00DE39B2" w:rsidRDefault="00450B91" w:rsidP="00EB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  <w:p w:rsidR="0014473A" w:rsidRPr="00DE39B2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954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954B4D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Продовження терміну зберігання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Пепті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10,8 мг з 07/2019 по 03/2020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415 від 18.02.2019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«ПРОСТЕ СЛІПЕ ДОСЛІДЖЕННЯ В ПАРАЛЕЛЬНИХ ГРУПАХ ДЛЯ ПОРІВНЯННЯ ФАРМАКОКІНЕТИЧНИХ ПРОФІЛІВ І ФАРМАКОДИНАМІЧНОЇ ВІДПОВІДІ НОВОЇ ДЕПО-ФОРМИ ГОЗЕРЕЛІНУ АЦЕТАТУ ПЕПТІ 10,8 МГ, КАПСУЛИ/ІМПЛАНТАТУ ДЛЯ ПІДШКІРНОГО ВВЕДЕННЯ ТА ЗОЛАДЕКСУ 10,8 МГ, КАПСУЛИ/ІМПЛАНТАТУ У АМБУЛАТОРНИХ ПАЦІЄНТІВ З РОЗПОВСЮДЖЕНИМ РАКОМ ПЕРЕДМІХУРОВОЇ ЗАЛОЗИ», код дослідження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Pepti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10.8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K 03, Версія: 4 від 27 серпня 2018 р.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Фармаксі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Клінікал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Рисерч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Україна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95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Peptigroupe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., С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anada</w:t>
            </w:r>
            <w:proofErr w:type="spellEnd"/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95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95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591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8F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Оновлений протокол клінічного дослідження CP40617, версія 2 від 30 травня 2019 р., англійською мовою; Адміністративний /пояснювальний лист № 3 від 24 червня 2019 р. щодо двох типографських помилок, знайдених у протоколі, версія 2, англійською мовою; Брошура дослідника досліджуваного лікарського засобу RO7191686 XOFLUZA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baloxavir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marboxil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), версія 7 від червня 2019 р., англійською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2.1.0 від 20 червня 2019 р., англійською мовою; Інформація для учасника і форма інформованої згоди для малолітніх осіб віком від 12 років до моменту настання повних 14 років, для України, версія 2.1.0 від 20 червня 2019 р., українською мовою;  Інформація для учасника і форма інформованої згоди для малолітніх осіб віком від 12 років до моменту настання повних 14 років, для України, версія 2.1.0 від 20 червня 2019 р., російською мовою; Інформація для учасника і форма інформованої згоди для неповнолітніх осіб віком від 14 років до моменту настання повних 18 років, для України, версія 2.1.0 від 20 червня 2019 р., англійською мовою; Інформація для учасника і форма інформованої згоди для неповнолітніх осіб віком від 14 років до моменту настання повних 18 років, для України, версія 2.1.0 від </w:t>
            </w:r>
            <w:r w:rsidR="00877C80" w:rsidRPr="00877C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20 червня 2019 р., українською мовою; Інформація для учасника і форма інформованої згоди для неповнолітніх осіб віком від 14 років до моменту настання повних 18 років, для України, версія 2.1.0 від 20 червня 2019 р., російською мовою; Інформація для пацієнта та форма інформованої згоди для батьків, для України,  версія 2.1.0 від 25 червня </w:t>
            </w:r>
            <w:r w:rsidR="00877C80" w:rsidRPr="0087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2019 р., англійською мовою; Інформація для пацієнта та форма інформованої згоди для батьків, для України,  версія 2.1.0 від 25 червня 2019 р., українською мовою; Інформація для пацієнта та форма інформованої згоди для батьків, для України,  версія 2.1.0 від 25 червня 2019 р., російською мовою; Інформація для пацієнта та форма інформованої згоди, для України, версія 2.1.0 від 25 червня 2019 р., англійською мовою; Інформація для пацієнта та форма інформованої згоди, для України, версія 2.1.0 від 25 червня 2019 р., українською мовою; Інформація для пацієнта та форма інформованої згоди, для України, версія 2.1.0 від 25 червня 2019 р., російською мовою;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(P 8.1 STABILITY SUMMARY AND CONCLUSIONS [BALOXAVIR MARBOXIL, TABLETS, 20 MG]) англійською мовою;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(Р 8.3 STABILITY DATA[BALOXAVIR MARBOXIL, TABLETS, 20 MG]), англійською мовою; Подовження терміну придатності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Baloxavir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Marboxil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таблетки, вкриті плівковою оболонкою по 20 мг та відповідного плацебо, до 48 місяців;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(P 8.1 STABILITY SUMMARY AND CONCLUSIONS [BALOXAVIR MARBOXIL, GRANULES FOR ORAL SUSPENSION, 2MG/ML]) англійською мовою;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(Р 8.3 STABILITY DATA[BALOXAVIR MARBOXIL, GRANULES FOR ORAL SUSPENSION, 2MG/ML]), англійською мовою; Подовження терміну придатності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lastRenderedPageBreak/>
              <w:t>Baloxavir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Marboxil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(40 мг/20 мл) гранули по 2 г та відповідного плацебо, до 18 місяців;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(S.2.1 MANUFACTURER(S) [BALOXAVIR MARBOXIL]), англійською мовою;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(P.3.1 MANUFACTURER(S) [BALOXAVIR MARBOXIL, GRANULES FOR ORAL SUSPENSION, 2MG/ML]), англійською мовою; Розділ Досьє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(P.3.1 MANUFACTURER(S) [PLACEBO FOR GRANULES FOR ORAL SUSPENSION]), англійською мовою; Зміна назви виробника активної субстанції, досліджуваного лікарського засобу та плацебо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Shionogi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Pharma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Japan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Шионогі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КО, ЛТД, Японія); Оновлене маркування досліджуваного лікарського засобу та плацебо; Опитувальник А: Оцінка смакових якостей та прийнятності досліджуваного препарату, протокол СР40617, версія 1.0 від 30 травня 2019 р., англійською мовою; Опитувальник А: Оцінка смакових якостей та прийнятності досліджуваного препарату, протокол СР40617, версія 1.0 від 30 травня 2019 р., українською мовою; Опитувальник А: Оцінка смакових якостей та прийнятності досліджуваного препарату, протокол СР40617, версія 1.0 від 30 травня 2019 р., російською мовою; Опитувальник В: Оцінка смакових якостей та прийнятності досліджуваного препарату, протокол СР40617, версія 1.0 від 30 травня </w:t>
            </w:r>
            <w:r w:rsidR="00877C80" w:rsidRPr="00877C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2019 р., англійською мовою; Опитувальник В: Оцінка смакових якостей та прийнятності досліджуваного препарату, протокол СР40617, версія 1.0 від 30 травня 2019 р., українською мовою; Опитувальник В: Оцінка смакових якостей та прийнятності досліджуваного препарату, протокол СР40617, версія 1.0 від 30 травня 2019 р., російською мовою; Наочний матеріал для неповнолітнього учасника, версія 1.0, 28 вересня 2018 р. українською мовою; Наочний матеріал щодо RIDT для неповнолітнього учасника, версія 1.1, 18 січня 2019 р. українською мовою; Плакат 43 см х 28 см, версія 1.0, 07 вересня 2018 р., українською мовою; Адаптована для дослідження брошура, версія 1.1, 18 січня 2019 р., українською мовою; Брошура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двозгинним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фальцюванням, версія 1.1, 18 січня 2019 р., українською мовою; Картка для призначення візиту пацієнту, версія 1, 28 вересня 2018 р., українською мовою; Посібник учасника дослідження, версія 1.1, 18 січня 2019 р., українською мовою; Брошура наукового клінічного дослідження, версія 1.0, 31 серпня </w:t>
            </w:r>
            <w:r w:rsidR="00877C80" w:rsidRPr="0087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2018 р., українською мовою; Перекидний буклет ФІЗ, версія 1.1, 18 січня 2019 р., українською мовою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lastRenderedPageBreak/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1016 від 06.05.2019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дослідження фази III для оцін</w:t>
            </w:r>
            <w:r w:rsidR="004F43D2">
              <w:rPr>
                <w:rFonts w:ascii="Times New Roman" w:hAnsi="Times New Roman"/>
                <w:sz w:val="24"/>
                <w:szCs w:val="24"/>
              </w:rPr>
              <w:t xml:space="preserve">ки ефективності та безпечності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препарату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Балоксавір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Марбоксіл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 комбінації зі стандартним лікуванням інгібітором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нейрамінідази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госпіталізованих пацієнтів з важкою формою грипу», код дослідження </w:t>
            </w:r>
            <w:r w:rsidRPr="00DE39B2">
              <w:rPr>
                <w:rFonts w:ascii="Times New Roman" w:hAnsi="Times New Roman"/>
                <w:sz w:val="24"/>
                <w:szCs w:val="24"/>
                <w:lang w:val="en-GB"/>
              </w:rPr>
              <w:t>CP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40617, версія 1 від 17 липня 2018 р.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Default="008F4AD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Контрактно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-дослідницька організація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Іннофарм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-Україна»</w:t>
            </w:r>
          </w:p>
          <w:p w:rsidR="004F43D2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Default="008F4AD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Hoffmann-La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Roche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Ltd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/ Ф.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Хоффманн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-Ля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Рош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Лтд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Швейцарія</w:t>
            </w:r>
          </w:p>
          <w:p w:rsidR="004F43D2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Супутні </w:t>
            </w: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18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DE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Подовження терміну придатності лікарського препарату L-DOS47 з 60 до 72 місяців (на 12 місяців); Оновлене досьє досліджуваного лікарського засобу  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-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DOS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47 версія 7 від 08 липня 2019 року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342 від 26.02.2018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33675696"/>
            <w:r w:rsidRPr="00DE39B2">
              <w:rPr>
                <w:rFonts w:ascii="Times New Roman" w:hAnsi="Times New Roman"/>
                <w:sz w:val="24"/>
                <w:szCs w:val="24"/>
              </w:rPr>
              <w:t>«Фаза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II,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відкрит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імунокон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>'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югату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L-DOS47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у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поєднанні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вінорелбіном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цисплатином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у порівнянні з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вінорелбіном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цисплатином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у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пацієнтів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аденокарциномою</w:t>
            </w:r>
            <w:r w:rsidRPr="00DE39B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легень», </w:t>
            </w:r>
            <w:bookmarkEnd w:id="0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код дослідження </w:t>
            </w:r>
            <w:bookmarkStart w:id="1" w:name="_Hlk533675709"/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LDOS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003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, поправка 1.0,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фінальна версія 2 від 19 грудня 2018 року</w:t>
            </w:r>
            <w:bookmarkEnd w:id="1"/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 «КЦР Україна»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4AD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Гелікс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БіоФарма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.»</w:t>
            </w:r>
            <w:r w:rsidRPr="00DE39B2" w:rsidDel="00BB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Helix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BioPharma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.), Канада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Подовження тривалості клінічного дослідження в Україні до 31 грудня 2019 року; Зміна найменування заявника з Підприємство з 100% іноземною інвестицією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Квінтайлс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Україна» на Підприємство з 100% іноземною інвестицією «АЙК’ЮВІА РДС Україна»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4F4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1205 від 09.11.2016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міжнародне дослідження з оцінки ефективності, безпечності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імуногенності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препарату SAIT101 у порівнянні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ритуксимабом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при застосуванні в якості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імунотерапевтичного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лікування першої лінії у пацієнтів із фолікулярною лімфомою з низьким пухлинним навантаженням», код дослідження 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AGB 002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інкорпорований поправкою 03 від 3 листопада 2017 року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Арчиджен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Біотек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Сполучене королівство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Archigen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Biotech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United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Kingdom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604D1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Інформаційний бюлетень для набору пацієнтів, редакція для України 1.0 від 29 березня 2019 р., переклад з англійської на російську мову від 04 квітня 2019 р., переклад з англійської на українську мову від 04 квітня 2019 р.;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для набору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пацієнтів_Варіант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 1, редакція для України 1.0 від 29 березня 2019 р., переклад з англійської на російську мову від 04 квітня 2019 р., переклад з англійської на українську мову від 04 квітня 2019 р.;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Постер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для набору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пацієнтів_Варіант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 2, редакція для України 1.0 від 29 березня 2019 р., переклад з англійської на російську мову від 04 квітня 2019 р., переклад з англійської на українську мову від 04 квітня 2019 р.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1070 від 14.05.2019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проспективне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подвійно сліпе дослідження III фази з порівняльної оцінки ефективності,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переносимості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та безпечності комбінованого препарату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сулопенему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етзадроксилу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пробенециду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для перорального прийому та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ципрофлоксацину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для перорального прийому при лікуванні дорослих пацієнток із неускладненими інфекціями сечовивідних шляхів», код дослідження IT001-301, редакція з Поправкою 1 від 07 червня 2018 р.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«ПІ ЕС АЙ-УКРАЇНА»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Ітерум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Терапьютикс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Інтернешнл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Лімітед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» [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Iterum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Therapeutics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International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Limited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], Ірландія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570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21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DE3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Подовження терміну придатності досліджуваного лікарського засобу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Мірікізумаб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(LY3074828), (розчин для ін’єкцій, 100мг/1мл) до 36 місяців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1753 від 06.08.2019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Відкрите, Подовжене Дослідження III Фази для Оцінки Довготривалої Ефективності та Безпечності Застосування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Мірікізумабу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 Пацієнтів із Виразковим Колітом Помірного та Тяжкого Перебігу (LUCENT 3)»,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 xml:space="preserve"> код дослідження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I6T-MC-AMAP, ініціальна версія від  15 березня 2018 року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Елі Ліллі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Восток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СА, Швейцарія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Елі Ліллі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Компані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США / 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Eli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Lilly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39B2"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970" w:type="dxa"/>
        <w:tblLook w:val="01E0" w:firstRow="1" w:lastRow="1" w:firstColumn="1" w:lastColumn="1" w:noHBand="0" w:noVBand="0"/>
      </w:tblPr>
      <w:tblGrid>
        <w:gridCol w:w="2344"/>
        <w:gridCol w:w="8821"/>
        <w:gridCol w:w="3685"/>
        <w:gridCol w:w="120"/>
      </w:tblGrid>
      <w:tr w:rsidR="0014473A" w:rsidRPr="00DE39B2" w:rsidTr="0014473A">
        <w:trPr>
          <w:gridBefore w:val="2"/>
          <w:wBefore w:w="11165" w:type="dxa"/>
          <w:trHeight w:val="568"/>
        </w:trPr>
        <w:tc>
          <w:tcPr>
            <w:tcW w:w="3805" w:type="dxa"/>
            <w:gridSpan w:val="2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22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Брошура дослідника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Enmetazobactam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(AAI101), версія 6.0 від 24 квітня 2019 р., англійською мовою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1465 від 08.08.2018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, подвійне сліпе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дослідження III фази для оцінки ефективності, безпечності та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переносимості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комбінації препаратів цефепім-AAI101 у порівнянні з 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піперациліном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/</w:t>
            </w:r>
            <w:proofErr w:type="spellStart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тазобактамом</w:t>
            </w:r>
            <w:proofErr w:type="spellEnd"/>
            <w:r w:rsidRPr="00DE39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для лікування ускладнених інфекцій сечовивідних шляхів, включаючи гострий пієлонефрит, у дорослих пацієнтів»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код дослідження AT-301, версія 5.0 (поправка 4) від 06 вересня 2018 р.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Медпейс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Україна»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Аллекра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Терап’ютікс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САС», Франція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Allecra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Therapeutics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SAS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France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4F43D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hAnsi="Times New Roman"/>
          <w:sz w:val="24"/>
          <w:szCs w:val="24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23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Оновлений протокол з поправкою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Amendment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1 від 24.04.2019 р.;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Скриншоти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екрану відео для пацієнтів «Як брати і зберігати зразки мазків із носа» від 13.02.2019 р.; Опитувальник для визначення інтенсивності проявів і впливу респіраторної інфекції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RiiQTM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), українською мовою для України; Опитувальник для визначення важкості респіраторної інфекції та її проявів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RiiQTM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),  російською мовою для України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2030 від 07.11.2018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 пілотне клінічне дослідження 2 фази для вивчення антивірусної активності, клінічних результатів, безпечності,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переносимості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та фармакокінетики двох рівнів дозування JNJ-53718678 у амбулаторних дорослих пацієнтів, інфікованих респіраторно-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синцитіальним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вірусом», код дослідження 53718678RSV2004, від 26.09.2017 р.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Янссен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Сайєнсіз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Айленд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ЮСі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», Ірландія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24</w:t>
            </w:r>
          </w:p>
          <w:p w:rsidR="0014473A" w:rsidRPr="00DE39B2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14473A">
            <w:pPr>
              <w:spacing w:after="0" w:line="240" w:lineRule="auto"/>
              <w:ind w:left="2694" w:hanging="269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Інструкція щодо заповнення опитувальників для учасників дослідження 63623872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FLZ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3001, версія 1.7 від 16 серпня 2018 року, українською мовою; Інструкція щодо заповнення опитувальників для учасників дослідження 63623872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FLZ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3001, версія 1.7 від 16 серпня 2018 року, російською мовою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3592" w:rsidP="008F3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1593 від 09.07.2019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плацебо-контрольоване,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дослідження фази 3 з оцінки ефективності та безпечності препарату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пімодівір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 у поєднанні зі стандартною терапією в пацієнтів підліткового, дорослого та похилого віку, з інфекцією грипу А, яких було госпіталізовано», код дослідження 63623872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FLZ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3001 з поправкою 1/</w:t>
            </w:r>
            <w:r w:rsidRPr="00DE39B2">
              <w:rPr>
                <w:rFonts w:ascii="Times New Roman" w:hAnsi="Times New Roman"/>
                <w:sz w:val="24"/>
                <w:szCs w:val="24"/>
                <w:lang w:val="ru-RU"/>
              </w:rPr>
              <w:t>UKR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 xml:space="preserve">-1 від </w:t>
            </w:r>
            <w:r w:rsidR="00115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39B2">
              <w:rPr>
                <w:rFonts w:ascii="Times New Roman" w:hAnsi="Times New Roman"/>
                <w:sz w:val="24"/>
                <w:szCs w:val="24"/>
              </w:rPr>
              <w:t>28 лютого 2019 року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Підприємство з 100% іноземною інвестицією «АЙК’ЮВІА РДС Україна»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Янссен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Фармасьютіка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Ен.Ві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.», Бельгія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Janssen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Pharmaceutica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NV,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Belgium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25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B2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Використання препарату супутньої терапії 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Конакіон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ММ ампули 10мг/1 мл» </w:t>
            </w:r>
          </w:p>
          <w:p w:rsidR="00954B4D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544 від 19.05.2017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подвійне сліпе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дослідження фази 3 для оцінки ефективності та безпечності препарату ОКТАПЛЕКС (OCTAPLEX),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чотирифакторного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концентрату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протромбінового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комплексу (4F-PCC), у порівнянні з препаратом 4F-PCCБериплекс® P/N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Ксентра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) (4F-PCCBeriplex® P/N (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Kcentra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)), з метою реверсії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антикоагуляційної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дії антагоністів вітаміну К у пацієнтів, що потребують невідкладного хірургічного втручання зі значним ризиком кровотечі», код дослідження LEX-209, версія 04 від 19 січня 2018 року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ТОВ «Карпатська дослідницька група»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Октафарма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Фармацевтіка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Продукціонсгез.м.б.Х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, Австрія [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Octapharma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Pharmazeutika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Produktionsges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m.b.H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Austria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54B4D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D" w:rsidRPr="00DE39B2" w:rsidRDefault="00954B4D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D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B4D" w:rsidRPr="00DE39B2" w:rsidRDefault="00954B4D" w:rsidP="0095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E24FD8" w:rsidRPr="00DE39B2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26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B2" w:rsidRPr="00DE39B2" w:rsidRDefault="00DE39B2" w:rsidP="00DE3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 xml:space="preserve">Збільшення кількості пацієнтів в Україні з 54 до 100 </w:t>
            </w:r>
          </w:p>
          <w:p w:rsidR="00E24FD8" w:rsidRPr="00DE39B2" w:rsidRDefault="00E24FD8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115294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636 від 22.03.201</w:t>
            </w:r>
            <w:r w:rsidR="008F3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подвійне сліпе, активно контрольоване клінічне дослідження 2а фази в паралельних групах для доведення концепції, вивчення ефективності та безпечності комбінованої терапії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гуселькумабом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голімумабом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 лікуванні пацієнтів із середнього ступеня тяжкості та тяжким неспецифічним виразковим колітом», код дослідження CNTO1959UCO2002 з поправкою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Amendment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2 від 07.03.2019 р.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DE39B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«ЯНССЕН ФАРМАЦЕВТИКА НВ», Бельгія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FD8" w:rsidRPr="00DE39B2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E24FD8" w:rsidRPr="00DE39B2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2344"/>
        <w:gridCol w:w="8679"/>
        <w:gridCol w:w="3805"/>
        <w:gridCol w:w="22"/>
      </w:tblGrid>
      <w:tr w:rsidR="0014473A" w:rsidRPr="00DE39B2" w:rsidTr="0014473A">
        <w:trPr>
          <w:gridBefore w:val="2"/>
          <w:gridAfter w:val="1"/>
          <w:wBefore w:w="11023" w:type="dxa"/>
          <w:wAfter w:w="22" w:type="dxa"/>
          <w:trHeight w:val="568"/>
        </w:trPr>
        <w:tc>
          <w:tcPr>
            <w:tcW w:w="3805" w:type="dxa"/>
          </w:tcPr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Додаток 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27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наказу Міністерства охорони</w:t>
            </w:r>
          </w:p>
          <w:p w:rsidR="0014473A" w:rsidRPr="00DE39B2" w:rsidRDefault="0014473A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здоров’я України</w:t>
            </w:r>
            <w:r w:rsidRPr="00DE3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73A" w:rsidRPr="00DE39B2" w:rsidRDefault="00D35CAF" w:rsidP="0059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60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02.10.2019 № 2007</w:t>
            </w:r>
            <w:bookmarkStart w:id="2" w:name="_GoBack"/>
            <w:bookmarkEnd w:id="2"/>
          </w:p>
          <w:p w:rsidR="0014473A" w:rsidRPr="00DE39B2" w:rsidRDefault="0014473A" w:rsidP="005910BC">
            <w:pPr>
              <w:spacing w:after="0" w:line="240" w:lineRule="auto"/>
              <w:ind w:left="67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Ідентифікація суттєвої поправки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56" w:rsidRPr="00DE39B2" w:rsidRDefault="00033A56" w:rsidP="00033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Включення додаткового місця проведення клінічного дослідження</w:t>
            </w:r>
            <w:r w:rsidRPr="00DE39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W w:w="1224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682"/>
            </w:tblGrid>
            <w:tr w:rsidR="00033A56" w:rsidRPr="00DE39B2" w:rsidTr="00033A56">
              <w:trPr>
                <w:cantSplit/>
                <w:trHeight w:val="348"/>
              </w:trPr>
              <w:tc>
                <w:tcPr>
                  <w:tcW w:w="567" w:type="dxa"/>
                </w:tcPr>
                <w:p w:rsidR="00033A56" w:rsidRPr="00DE39B2" w:rsidRDefault="00033A56" w:rsidP="00033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№</w:t>
                  </w:r>
                </w:p>
                <w:p w:rsidR="00033A56" w:rsidRPr="00DE39B2" w:rsidRDefault="00033A56" w:rsidP="00033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/п</w:t>
                  </w:r>
                </w:p>
              </w:tc>
              <w:tc>
                <w:tcPr>
                  <w:tcW w:w="11682" w:type="dxa"/>
                </w:tcPr>
                <w:p w:rsidR="00033A56" w:rsidRPr="00DE39B2" w:rsidRDefault="00033A56" w:rsidP="00033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033A56" w:rsidRPr="00DE39B2" w:rsidRDefault="00033A56" w:rsidP="00033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033A56" w:rsidRPr="00DE39B2" w:rsidTr="00033A56">
              <w:trPr>
                <w:cantSplit/>
                <w:trHeight w:val="379"/>
              </w:trPr>
              <w:tc>
                <w:tcPr>
                  <w:tcW w:w="567" w:type="dxa"/>
                </w:tcPr>
                <w:p w:rsidR="00033A56" w:rsidRPr="00DE39B2" w:rsidRDefault="00033A56" w:rsidP="00033A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DE39B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DE39B2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11682" w:type="dxa"/>
                </w:tcPr>
                <w:p w:rsidR="00033A56" w:rsidRPr="00DE39B2" w:rsidRDefault="00033A56" w:rsidP="00033A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Милиця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t> </w:t>
                  </w:r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К.М. </w:t>
                  </w:r>
                </w:p>
                <w:p w:rsidR="00033A56" w:rsidRPr="00DE39B2" w:rsidRDefault="00033A56" w:rsidP="00033A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№9»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Запорізької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гастрохірургічне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E39B2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Запоріжжя</w:t>
                  </w:r>
                  <w:proofErr w:type="spellEnd"/>
                </w:p>
              </w:tc>
            </w:tr>
          </w:tbl>
          <w:p w:rsidR="00E24FD8" w:rsidRPr="00DE39B2" w:rsidRDefault="00E24FD8" w:rsidP="00033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8F3592" w:rsidP="00115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636 від 22.03.20</w:t>
            </w:r>
            <w:r w:rsidR="001152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033A5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Багатоцентрове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проспективне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рандомізоване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, подвійно сліпе дослідження III фази, що проводиться в цілях оцінки ефективності та безпечності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сулопенему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з подальшим переходом на комбінований препарат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сулопенему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етзадроксилу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пробенециду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в порівнянні з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ертапенемом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із подальшим переходом на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метронідазол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або комбінований препарат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амоксициліну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клавуланової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кислоти при лікуванні дорослих пацієнтів із ускладненими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інтраабдомінальними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інфекціями», код дослідження IT001-303, редакція з Поправкою 1 від 22 серпня 2018 р.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Заявник,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033A56" w:rsidP="00591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t>ТОВ «ПІ ЕС АЙ</w:t>
            </w:r>
            <w:r w:rsidRPr="00DE39B2">
              <w:rPr>
                <w:rFonts w:ascii="Times New Roman" w:hAnsi="Times New Roman"/>
                <w:bCs/>
                <w:sz w:val="24"/>
                <w:szCs w:val="24"/>
              </w:rPr>
              <w:noBreakHyphen/>
              <w:t>УКРАЇНА»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Спонсор, країна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033A56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Ітерум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Терапьютикс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Інтернешнл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Лімітед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» [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Iterum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Therapeutics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9B2"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 w:rsidRPr="00DE39B2">
              <w:rPr>
                <w:rFonts w:ascii="Times New Roman" w:hAnsi="Times New Roman"/>
                <w:sz w:val="24"/>
                <w:szCs w:val="24"/>
              </w:rPr>
              <w:t>], Ірландія</w:t>
            </w:r>
          </w:p>
        </w:tc>
      </w:tr>
      <w:tr w:rsidR="00E24FD8" w:rsidRPr="00DE39B2" w:rsidTr="0014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D8" w:rsidRPr="00DE39B2" w:rsidRDefault="00E24FD8" w:rsidP="00591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E39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8" w:rsidRPr="00DE39B2" w:rsidRDefault="008F3592" w:rsidP="00591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4FD8" w:rsidRPr="00DE39B2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FD8" w:rsidRPr="00DE39B2" w:rsidRDefault="00E24FD8" w:rsidP="00E24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3EB" w:rsidRPr="00DE39B2" w:rsidRDefault="008223EB" w:rsidP="00822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B2">
        <w:rPr>
          <w:rFonts w:ascii="Times New Roman" w:hAnsi="Times New Roman"/>
          <w:sz w:val="24"/>
          <w:szCs w:val="24"/>
        </w:rPr>
        <w:t xml:space="preserve">Начальник відділу з питань фармацевтичної </w:t>
      </w:r>
    </w:p>
    <w:p w:rsidR="008223EB" w:rsidRPr="00DE39B2" w:rsidRDefault="008223EB" w:rsidP="00822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DE39B2">
        <w:rPr>
          <w:rFonts w:ascii="Times New Roman" w:hAnsi="Times New Roman"/>
          <w:sz w:val="24"/>
          <w:szCs w:val="24"/>
        </w:rPr>
        <w:t>діяльності Департаменту реалізації політик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>_______________________</w:t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  <w:t xml:space="preserve">   </w:t>
      </w:r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 xml:space="preserve">Т.М. </w:t>
      </w:r>
      <w:proofErr w:type="spellStart"/>
      <w:r w:rsidRPr="00DE39B2">
        <w:rPr>
          <w:rFonts w:ascii="Times New Roman" w:eastAsia="Times New Roman" w:hAnsi="Times New Roman"/>
          <w:sz w:val="24"/>
          <w:szCs w:val="24"/>
          <w:lang w:eastAsia="ru-RU"/>
        </w:rPr>
        <w:t>Лясковський</w:t>
      </w:r>
      <w:proofErr w:type="spellEnd"/>
      <w:r w:rsidRPr="00DE39B2">
        <w:rPr>
          <w:rFonts w:ascii="Times New Roman" w:eastAsia="Times New Roman" w:hAnsi="Times New Roman"/>
          <w:sz w:val="24"/>
          <w:szCs w:val="24"/>
          <w:lang w:eastAsia="uk-UA"/>
        </w:rPr>
        <w:tab/>
      </w:r>
    </w:p>
    <w:p w:rsidR="008E51F8" w:rsidRPr="00DE39B2" w:rsidRDefault="008E51F8" w:rsidP="000B2C60"/>
    <w:sectPr w:rsidR="008E51F8" w:rsidRPr="00DE39B2" w:rsidSect="005709D6">
      <w:pgSz w:w="16838" w:h="11906" w:orient="landscape"/>
      <w:pgMar w:top="993" w:right="1245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35" w:rsidRDefault="00485B35" w:rsidP="00E71D49">
      <w:pPr>
        <w:spacing w:after="0" w:line="240" w:lineRule="auto"/>
      </w:pPr>
      <w:r>
        <w:separator/>
      </w:r>
    </w:p>
  </w:endnote>
  <w:endnote w:type="continuationSeparator" w:id="0">
    <w:p w:rsidR="00485B35" w:rsidRDefault="00485B35" w:rsidP="00E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35" w:rsidRDefault="00485B35" w:rsidP="00E71D49">
      <w:pPr>
        <w:spacing w:after="0" w:line="240" w:lineRule="auto"/>
      </w:pPr>
      <w:r>
        <w:separator/>
      </w:r>
    </w:p>
  </w:footnote>
  <w:footnote w:type="continuationSeparator" w:id="0">
    <w:p w:rsidR="00485B35" w:rsidRDefault="00485B35" w:rsidP="00E7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866"/>
    <w:multiLevelType w:val="multilevel"/>
    <w:tmpl w:val="6A78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A56B5E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530D75"/>
    <w:multiLevelType w:val="hybridMultilevel"/>
    <w:tmpl w:val="5EA2FD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43724"/>
    <w:multiLevelType w:val="hybridMultilevel"/>
    <w:tmpl w:val="55FA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CF"/>
    <w:rsid w:val="00011A71"/>
    <w:rsid w:val="00027CF3"/>
    <w:rsid w:val="00033A56"/>
    <w:rsid w:val="00041B05"/>
    <w:rsid w:val="00045856"/>
    <w:rsid w:val="000544FF"/>
    <w:rsid w:val="00057168"/>
    <w:rsid w:val="00060676"/>
    <w:rsid w:val="000746CF"/>
    <w:rsid w:val="00075DAE"/>
    <w:rsid w:val="00080442"/>
    <w:rsid w:val="00084A8E"/>
    <w:rsid w:val="00091E5A"/>
    <w:rsid w:val="00094034"/>
    <w:rsid w:val="000971D7"/>
    <w:rsid w:val="000B030D"/>
    <w:rsid w:val="000B2C60"/>
    <w:rsid w:val="000D1791"/>
    <w:rsid w:val="000D1AC8"/>
    <w:rsid w:val="000D3EE5"/>
    <w:rsid w:val="000E497B"/>
    <w:rsid w:val="0010305A"/>
    <w:rsid w:val="00110A5E"/>
    <w:rsid w:val="00115294"/>
    <w:rsid w:val="0013109B"/>
    <w:rsid w:val="0014473A"/>
    <w:rsid w:val="00145084"/>
    <w:rsid w:val="001462A3"/>
    <w:rsid w:val="0015324E"/>
    <w:rsid w:val="0016397F"/>
    <w:rsid w:val="001662BA"/>
    <w:rsid w:val="00166E00"/>
    <w:rsid w:val="001800DD"/>
    <w:rsid w:val="00193616"/>
    <w:rsid w:val="001A18CF"/>
    <w:rsid w:val="001A7B48"/>
    <w:rsid w:val="001D37DF"/>
    <w:rsid w:val="001D7CEC"/>
    <w:rsid w:val="001E3A3D"/>
    <w:rsid w:val="001F3FCF"/>
    <w:rsid w:val="001F778A"/>
    <w:rsid w:val="00212240"/>
    <w:rsid w:val="00217CD5"/>
    <w:rsid w:val="00227C8F"/>
    <w:rsid w:val="00234895"/>
    <w:rsid w:val="0023522E"/>
    <w:rsid w:val="002355BF"/>
    <w:rsid w:val="00246A80"/>
    <w:rsid w:val="00260B09"/>
    <w:rsid w:val="00267C33"/>
    <w:rsid w:val="0027757B"/>
    <w:rsid w:val="00277DEB"/>
    <w:rsid w:val="00283BF4"/>
    <w:rsid w:val="00296A31"/>
    <w:rsid w:val="002A35E6"/>
    <w:rsid w:val="002A372C"/>
    <w:rsid w:val="002B5B33"/>
    <w:rsid w:val="002B6D3A"/>
    <w:rsid w:val="002C6F6B"/>
    <w:rsid w:val="002C78C4"/>
    <w:rsid w:val="002D3A2E"/>
    <w:rsid w:val="002D4FF5"/>
    <w:rsid w:val="002E5D29"/>
    <w:rsid w:val="002F13D0"/>
    <w:rsid w:val="002F5F0B"/>
    <w:rsid w:val="002F6E1D"/>
    <w:rsid w:val="00300B60"/>
    <w:rsid w:val="0030716F"/>
    <w:rsid w:val="0030719F"/>
    <w:rsid w:val="00313366"/>
    <w:rsid w:val="00356593"/>
    <w:rsid w:val="00360819"/>
    <w:rsid w:val="00361A6B"/>
    <w:rsid w:val="00366C4A"/>
    <w:rsid w:val="00373F69"/>
    <w:rsid w:val="0038354D"/>
    <w:rsid w:val="003874AE"/>
    <w:rsid w:val="003931B3"/>
    <w:rsid w:val="003A2685"/>
    <w:rsid w:val="003A4ABD"/>
    <w:rsid w:val="003B3C16"/>
    <w:rsid w:val="003C1EEB"/>
    <w:rsid w:val="003D5AD8"/>
    <w:rsid w:val="003D7C73"/>
    <w:rsid w:val="003E6D9A"/>
    <w:rsid w:val="003F6D6A"/>
    <w:rsid w:val="00401C8A"/>
    <w:rsid w:val="00416C57"/>
    <w:rsid w:val="004303EE"/>
    <w:rsid w:val="00435F87"/>
    <w:rsid w:val="00436A55"/>
    <w:rsid w:val="00441CD2"/>
    <w:rsid w:val="00450B91"/>
    <w:rsid w:val="00451944"/>
    <w:rsid w:val="00453757"/>
    <w:rsid w:val="00467A05"/>
    <w:rsid w:val="0047448F"/>
    <w:rsid w:val="00477690"/>
    <w:rsid w:val="00485B35"/>
    <w:rsid w:val="0048713D"/>
    <w:rsid w:val="0049580A"/>
    <w:rsid w:val="004A082F"/>
    <w:rsid w:val="004A4A31"/>
    <w:rsid w:val="004B455D"/>
    <w:rsid w:val="004C03E7"/>
    <w:rsid w:val="004C1397"/>
    <w:rsid w:val="004C60D4"/>
    <w:rsid w:val="004F43D2"/>
    <w:rsid w:val="004F57DB"/>
    <w:rsid w:val="005141B0"/>
    <w:rsid w:val="005200B2"/>
    <w:rsid w:val="005300A9"/>
    <w:rsid w:val="0053269D"/>
    <w:rsid w:val="00532FEB"/>
    <w:rsid w:val="00536970"/>
    <w:rsid w:val="005546E1"/>
    <w:rsid w:val="005548B6"/>
    <w:rsid w:val="0056023B"/>
    <w:rsid w:val="00567913"/>
    <w:rsid w:val="005709D6"/>
    <w:rsid w:val="005806A3"/>
    <w:rsid w:val="005910BC"/>
    <w:rsid w:val="00593FC0"/>
    <w:rsid w:val="005968B3"/>
    <w:rsid w:val="00597BE1"/>
    <w:rsid w:val="005A0D12"/>
    <w:rsid w:val="005C3A27"/>
    <w:rsid w:val="005C68E4"/>
    <w:rsid w:val="00603231"/>
    <w:rsid w:val="00611454"/>
    <w:rsid w:val="00612D6F"/>
    <w:rsid w:val="006132CA"/>
    <w:rsid w:val="00623CFF"/>
    <w:rsid w:val="00660502"/>
    <w:rsid w:val="006650FD"/>
    <w:rsid w:val="006846BB"/>
    <w:rsid w:val="006867A5"/>
    <w:rsid w:val="00693E55"/>
    <w:rsid w:val="00695FEE"/>
    <w:rsid w:val="0069734A"/>
    <w:rsid w:val="006A0CD7"/>
    <w:rsid w:val="006B69B7"/>
    <w:rsid w:val="006C1D5F"/>
    <w:rsid w:val="006C343D"/>
    <w:rsid w:val="006C4E0B"/>
    <w:rsid w:val="006D695E"/>
    <w:rsid w:val="006E123F"/>
    <w:rsid w:val="0070504B"/>
    <w:rsid w:val="0070533D"/>
    <w:rsid w:val="00721E2F"/>
    <w:rsid w:val="007274A2"/>
    <w:rsid w:val="00731139"/>
    <w:rsid w:val="00735FC0"/>
    <w:rsid w:val="00754CFF"/>
    <w:rsid w:val="00756DAE"/>
    <w:rsid w:val="007723EB"/>
    <w:rsid w:val="00774C22"/>
    <w:rsid w:val="00775746"/>
    <w:rsid w:val="00781C1C"/>
    <w:rsid w:val="0078507A"/>
    <w:rsid w:val="00794042"/>
    <w:rsid w:val="007A6BD6"/>
    <w:rsid w:val="007D204A"/>
    <w:rsid w:val="007D6539"/>
    <w:rsid w:val="007E19D4"/>
    <w:rsid w:val="007E1D78"/>
    <w:rsid w:val="007E7015"/>
    <w:rsid w:val="007F2719"/>
    <w:rsid w:val="007F300C"/>
    <w:rsid w:val="007F6DD4"/>
    <w:rsid w:val="007F7CD1"/>
    <w:rsid w:val="008033AF"/>
    <w:rsid w:val="0080360F"/>
    <w:rsid w:val="008138A7"/>
    <w:rsid w:val="00813C1E"/>
    <w:rsid w:val="008223EB"/>
    <w:rsid w:val="0084266E"/>
    <w:rsid w:val="008464D2"/>
    <w:rsid w:val="00850405"/>
    <w:rsid w:val="008721AE"/>
    <w:rsid w:val="00874D4D"/>
    <w:rsid w:val="00877C80"/>
    <w:rsid w:val="00883F45"/>
    <w:rsid w:val="008851CB"/>
    <w:rsid w:val="008870D4"/>
    <w:rsid w:val="00893109"/>
    <w:rsid w:val="00893713"/>
    <w:rsid w:val="00893EEF"/>
    <w:rsid w:val="00896FA3"/>
    <w:rsid w:val="008A1A32"/>
    <w:rsid w:val="008A377F"/>
    <w:rsid w:val="008B08A5"/>
    <w:rsid w:val="008D1AB0"/>
    <w:rsid w:val="008D2F43"/>
    <w:rsid w:val="008D637B"/>
    <w:rsid w:val="008E51F8"/>
    <w:rsid w:val="008F1EFD"/>
    <w:rsid w:val="008F2854"/>
    <w:rsid w:val="008F3592"/>
    <w:rsid w:val="008F4AD8"/>
    <w:rsid w:val="009012E9"/>
    <w:rsid w:val="009154A8"/>
    <w:rsid w:val="00917036"/>
    <w:rsid w:val="00920F5C"/>
    <w:rsid w:val="00923565"/>
    <w:rsid w:val="00926400"/>
    <w:rsid w:val="00942D90"/>
    <w:rsid w:val="00943BFC"/>
    <w:rsid w:val="009448B7"/>
    <w:rsid w:val="00954B4D"/>
    <w:rsid w:val="0096395D"/>
    <w:rsid w:val="009703A3"/>
    <w:rsid w:val="009761C1"/>
    <w:rsid w:val="00980875"/>
    <w:rsid w:val="009850B8"/>
    <w:rsid w:val="009859E4"/>
    <w:rsid w:val="00987A9F"/>
    <w:rsid w:val="009974CB"/>
    <w:rsid w:val="009B74C5"/>
    <w:rsid w:val="009C2421"/>
    <w:rsid w:val="009C5612"/>
    <w:rsid w:val="009D2941"/>
    <w:rsid w:val="009E02C3"/>
    <w:rsid w:val="009E1800"/>
    <w:rsid w:val="009E4567"/>
    <w:rsid w:val="009F7198"/>
    <w:rsid w:val="00A0220D"/>
    <w:rsid w:val="00A11C64"/>
    <w:rsid w:val="00A2347F"/>
    <w:rsid w:val="00A23555"/>
    <w:rsid w:val="00A240CE"/>
    <w:rsid w:val="00A3772F"/>
    <w:rsid w:val="00A40DAF"/>
    <w:rsid w:val="00A433C6"/>
    <w:rsid w:val="00A57A77"/>
    <w:rsid w:val="00A77E69"/>
    <w:rsid w:val="00A815A3"/>
    <w:rsid w:val="00A849D0"/>
    <w:rsid w:val="00A84FEA"/>
    <w:rsid w:val="00A8566B"/>
    <w:rsid w:val="00AA0F28"/>
    <w:rsid w:val="00AA4639"/>
    <w:rsid w:val="00AB3812"/>
    <w:rsid w:val="00AC1543"/>
    <w:rsid w:val="00AC76C5"/>
    <w:rsid w:val="00AF127F"/>
    <w:rsid w:val="00B01FE4"/>
    <w:rsid w:val="00B12C50"/>
    <w:rsid w:val="00B15F63"/>
    <w:rsid w:val="00B24A84"/>
    <w:rsid w:val="00B4060E"/>
    <w:rsid w:val="00B47BBE"/>
    <w:rsid w:val="00B47ED4"/>
    <w:rsid w:val="00B66923"/>
    <w:rsid w:val="00B73A1A"/>
    <w:rsid w:val="00B80EE7"/>
    <w:rsid w:val="00B80F18"/>
    <w:rsid w:val="00B83065"/>
    <w:rsid w:val="00B9133B"/>
    <w:rsid w:val="00B94757"/>
    <w:rsid w:val="00B9623B"/>
    <w:rsid w:val="00BA7A8C"/>
    <w:rsid w:val="00BB05C8"/>
    <w:rsid w:val="00BB3125"/>
    <w:rsid w:val="00BC2A92"/>
    <w:rsid w:val="00BE6BD0"/>
    <w:rsid w:val="00BE74AC"/>
    <w:rsid w:val="00BF6727"/>
    <w:rsid w:val="00C01B8E"/>
    <w:rsid w:val="00C0294E"/>
    <w:rsid w:val="00C062AC"/>
    <w:rsid w:val="00C26EC0"/>
    <w:rsid w:val="00C338DE"/>
    <w:rsid w:val="00C50FC4"/>
    <w:rsid w:val="00C530A1"/>
    <w:rsid w:val="00C54669"/>
    <w:rsid w:val="00C55D22"/>
    <w:rsid w:val="00C67D46"/>
    <w:rsid w:val="00C7430C"/>
    <w:rsid w:val="00C74D53"/>
    <w:rsid w:val="00C765DB"/>
    <w:rsid w:val="00C8730E"/>
    <w:rsid w:val="00C90EA8"/>
    <w:rsid w:val="00C9167E"/>
    <w:rsid w:val="00C92252"/>
    <w:rsid w:val="00C92584"/>
    <w:rsid w:val="00CA7380"/>
    <w:rsid w:val="00CC42F5"/>
    <w:rsid w:val="00CC495E"/>
    <w:rsid w:val="00CC4B83"/>
    <w:rsid w:val="00CC5987"/>
    <w:rsid w:val="00CD3AC6"/>
    <w:rsid w:val="00D0072C"/>
    <w:rsid w:val="00D00AF4"/>
    <w:rsid w:val="00D03332"/>
    <w:rsid w:val="00D318F5"/>
    <w:rsid w:val="00D31ABC"/>
    <w:rsid w:val="00D35CAF"/>
    <w:rsid w:val="00D36957"/>
    <w:rsid w:val="00D37315"/>
    <w:rsid w:val="00D51F9B"/>
    <w:rsid w:val="00D604D1"/>
    <w:rsid w:val="00D640F3"/>
    <w:rsid w:val="00D64ECE"/>
    <w:rsid w:val="00D82719"/>
    <w:rsid w:val="00D905C9"/>
    <w:rsid w:val="00D94E4C"/>
    <w:rsid w:val="00D9598B"/>
    <w:rsid w:val="00DA4C7E"/>
    <w:rsid w:val="00DB3917"/>
    <w:rsid w:val="00DC073E"/>
    <w:rsid w:val="00DC2ACF"/>
    <w:rsid w:val="00DC6A3A"/>
    <w:rsid w:val="00DD533E"/>
    <w:rsid w:val="00DE39B2"/>
    <w:rsid w:val="00DE7F12"/>
    <w:rsid w:val="00E00F45"/>
    <w:rsid w:val="00E040A2"/>
    <w:rsid w:val="00E105A6"/>
    <w:rsid w:val="00E23EA8"/>
    <w:rsid w:val="00E24FD8"/>
    <w:rsid w:val="00E322DD"/>
    <w:rsid w:val="00E37647"/>
    <w:rsid w:val="00E561A2"/>
    <w:rsid w:val="00E71D49"/>
    <w:rsid w:val="00E720C4"/>
    <w:rsid w:val="00E842C0"/>
    <w:rsid w:val="00E842D8"/>
    <w:rsid w:val="00EA531B"/>
    <w:rsid w:val="00EA5E74"/>
    <w:rsid w:val="00EB14C5"/>
    <w:rsid w:val="00EB180F"/>
    <w:rsid w:val="00EC1E0B"/>
    <w:rsid w:val="00EC3DD8"/>
    <w:rsid w:val="00ED60F9"/>
    <w:rsid w:val="00EF2024"/>
    <w:rsid w:val="00EF5D9B"/>
    <w:rsid w:val="00EF7637"/>
    <w:rsid w:val="00F1094A"/>
    <w:rsid w:val="00F25C9E"/>
    <w:rsid w:val="00F30956"/>
    <w:rsid w:val="00F41998"/>
    <w:rsid w:val="00F43234"/>
    <w:rsid w:val="00F5316F"/>
    <w:rsid w:val="00F536F3"/>
    <w:rsid w:val="00F57C9A"/>
    <w:rsid w:val="00F66D09"/>
    <w:rsid w:val="00F75AA2"/>
    <w:rsid w:val="00F77DAF"/>
    <w:rsid w:val="00F83F43"/>
    <w:rsid w:val="00F863D0"/>
    <w:rsid w:val="00F918E4"/>
    <w:rsid w:val="00FA442D"/>
    <w:rsid w:val="00FB6A40"/>
    <w:rsid w:val="00FD683D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B0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E5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1E0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51944"/>
    <w:pPr>
      <w:spacing w:after="120" w:line="240" w:lineRule="auto"/>
    </w:pPr>
    <w:rPr>
      <w:rFonts w:ascii="Arial" w:eastAsia="SimSun" w:hAnsi="Arial"/>
      <w:sz w:val="24"/>
      <w:szCs w:val="20"/>
      <w:lang w:val="en-GB" w:eastAsia="zh-CN"/>
    </w:rPr>
  </w:style>
  <w:style w:type="character" w:customStyle="1" w:styleId="a8">
    <w:name w:val="Основной текст Знак"/>
    <w:link w:val="a7"/>
    <w:uiPriority w:val="99"/>
    <w:semiHidden/>
    <w:rsid w:val="00451944"/>
    <w:rPr>
      <w:rFonts w:ascii="Arial" w:eastAsia="SimSun" w:hAnsi="Arial" w:cs="Times New Roman"/>
      <w:sz w:val="24"/>
      <w:szCs w:val="20"/>
      <w:lang w:val="en-GB" w:eastAsia="zh-CN"/>
    </w:rPr>
  </w:style>
  <w:style w:type="paragraph" w:customStyle="1" w:styleId="1">
    <w:name w:val="Абзац списка1"/>
    <w:basedOn w:val="a"/>
    <w:uiPriority w:val="34"/>
    <w:qFormat/>
    <w:rsid w:val="00451944"/>
    <w:pPr>
      <w:spacing w:after="0" w:line="240" w:lineRule="auto"/>
      <w:ind w:left="720"/>
      <w:contextualSpacing/>
    </w:pPr>
    <w:rPr>
      <w:lang w:eastAsia="uk-UA"/>
    </w:rPr>
  </w:style>
  <w:style w:type="character" w:customStyle="1" w:styleId="hps">
    <w:name w:val="hps"/>
    <w:rsid w:val="00A57A77"/>
  </w:style>
  <w:style w:type="character" w:styleId="a9">
    <w:name w:val="Strong"/>
    <w:qFormat/>
    <w:rsid w:val="00416C57"/>
    <w:rPr>
      <w:b/>
      <w:bCs/>
    </w:rPr>
  </w:style>
  <w:style w:type="character" w:customStyle="1" w:styleId="tx1">
    <w:name w:val="tx1"/>
    <w:rsid w:val="0030716F"/>
    <w:rPr>
      <w:b/>
      <w:bCs/>
    </w:rPr>
  </w:style>
  <w:style w:type="paragraph" w:styleId="aa">
    <w:name w:val="header"/>
    <w:basedOn w:val="a"/>
    <w:link w:val="ab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E71D4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71D4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E71D4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842C0"/>
    <w:pPr>
      <w:spacing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33A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33A56"/>
    <w:rPr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E39B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E39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5808-EC9C-4D33-A413-DB329AB9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25549</Words>
  <Characters>14564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Лія Ігоревна</dc:creator>
  <cp:lastModifiedBy>Наталія Гуцал</cp:lastModifiedBy>
  <cp:revision>4</cp:revision>
  <cp:lastPrinted>2016-10-04T08:21:00Z</cp:lastPrinted>
  <dcterms:created xsi:type="dcterms:W3CDTF">2019-10-03T08:08:00Z</dcterms:created>
  <dcterms:modified xsi:type="dcterms:W3CDTF">2019-10-03T08:12:00Z</dcterms:modified>
</cp:coreProperties>
</file>