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83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733"/>
      </w:tblGrid>
      <w:tr w:rsidR="002F13D0" w:rsidRPr="002E438B" w:rsidTr="00BD027A">
        <w:trPr>
          <w:gridBefore w:val="2"/>
          <w:wBefore w:w="11307" w:type="dxa"/>
          <w:trHeight w:val="1702"/>
        </w:trPr>
        <w:tc>
          <w:tcPr>
            <w:tcW w:w="15276" w:type="dxa"/>
            <w:gridSpan w:val="2"/>
          </w:tcPr>
          <w:p w:rsidR="002F13D0" w:rsidRPr="002E438B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F13D0" w:rsidRPr="002E438B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</w:p>
          <w:p w:rsidR="002F13D0" w:rsidRPr="002E438B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2F13D0" w:rsidRPr="002E438B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2F13D0" w:rsidRPr="002E438B" w:rsidRDefault="001D15B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  <w:bookmarkStart w:id="0" w:name="_GoBack"/>
            <w:bookmarkEnd w:id="0"/>
            <w:r w:rsidR="002F13D0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C9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Розділ 2.1.S.7 «Стабільність» Досьє Досліджуваного лікарського засобу SHR0302, від 21 травня 2019 року, англійською мовою; Подовження терміну придатності ДЛЗ (таблеток SHR0302 4 мг) до 18 місяців 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Default="00FD63B3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№1403 від</w:t>
            </w:r>
            <w:r w:rsidR="00762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FD63B3" w:rsidRPr="002E438B" w:rsidRDefault="00FD63B3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№1403 від</w:t>
            </w:r>
            <w:r w:rsidR="00762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B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плацебо-контрольоване, подвійне сліпе дослідження фази II, що проводиться в 4 групах із підбором доз із метою оцінки ефективності та безпечності препарату SHR0302 порівняно з плацебо в пацієнтів із активним виразковим колітом від середнього до тяжкого ступеня», код дослідження RSJ10101, версія 1.1 від 12 листопада </w:t>
            </w:r>
            <w:r w:rsidR="00762E28" w:rsidRPr="00762E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2018 року; </w:t>
            </w:r>
          </w:p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плацебо-контрольоване, подвійне сліпе дослідження фази II, що проводиться в чотирьох групах з підбором доз із метою оцінки ефективності та безпечності препарату SHR0302 порівняно із плацебо в пацієнтів з активною хворобою Крона від середнього до важкого ступеня», код дослідження RSJ10201, версія 1.1 від 12 листопада 2018 року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FD63B3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B3">
              <w:rPr>
                <w:rFonts w:ascii="Times New Roman" w:hAnsi="Times New Roman"/>
                <w:sz w:val="24"/>
                <w:szCs w:val="24"/>
              </w:rPr>
              <w:t>Підприємство із 100% іноземною інвестицією «АЙК’ЮВІА РДС Україна»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FD63B3" w:rsidRDefault="00FD63B3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>Реістоун</w:t>
            </w:r>
            <w:proofErr w:type="spellEnd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>Біофарма</w:t>
            </w:r>
            <w:proofErr w:type="spellEnd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>Компані</w:t>
            </w:r>
            <w:proofErr w:type="spellEnd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>Лімітед</w:t>
            </w:r>
            <w:proofErr w:type="spellEnd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>Reistone</w:t>
            </w:r>
            <w:proofErr w:type="spellEnd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>Biopharma</w:t>
            </w:r>
            <w:proofErr w:type="spellEnd"/>
            <w:r w:rsidRPr="00FD63B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Company Limited), China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FD63B3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6DD4" w:rsidRPr="002E438B" w:rsidRDefault="007F6DD4" w:rsidP="00DA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2E438B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2E438B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2E438B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C343D" w:rsidRPr="002E438B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C343D" w:rsidRPr="002E438B" w:rsidRDefault="00BD027A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6157" w:type="dxa"/>
        <w:tblLook w:val="01E0" w:firstRow="1" w:lastRow="1" w:firstColumn="1" w:lastColumn="1" w:noHBand="0" w:noVBand="0"/>
      </w:tblPr>
      <w:tblGrid>
        <w:gridCol w:w="2344"/>
        <w:gridCol w:w="8821"/>
        <w:gridCol w:w="3685"/>
        <w:gridCol w:w="11307"/>
      </w:tblGrid>
      <w:tr w:rsidR="0014473A" w:rsidRPr="002E438B" w:rsidTr="00BD027A">
        <w:trPr>
          <w:gridBefore w:val="2"/>
          <w:wBefore w:w="11165" w:type="dxa"/>
          <w:trHeight w:val="1426"/>
        </w:trPr>
        <w:tc>
          <w:tcPr>
            <w:tcW w:w="14992" w:type="dxa"/>
            <w:gridSpan w:val="2"/>
          </w:tcPr>
          <w:p w:rsidR="0014473A" w:rsidRPr="002E438B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</w:t>
            </w:r>
          </w:p>
          <w:p w:rsidR="0014473A" w:rsidRPr="002E438B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2E438B" w:rsidRDefault="001D15B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  <w:r w:rsidR="0014473A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_  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C9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випробування версія 3.0 від 08 травня 2019 року; Інформація та форма згоди для дорослих учасників дослідження, локальна версія номер 2.0 для України українською та російською мовами, дата версії 22 травня 2019 року - на основі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Mастер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версії номер 2.0 від 09 травня 2019 року 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84 від 17.01.2018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плацебо-контрольоване, міжнародне,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дослідження 3 фази з метою оцінки ефективності і безпеки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Тікагрелору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та ацетилсаліцилової кислоти (АСК) у порівнянні з ацетилсаліциловою кислотою (АСК) для запобігання інсульту і смерті у пацієнтів з гострим ішемічним інсультом або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транзиторною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ішемічною атакою [THALES – гострий інсульт або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транзиторна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ішемічна атака у пацієнтів, що отримували лікування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Тікагрелором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та ацетилсаліциловою кислотою (АСК) для запобігання інсульту і смерті]», код дослідження D5134C00003, версія 2.1 від 5 лютого 2019 р.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2B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ТОВ «АСТРАЗЕНЕКА УКРАЇНА»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AstraZeneca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AB,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68E4" w:rsidRPr="002E438B" w:rsidRDefault="005C68E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2E438B" w:rsidRDefault="007F6DD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2E438B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2E438B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2E438B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C343D" w:rsidRPr="002E438B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D027A" w:rsidRPr="002E438B" w:rsidRDefault="00BD027A">
      <w:r w:rsidRPr="002E438B">
        <w:br w:type="page"/>
      </w:r>
    </w:p>
    <w:tbl>
      <w:tblPr>
        <w:tblW w:w="26441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591"/>
      </w:tblGrid>
      <w:tr w:rsidR="0014473A" w:rsidRPr="002E438B" w:rsidTr="00BD027A">
        <w:trPr>
          <w:gridBefore w:val="2"/>
          <w:wBefore w:w="11307" w:type="dxa"/>
          <w:trHeight w:val="1426"/>
        </w:trPr>
        <w:tc>
          <w:tcPr>
            <w:tcW w:w="15134" w:type="dxa"/>
            <w:gridSpan w:val="2"/>
          </w:tcPr>
          <w:p w:rsidR="0014473A" w:rsidRPr="002601A6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601A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2E438B" w:rsidRDefault="001D15B0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</w:tc>
      </w:tr>
      <w:tr w:rsidR="00BD027A" w:rsidRPr="002E438B" w:rsidTr="00C9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  <w:trHeight w:val="16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Зміна відповідального дослідника в місці проведення дослідження; зміна назви місця проведення дослідження</w:t>
            </w:r>
            <w:r w:rsidR="00C92370" w:rsidRPr="002E438B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73"/>
              <w:gridCol w:w="6237"/>
            </w:tblGrid>
            <w:tr w:rsidR="00BD027A" w:rsidRPr="002E438B" w:rsidTr="00C92370">
              <w:tc>
                <w:tcPr>
                  <w:tcW w:w="5873" w:type="dxa"/>
                  <w:shd w:val="clear" w:color="auto" w:fill="auto"/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</w:p>
              </w:tc>
              <w:tc>
                <w:tcPr>
                  <w:tcW w:w="6237" w:type="dxa"/>
                  <w:shd w:val="clear" w:color="auto" w:fill="auto"/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BD027A" w:rsidRPr="002E438B" w:rsidTr="00C92370">
              <w:tc>
                <w:tcPr>
                  <w:tcW w:w="5873" w:type="dxa"/>
                  <w:shd w:val="clear" w:color="auto" w:fill="auto"/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к.м.н.,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головн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Даценко О.Б.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заклад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здоров’я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Харківська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кл</w:t>
                  </w:r>
                  <w:r w:rsidR="002B42B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інічна</w:t>
                  </w:r>
                  <w:proofErr w:type="spellEnd"/>
                  <w:r w:rsidR="002B42B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2B42B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="002B42B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№2 </w:t>
                  </w:r>
                  <w:proofErr w:type="spellStart"/>
                  <w:r w:rsidR="002B42B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="002B42B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проф.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О.О.Шалімова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проктологічне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</w:t>
                  </w:r>
                  <w:proofErr w:type="gram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6237" w:type="dxa"/>
                  <w:shd w:val="clear" w:color="auto" w:fill="auto"/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к.м.н.</w:t>
                  </w: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Даценко О.Г.</w:t>
                  </w: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№2 імені проф. О.О.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» Харківської міської ради, проктологічне відділення, м. Харків</w:t>
                  </w:r>
                </w:p>
              </w:tc>
            </w:tr>
          </w:tbl>
          <w:p w:rsidR="00BD027A" w:rsidRPr="002E438B" w:rsidRDefault="00BD027A" w:rsidP="00C9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подвійне-сліпе, з подвійною імітацією, плацебо-контрольоване,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дослідження фази ІІІ для оцінки ефективності (індукції ремісії) та безпеки препарату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етролізумаб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у порівнянні з препаратом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адалімумаб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та плацебо у пацієнтів з виразковим колітом середнього або важкого ступеня, які раніше не застосовували інгібітори фактору некрозу пухлини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фнп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)», код дослідження </w:t>
            </w:r>
            <w:r w:rsidRPr="002E438B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28948, версія 7 від 25 жовтня 2018 року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33414465"/>
            <w:r w:rsidRPr="002E438B">
              <w:rPr>
                <w:rFonts w:ascii="Times New Roman" w:hAnsi="Times New Roman"/>
                <w:sz w:val="24"/>
                <w:szCs w:val="24"/>
              </w:rPr>
              <w:t>Підприємство із 100% іноземною інвестицією «АЙК’ЮВІА РДС Україна»</w:t>
            </w:r>
            <w:bookmarkEnd w:id="1"/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«Ф.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Хоффманн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» (F.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Hoffmann-La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Roche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.), Швейцарія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2E438B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3A3" w:rsidRPr="002E438B" w:rsidRDefault="009703A3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C33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BD027A" w:rsidRPr="002E438B" w:rsidRDefault="00BD027A">
      <w:r w:rsidRPr="002E438B">
        <w:br w:type="page"/>
      </w:r>
    </w:p>
    <w:tbl>
      <w:tblPr>
        <w:tblW w:w="26441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591"/>
      </w:tblGrid>
      <w:tr w:rsidR="0014473A" w:rsidRPr="002E438B" w:rsidTr="00BD027A">
        <w:trPr>
          <w:gridBefore w:val="2"/>
          <w:wBefore w:w="11307" w:type="dxa"/>
          <w:trHeight w:val="1426"/>
        </w:trPr>
        <w:tc>
          <w:tcPr>
            <w:tcW w:w="15134" w:type="dxa"/>
            <w:gridSpan w:val="2"/>
          </w:tcPr>
          <w:p w:rsidR="0014473A" w:rsidRPr="002601A6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601A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2E438B" w:rsidRDefault="001D15B0" w:rsidP="00144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Зміна відповідального дослідника в місці проведення дослідження; Зміна назви місця проведення дослідження</w:t>
            </w:r>
            <w:r w:rsidR="00C92370" w:rsidRPr="002E438B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31"/>
              <w:gridCol w:w="6521"/>
            </w:tblGrid>
            <w:tr w:rsidR="00BD027A" w:rsidRPr="002E438B" w:rsidTr="00C92370">
              <w:tc>
                <w:tcPr>
                  <w:tcW w:w="5731" w:type="dxa"/>
                  <w:shd w:val="clear" w:color="auto" w:fill="auto"/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</w:p>
              </w:tc>
              <w:tc>
                <w:tcPr>
                  <w:tcW w:w="6521" w:type="dxa"/>
                  <w:shd w:val="clear" w:color="auto" w:fill="auto"/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BD027A" w:rsidRPr="002E438B" w:rsidTr="00C92370">
              <w:tc>
                <w:tcPr>
                  <w:tcW w:w="5731" w:type="dxa"/>
                  <w:shd w:val="clear" w:color="auto" w:fill="auto"/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к.м.н.,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головн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Даценко О.Б.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заклад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здоров’я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Харківська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№2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 проф.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О.О.Шалімова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проктологічне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</w:t>
                  </w:r>
                  <w:proofErr w:type="gram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6521" w:type="dxa"/>
                  <w:shd w:val="clear" w:color="auto" w:fill="auto"/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к.м.н.</w:t>
                  </w: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Даценко О.Г.</w:t>
                  </w: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№2 імені проф. О.О.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» Харківської міської ради, проктологічне відділення, м. Харків</w:t>
                  </w:r>
                </w:p>
              </w:tc>
            </w:tr>
          </w:tbl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«Відкрите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 фази II/III препарату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етролізумаб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», код дослідження 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GA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28951 </w:t>
            </w:r>
            <w:r w:rsidR="002B42BF">
              <w:rPr>
                <w:rFonts w:ascii="Times New Roman" w:hAnsi="Times New Roman"/>
                <w:sz w:val="24"/>
                <w:szCs w:val="24"/>
              </w:rPr>
              <w:t xml:space="preserve">версія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8 від 05 вересня 2017 року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Підприємство із 100% іноземною інвестицією «АЙК’ЮВІА РДС Україна»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«Ф.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Хоффманн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Hoffmann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La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Roche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Ltd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), Швейцарія</w:t>
            </w:r>
            <w:proofErr w:type="gramEnd"/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2E438B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2E438B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2E438B" w:rsidRDefault="00BD027A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2E438B" w:rsidTr="00BD027A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2E438B" w:rsidRDefault="001D15B0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Залучення додаткових місць проведення клінічного випробування</w:t>
            </w:r>
            <w:r w:rsidR="00C92370" w:rsidRPr="002E438B">
              <w:rPr>
                <w:rFonts w:ascii="Times New Roman" w:hAnsi="Times New Roman"/>
                <w:sz w:val="24"/>
                <w:szCs w:val="24"/>
              </w:rPr>
              <w:t>: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12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1712"/>
            </w:tblGrid>
            <w:tr w:rsidR="00BD027A" w:rsidRPr="002B1471" w:rsidTr="002B1471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27A" w:rsidRPr="002B1471" w:rsidRDefault="00BD027A" w:rsidP="002B1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27A" w:rsidRPr="002B1471" w:rsidRDefault="00BD027A" w:rsidP="002B1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ідника</w:t>
                  </w:r>
                  <w:proofErr w:type="spellEnd"/>
                </w:p>
                <w:p w:rsidR="00BD027A" w:rsidRPr="002B1471" w:rsidRDefault="00BD027A" w:rsidP="002B1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BD027A" w:rsidRPr="002B1471" w:rsidTr="002B1471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лікар Шевчук В.М.</w:t>
                  </w:r>
                </w:p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Лікувально-діагностичний центр приватного підприємства приватної виробничої фірми «</w:t>
                  </w: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Ацинус</w:t>
                  </w:r>
                  <w:proofErr w:type="spellEnd"/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2B42BF" w:rsidRPr="002B14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м. Кропивницький</w:t>
                  </w:r>
                </w:p>
              </w:tc>
            </w:tr>
            <w:tr w:rsidR="00BD027A" w:rsidRPr="002B1471" w:rsidTr="002B1471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к.м.н. Даценко О.Г.</w:t>
                  </w:r>
                </w:p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№2 імені проф. </w:t>
                  </w: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О.О.Шалімова</w:t>
                  </w:r>
                  <w:proofErr w:type="spellEnd"/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» Харківської міської ради, проктологічне відділення, м. Харків</w:t>
                  </w:r>
                </w:p>
              </w:tc>
            </w:tr>
            <w:tr w:rsidR="00BD027A" w:rsidRPr="002B1471" w:rsidTr="002B1471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., проф. Опарін О.А.</w:t>
                  </w:r>
                </w:p>
                <w:p w:rsidR="00BD027A" w:rsidRPr="002B1471" w:rsidRDefault="00BD027A" w:rsidP="002B14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471">
                    <w:rPr>
                      <w:rFonts w:ascii="Times New Roman" w:hAnsi="Times New Roman"/>
                      <w:sz w:val="24"/>
                      <w:szCs w:val="24"/>
                    </w:rPr>
                    <w:t>Комунальне некомерційне підприємство Харківської обласної ради «Обласний госпіталь ветеранів війни», терапевтичне відділення №1, Харківська медична академія післядипломної освіти, кафедра терапії, ревматології та клінічної фармакології, м. Харків</w:t>
                  </w:r>
                </w:p>
              </w:tc>
            </w:tr>
          </w:tbl>
          <w:p w:rsidR="00BD027A" w:rsidRPr="002E438B" w:rsidRDefault="00BD027A" w:rsidP="00C9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B42BF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4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C9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Відкрите, Подовжене Дослідження III Фази для Оцінки Довготривалої Ефективності та Безпечності Застосування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Мірікізумабу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у Пацієнтів із Виразковим Колітом Помірного та Тяжкого Перебігу (LUCENT 3)»; код дослідження I6T-MC-AMAP, ініціальна версія від  15 березня 2018 року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Елі Ліллі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Восток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СА, Швейцарія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Елі Ліллі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Компані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США /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Eli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Lilly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USA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2E438B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2E438B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0D1AC8" w:rsidRPr="002E438B" w:rsidRDefault="00BD027A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2E438B" w:rsidTr="00BD027A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2601A6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601A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2E438B" w:rsidRDefault="001D15B0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Включення додаткового місця проведення клінічного дослідження </w:t>
            </w:r>
          </w:p>
          <w:tbl>
            <w:tblPr>
              <w:tblW w:w="12241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11766"/>
            </w:tblGrid>
            <w:tr w:rsidR="00BD027A" w:rsidRPr="002E438B" w:rsidTr="00C92370">
              <w:trPr>
                <w:cantSplit/>
                <w:trHeight w:val="348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7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BD027A" w:rsidRPr="002E438B" w:rsidTr="00C92370">
              <w:trPr>
                <w:cantSplit/>
                <w:trHeight w:val="379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C92370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. Кравченко Т.Г.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Київська міська клінічна лікарня №18, проктологічне відділення, Національ</w:t>
                  </w:r>
                  <w:r w:rsidR="00C92370"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ний медичний університет імені                                  </w:t>
                  </w: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О. О. Богомольця, кафедра хірургії №1, м. Київ</w:t>
                  </w:r>
                </w:p>
              </w:tc>
            </w:tr>
          </w:tbl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1275 від 06.07.2018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подвійно сліпе, плацебо-контрольоване дослідження III фази з метою оцінки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озанімоду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для прийому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перорально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при проведенні індукційної терапії пацієнтам із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середньотяжким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або тяжким перебігом хвороби Крона в активній формі (дослідження №1 з оцінки індукційної терапії)», код дослідження RPC01-3201, редакція 3.0 від 18 червня 2018 р.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ТОВ «ПІ ЕС АЙ - УКРАЇНА»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Селджен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Інтернешнл II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Сàрл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"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Celgene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Sàrl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), Швейцарія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2B42BF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2E438B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2E438B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2E438B" w:rsidRDefault="00C92370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2E438B" w:rsidTr="00BD027A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2E438B" w:rsidRDefault="001D15B0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  <w:r w:rsidR="0014473A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Зміна відповідального дослідника в місці проведення дослідження; Зміна назви місця проведення дослідження</w:t>
            </w:r>
            <w:r w:rsidR="00C92370" w:rsidRPr="002E438B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31"/>
              <w:gridCol w:w="6521"/>
            </w:tblGrid>
            <w:tr w:rsidR="00BD027A" w:rsidRPr="002E438B" w:rsidTr="00C92370">
              <w:tc>
                <w:tcPr>
                  <w:tcW w:w="5731" w:type="dxa"/>
                  <w:shd w:val="clear" w:color="auto" w:fill="auto"/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</w:p>
              </w:tc>
              <w:tc>
                <w:tcPr>
                  <w:tcW w:w="6521" w:type="dxa"/>
                  <w:shd w:val="clear" w:color="auto" w:fill="auto"/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BD027A" w:rsidRPr="002E438B" w:rsidTr="00C92370">
              <w:tc>
                <w:tcPr>
                  <w:tcW w:w="5731" w:type="dxa"/>
                  <w:shd w:val="clear" w:color="auto" w:fill="auto"/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к.м.н. Даценко О.Б.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заклад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здоров’я</w:t>
                  </w:r>
                  <w:proofErr w:type="spellEnd"/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Харківська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№2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 проф. О.О.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Шалімова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проктологічне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</w:t>
                  </w:r>
                  <w:proofErr w:type="gram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6521" w:type="dxa"/>
                  <w:shd w:val="clear" w:color="auto" w:fill="auto"/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к.м.н. Даценко О.Г.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№2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проф. О.О.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Шалімова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ради</w:t>
                  </w:r>
                  <w:proofErr w:type="gram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проктологічне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,</w:t>
                  </w:r>
                  <w:r w:rsidR="00C92370"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                   </w:t>
                  </w: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м.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574E1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1960 від 29.10.2018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фази 3, яке проводиться в паралельних групах, для вивчення підтримувального лікування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мірікізумабом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у пацієнтів з виразковим колітом в активній стадії від помірного до важкого ступеня», код дослідження I6T-MC-AMBG від 13 березня 2018 року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C92370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Eli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Lilly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США</w:t>
            </w:r>
          </w:p>
        </w:tc>
      </w:tr>
      <w:tr w:rsidR="00BD027A" w:rsidRPr="002E438B" w:rsidTr="00BD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A" w:rsidRPr="002E438B" w:rsidRDefault="00BD027A" w:rsidP="00BD0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574E1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2E438B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F6DD4" w:rsidRPr="002E438B" w:rsidRDefault="007F6DD4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732" w:type="dxa"/>
        <w:tblLook w:val="01E0" w:firstRow="1" w:lastRow="1" w:firstColumn="1" w:lastColumn="1" w:noHBand="0" w:noVBand="0"/>
      </w:tblPr>
      <w:tblGrid>
        <w:gridCol w:w="2344"/>
        <w:gridCol w:w="8396"/>
        <w:gridCol w:w="4110"/>
        <w:gridCol w:w="10882"/>
      </w:tblGrid>
      <w:tr w:rsidR="0014473A" w:rsidRPr="002E438B" w:rsidTr="0014473A">
        <w:trPr>
          <w:gridBefore w:val="2"/>
          <w:wBefore w:w="10740" w:type="dxa"/>
          <w:trHeight w:val="568"/>
        </w:trPr>
        <w:tc>
          <w:tcPr>
            <w:tcW w:w="14992" w:type="dxa"/>
            <w:gridSpan w:val="2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F6DD4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2E438B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Зміна відповідального дослідника в місці проведення дослідження; Зміна назви місця проведення дослідження</w:t>
            </w:r>
            <w:r w:rsidR="00C92370" w:rsidRPr="002E438B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31"/>
              <w:gridCol w:w="6379"/>
            </w:tblGrid>
            <w:tr w:rsidR="00BD027A" w:rsidRPr="002E438B" w:rsidTr="00C92370">
              <w:tc>
                <w:tcPr>
                  <w:tcW w:w="5731" w:type="dxa"/>
                  <w:shd w:val="clear" w:color="auto" w:fill="auto"/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</w:p>
              </w:tc>
              <w:tc>
                <w:tcPr>
                  <w:tcW w:w="6379" w:type="dxa"/>
                  <w:shd w:val="clear" w:color="auto" w:fill="auto"/>
                </w:tcPr>
                <w:p w:rsidR="00BD027A" w:rsidRPr="002E438B" w:rsidRDefault="00BD027A" w:rsidP="00C92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BD027A" w:rsidRPr="002E438B" w:rsidTr="00C92370">
              <w:tc>
                <w:tcPr>
                  <w:tcW w:w="5731" w:type="dxa"/>
                  <w:shd w:val="clear" w:color="auto" w:fill="auto"/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к.м.н. Даценко О.Б.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заклад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здоров’я</w:t>
                  </w:r>
                  <w:proofErr w:type="spellEnd"/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Харківська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№2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 проф. О.О.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Шалімова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проктологічне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</w:t>
                  </w:r>
                  <w:proofErr w:type="gram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6379" w:type="dxa"/>
                  <w:shd w:val="clear" w:color="auto" w:fill="auto"/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к.м.н. Даценко О.Г.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№2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проф. О.О.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Шалімова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ради</w:t>
                  </w:r>
                  <w:proofErr w:type="gram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проктологічне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r w:rsidR="00C92370"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                    </w:t>
                  </w: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7F6DD4" w:rsidRPr="002E438B" w:rsidRDefault="007F6DD4" w:rsidP="00D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D4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2E438B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2E438B" w:rsidRDefault="00B574E1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1960 від 29.10.2018</w:t>
            </w:r>
          </w:p>
        </w:tc>
      </w:tr>
      <w:tr w:rsidR="007F6DD4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2E438B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фази 3, яке проводиться в паралельних групах, для вивчення індукційної терапії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мірікізумабом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у пацієнтів із виразковим колітом в активній стадії від помірного до важкого ступеня, в яких стандартна та біологічна терапія була неефективною», код дослідження I6T-MC-AMAN від 13 березня 2018 року</w:t>
            </w:r>
          </w:p>
        </w:tc>
      </w:tr>
      <w:tr w:rsidR="007F6DD4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2E438B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7F6DD4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2E438B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Eli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Lilly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США</w:t>
            </w:r>
          </w:p>
        </w:tc>
      </w:tr>
      <w:tr w:rsidR="007F6DD4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2E438B" w:rsidRDefault="007F6DD4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2E438B" w:rsidRDefault="00B574E1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6DD4" w:rsidRPr="002E438B" w:rsidRDefault="007F6DD4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17036" w:rsidRPr="002E438B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1288" w:type="dxa"/>
        <w:tblLook w:val="01E0" w:firstRow="1" w:lastRow="1" w:firstColumn="1" w:lastColumn="1" w:noHBand="0" w:noVBand="0"/>
      </w:tblPr>
      <w:tblGrid>
        <w:gridCol w:w="2344"/>
        <w:gridCol w:w="8571"/>
        <w:gridCol w:w="3935"/>
        <w:gridCol w:w="6438"/>
      </w:tblGrid>
      <w:tr w:rsidR="00A77E69" w:rsidRPr="002E438B" w:rsidTr="007F6DD4">
        <w:trPr>
          <w:trHeight w:val="568"/>
        </w:trPr>
        <w:tc>
          <w:tcPr>
            <w:tcW w:w="10915" w:type="dxa"/>
            <w:gridSpan w:val="2"/>
          </w:tcPr>
          <w:p w:rsidR="00A77E69" w:rsidRPr="002E438B" w:rsidRDefault="00A77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373" w:type="dxa"/>
            <w:gridSpan w:val="2"/>
          </w:tcPr>
          <w:p w:rsidR="00A77E69" w:rsidRPr="002E438B" w:rsidRDefault="00313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</w:t>
            </w:r>
            <w:r w:rsidR="00A77E69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7448F"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  <w:p w:rsidR="00A77E69" w:rsidRPr="002E438B" w:rsidRDefault="007D6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</w:t>
            </w:r>
            <w:r w:rsidR="00A77E69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охорони</w:t>
            </w:r>
          </w:p>
          <w:p w:rsidR="00A77E69" w:rsidRPr="002E438B" w:rsidRDefault="00A77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="00D03332"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7E69" w:rsidRPr="002E438B" w:rsidRDefault="001D1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  <w:r w:rsidR="00A77E69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A77E69" w:rsidRPr="002E438B" w:rsidRDefault="00A77E69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77E69" w:rsidRPr="002E438B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2E438B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2E438B" w:rsidRDefault="00BD027A" w:rsidP="00D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випробування MK-7264-027 з інкорпорованою поправкою 03 від 26 квітня 2019 року, англійською мовою; Додаток до інформації та документа про інформовану згоду для пацієнта на необов’язкове дослідження, Україна, MK-7264-027, версія 00 від 11 червня 2019 року, українською мовою; Додаток до інформації та документа про інформовану згоду для пацієнта на необов’язкове дослідження, Україна, MK-7264-027, версія 00 від </w:t>
            </w:r>
            <w:r w:rsidR="00BE434D" w:rsidRPr="00BE434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11 червня 2019 року, російською мовою </w:t>
            </w:r>
          </w:p>
        </w:tc>
      </w:tr>
      <w:tr w:rsidR="00A77E69" w:rsidRPr="002E438B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2E438B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2E438B" w:rsidRDefault="00B574E1" w:rsidP="0056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1962 від 29.10.2018</w:t>
            </w:r>
          </w:p>
        </w:tc>
      </w:tr>
      <w:tr w:rsidR="00A77E69" w:rsidRPr="002E438B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2E438B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2E438B" w:rsidRDefault="00DB4663" w:rsidP="004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подвійне сліпе, плацебо-контрольоване, 12-місячне дослідження ІІІ фази для оцінки ефективності та безпеки MK-7264 у дорослих пацієнтів з хронічним кашлем (дослідження PN027)», код дослідження MK-7264-027 з інкорпорованою поправкою 02 від 17 вересня 2018  року</w:t>
            </w:r>
          </w:p>
        </w:tc>
      </w:tr>
      <w:tr w:rsidR="00A77E69" w:rsidRPr="002E438B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2E438B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2E438B" w:rsidRDefault="00DB4663" w:rsidP="0056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A77E69" w:rsidRPr="002E438B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2E438B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2E438B" w:rsidRDefault="00DB4663" w:rsidP="004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Ко.,Інк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.», США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A77E69" w:rsidRPr="002E438B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2E438B" w:rsidRDefault="00A77E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2E438B" w:rsidRDefault="00B574E1" w:rsidP="0056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7015" w:rsidRPr="002E438B" w:rsidRDefault="007E7015" w:rsidP="00A77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2E438B" w:rsidRDefault="007F6DD4" w:rsidP="00A77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2E438B" w:rsidRDefault="00DB4663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873" w:type="dxa"/>
        <w:tblLook w:val="01E0" w:firstRow="1" w:lastRow="1" w:firstColumn="1" w:lastColumn="1" w:noHBand="0" w:noVBand="0"/>
      </w:tblPr>
      <w:tblGrid>
        <w:gridCol w:w="2344"/>
        <w:gridCol w:w="8537"/>
        <w:gridCol w:w="3969"/>
        <w:gridCol w:w="11023"/>
      </w:tblGrid>
      <w:tr w:rsidR="0014473A" w:rsidRPr="002E438B" w:rsidTr="0014473A">
        <w:trPr>
          <w:gridBefore w:val="2"/>
          <w:wBefore w:w="10881" w:type="dxa"/>
          <w:trHeight w:val="568"/>
        </w:trPr>
        <w:tc>
          <w:tcPr>
            <w:tcW w:w="14992" w:type="dxa"/>
            <w:gridSpan w:val="2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C2A92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2E438B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2E438B" w:rsidRDefault="00BD027A" w:rsidP="00BE4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Оновлений протокол клінічного випробування MK-7264-030 з інкорпорованою поправкою 04 від 26 квітня 2019 року, англійською мовою</w:t>
            </w:r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Додаток до інформації та документу про інформовану згоду для пацієнта на необов’язкове дослідження, Україна, MK-7264-030, версія 00 від 11 червня 2019 року, українською мовою; Додаток до інформації та документу про інформовану згоду для пацієнта на необов’язкове дослідження, Україна, MK-7264-030, версія 00 від</w:t>
            </w:r>
            <w:r w:rsidR="00BE434D" w:rsidRPr="00BE4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11 червня 2019 року, російською мовою </w:t>
            </w:r>
          </w:p>
        </w:tc>
      </w:tr>
      <w:tr w:rsidR="00BC2A92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2E438B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2E438B" w:rsidRDefault="00B574E1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№1132 від 15.06.2018</w:t>
            </w:r>
          </w:p>
        </w:tc>
      </w:tr>
      <w:tr w:rsidR="00BC2A92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2E438B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подвійне сліпе, плацебо-контрольоване, 12-місячне дослідження ІІІ фази для оцінки ефективності та безпеки MK-7264 у дорослих пацієнтів з хронічним кашлем (дослідження PN030)», код дослідження МК-7264-030, версія з інкорпорованою поправкою 02 від 18 вересня 2018 року</w:t>
            </w:r>
          </w:p>
        </w:tc>
      </w:tr>
      <w:tr w:rsidR="00BC2A92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2E438B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BC2A92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2E438B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2E438B" w:rsidRDefault="00DB4663" w:rsidP="00BE4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Ко.,Інк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.», США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BC2A92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2E438B" w:rsidRDefault="00BC2A92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2E438B" w:rsidRDefault="00B574E1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2A92" w:rsidRPr="002E438B" w:rsidRDefault="00BC2A92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A92" w:rsidRPr="002E438B" w:rsidRDefault="00BC2A92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731" w:type="dxa"/>
        <w:tblLook w:val="01E0" w:firstRow="1" w:lastRow="1" w:firstColumn="1" w:lastColumn="1" w:noHBand="0" w:noVBand="0"/>
      </w:tblPr>
      <w:tblGrid>
        <w:gridCol w:w="2344"/>
        <w:gridCol w:w="8537"/>
        <w:gridCol w:w="3969"/>
        <w:gridCol w:w="10881"/>
      </w:tblGrid>
      <w:tr w:rsidR="0014473A" w:rsidRPr="002E438B" w:rsidTr="0014473A">
        <w:trPr>
          <w:gridBefore w:val="2"/>
          <w:wBefore w:w="10881" w:type="dxa"/>
          <w:trHeight w:val="568"/>
        </w:trPr>
        <w:tc>
          <w:tcPr>
            <w:tcW w:w="14850" w:type="dxa"/>
            <w:gridSpan w:val="2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11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  <w:r w:rsidR="0014473A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D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Включення додаткового місця проведення клінічного дослідження</w:t>
            </w:r>
            <w:r w:rsidR="00DB4663" w:rsidRPr="002E43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12241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11624"/>
            </w:tblGrid>
            <w:tr w:rsidR="00BD027A" w:rsidRPr="002E438B" w:rsidTr="00DB4663">
              <w:trPr>
                <w:cantSplit/>
                <w:trHeight w:val="348"/>
              </w:trPr>
              <w:tc>
                <w:tcPr>
                  <w:tcW w:w="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BD027A" w:rsidRPr="002E438B" w:rsidRDefault="00BD027A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6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27A" w:rsidRPr="002E438B" w:rsidRDefault="00BD027A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BD027A" w:rsidRPr="002E438B" w:rsidRDefault="00BD027A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BD027A" w:rsidRPr="002E438B" w:rsidTr="00DB4663">
              <w:trPr>
                <w:cantSplit/>
                <w:trHeight w:val="379"/>
              </w:trPr>
              <w:tc>
                <w:tcPr>
                  <w:tcW w:w="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DB4663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. Кравченко Т.Г.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Київська міська клінічна лікарня №18, проктологічне відділення, Національний медичний університет імені О.О. Богомольця, кафедра хірургії №1, м. Київ</w:t>
                  </w:r>
                </w:p>
              </w:tc>
            </w:tr>
          </w:tbl>
          <w:p w:rsidR="00954B4D" w:rsidRPr="002E438B" w:rsidRDefault="00954B4D" w:rsidP="00D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574E1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1275 від 06.07.2018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B5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подвійно сліпе, плацебо-контрольоване дослідження III фази з метою оцінки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озанімоду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для перорального прийому при проведенні підтримуючої терапії пацієнтам із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середньотяжким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або тяжким перебігом хвороби Крона в активній формі», код дослідження RPC01</w:t>
            </w:r>
            <w:r w:rsidR="00B574E1">
              <w:rPr>
                <w:rFonts w:ascii="Times New Roman" w:hAnsi="Times New Roman"/>
                <w:sz w:val="24"/>
                <w:szCs w:val="24"/>
              </w:rPr>
              <w:t>-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3203, редакція 3.0 від 18 червня 2018 р.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ТОВ «ПІ ЕС АЙ - УКРАЇНА»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Селджен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Інтернешнл II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Сàрл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Celgene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Sàrl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), Швейцарія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574E1" w:rsidP="00B5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873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11023"/>
      </w:tblGrid>
      <w:tr w:rsidR="0014473A" w:rsidRPr="002E438B" w:rsidTr="0014473A">
        <w:trPr>
          <w:gridBefore w:val="2"/>
          <w:wBefore w:w="11023" w:type="dxa"/>
          <w:trHeight w:val="568"/>
        </w:trPr>
        <w:tc>
          <w:tcPr>
            <w:tcW w:w="14850" w:type="dxa"/>
            <w:gridSpan w:val="2"/>
          </w:tcPr>
          <w:p w:rsidR="0014473A" w:rsidRPr="002E438B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12</w:t>
            </w:r>
          </w:p>
          <w:p w:rsidR="0014473A" w:rsidRPr="002E438B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  <w:r w:rsidR="0014473A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2E438B" w:rsidRDefault="0014473A" w:rsidP="00954B4D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Включення додаткового місця проведення клінічного дослідження</w:t>
            </w:r>
            <w:r w:rsidR="00DB4663" w:rsidRPr="002E43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12241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1674"/>
            </w:tblGrid>
            <w:tr w:rsidR="00BD027A" w:rsidRPr="002E438B" w:rsidTr="00DB4663">
              <w:trPr>
                <w:cantSplit/>
                <w:trHeight w:val="34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BD027A" w:rsidRPr="002E438B" w:rsidRDefault="00BD027A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67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27A" w:rsidRPr="002E438B" w:rsidRDefault="00BD027A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BD027A" w:rsidRPr="002E438B" w:rsidRDefault="00BD027A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BD027A" w:rsidRPr="002E438B" w:rsidTr="00DB4663">
              <w:trPr>
                <w:cantSplit/>
                <w:trHeight w:val="37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DB4663" w:rsidP="00DB46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. Кравченко Т.Г.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Київська міська клінічна лікарня №18, проктологічне відділення, Національний медичний університет імені</w:t>
                  </w:r>
                  <w:r w:rsidR="00BE434D" w:rsidRPr="00BE43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О.О. Богомольця, кафедра хірургії №1, м. Київ</w:t>
                  </w:r>
                </w:p>
              </w:tc>
            </w:tr>
          </w:tbl>
          <w:p w:rsidR="00954B4D" w:rsidRPr="00BE434D" w:rsidRDefault="00954B4D" w:rsidP="00D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574E1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1275 від 06.07.2018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«Додаткове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відкрите дослідження III фази з метою оцінки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озанімоду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для перорального прийому при лікуванні пацієнтів із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середньотяжким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або тяжким перебігом хвороби Крона в активні</w:t>
            </w:r>
            <w:r w:rsidR="00B574E1">
              <w:rPr>
                <w:rFonts w:ascii="Times New Roman" w:hAnsi="Times New Roman"/>
                <w:sz w:val="24"/>
                <w:szCs w:val="24"/>
              </w:rPr>
              <w:t>й формі», код дослідження RPC01-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3204, редакція 3.0 від 18 червня 2018 р.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ТОВ «ПІ ЕС АЙ - УКРАЇНА»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Селджен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Інтернешнл II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Сàрл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Celgene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Sàrl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), Швейцарія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574E1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5384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534"/>
      </w:tblGrid>
      <w:tr w:rsidR="0014473A" w:rsidRPr="002E438B" w:rsidTr="0014473A">
        <w:trPr>
          <w:gridBefore w:val="2"/>
          <w:wBefore w:w="11023" w:type="dxa"/>
          <w:trHeight w:val="568"/>
        </w:trPr>
        <w:tc>
          <w:tcPr>
            <w:tcW w:w="4361" w:type="dxa"/>
            <w:gridSpan w:val="2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13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D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Оновлення Брошури Дослідника 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Подофілокс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 Гель 0,5%. Версія 2.0; дата від 09 листопада 2018 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574E1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E43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1132 від 15.06.2018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B5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 подвійне сліпе плацебо-контрольоване дослідження в паралельних групах препарату 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Подофілокс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 Гель 0,5% для зовнішнього застосування компанії «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Хілоріс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Девелопментс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» у порівнянні з препаратом 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Кондилокс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® Гель 0,5% компанії «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Аллерган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», та обох лікарських препаратів у порівнянні з плацебо у пацієнтів чоловічої та жіночої статі із зовнішніми </w:t>
            </w:r>
            <w:proofErr w:type="spellStart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аногенітальними</w:t>
            </w:r>
            <w:proofErr w:type="spellEnd"/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 xml:space="preserve"> кондиломами», код дослідження</w:t>
            </w:r>
            <w:r w:rsidR="00B574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438B">
              <w:rPr>
                <w:rFonts w:ascii="Times New Roman" w:hAnsi="Times New Roman"/>
                <w:bCs/>
                <w:sz w:val="24"/>
                <w:szCs w:val="24"/>
              </w:rPr>
              <w:t>016-POD-001, версія 2.0 від 15.01.2018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БіоРАСІ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Ел-Ел-Сі", США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Хілоріс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Девелопментс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СА»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Hyloris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SA),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574E1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hAnsi="Times New Roman"/>
          <w:sz w:val="24"/>
          <w:szCs w:val="24"/>
        </w:rPr>
        <w:br w:type="page"/>
      </w:r>
    </w:p>
    <w:tbl>
      <w:tblPr>
        <w:tblW w:w="14959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109"/>
      </w:tblGrid>
      <w:tr w:rsidR="0014473A" w:rsidRPr="002E438B" w:rsidTr="0014473A">
        <w:trPr>
          <w:gridBefore w:val="2"/>
          <w:wBefore w:w="11023" w:type="dxa"/>
          <w:trHeight w:val="568"/>
        </w:trPr>
        <w:tc>
          <w:tcPr>
            <w:tcW w:w="3936" w:type="dxa"/>
            <w:gridSpan w:val="2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D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Досьє досліджуваного лікарського засобу (IMPD): Розділ "Лікарська субстанція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Сулопенем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етзадроксил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 /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Drug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Substance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Sulopenem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Etzadroxil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) (PF-03709270)", редакція 2.0 від 01 лютого 2019 р.; Розділ "Лікарська субстанція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Пробенецид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 /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Drug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Substance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Probenecid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)", редакція 2.0 від 01 лютого 2019 р.; Розділ "Лікарській препарат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Сулопенем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етзадроксил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пробенецид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таблетки, вкриті плівковою оболонкою) /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Drug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Product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Sulopenem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etzadroxil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Probenecid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Bilayer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Tablet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)", редакція 2.0 від 01 лютого 2019 р.; Розділ "Лікарській препарат (Плацебо) /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Drug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Product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Placebo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)", редакція 2.0 від 01 лютого 2019 р.; Скорочене досьє досліджуваного лікарського засобу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sIMPD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):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Ципрофлоксацин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250 мг та Плацебо препарат порівняння капсули /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Ciprofloxacin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250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and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Placebo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Comparator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Capsules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, редакція 2.0 від 01 лютого 2019 р.; Супутні матеріали, що будуть використовуватися у клінічному випробуванні IT001-301: Лабораторні набори з пробірками для забору та транспортування лабораторних аналізів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Laboratory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kits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with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Transportation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tubes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Medpace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Reference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Laboratories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, Бельгія; Стерильні контейнери для забору сечі з кришками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Sterile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Urine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Collection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Cups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with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lids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Parter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Medical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Products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США; Тест-набір для аналізу сечі на вагітність HCG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Alere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Urine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Pregnancy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test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kit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HCG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Alere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Abon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Biopharm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, Китай; Вакуумна пробірка BD C&amp;S для зразків сечі, із консервантом, 4 мл, виробництва компанії 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Бектон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Дікенсон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» [BD] (4mL BD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Urine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C&amp;S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Vacutainer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preservative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tube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), виробництва BD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Diagnostics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, США; Стерильний контейнер BD C&amp;S, із пристроєм для переносу сечі, виробництва компанії 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Бектон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Дікенсон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» [BD] (стерильна ємність із вбудованим механізмом для переносу сечі) (BD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urine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collection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cup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with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integarated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transfer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device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), виробництва BD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Diagnostics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США; Петля бактеріологічна, 1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мкл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Inoculating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loop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1 µL),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Simport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, Канада;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Петля бактеріологічна, 10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мкл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Inoculating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loop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10 µL),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Simport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, Канада;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Скляна пробірка ємністю 2 мл, що містить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триптиказо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-соєве бульйонне поживне середовище для культивування мікроорганізмів, із 15% розчином гліцерину (TSB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vials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2 ml, w/15%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Glycerol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Remel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, США; Предметні скельця у пластикових футлярах для їх відправки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Plastic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single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slide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mailer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with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glass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slide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Medpace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Reference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Laboratories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, Бельгія;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Аналізатор сечі PROMO - CLA-UAPROMO5 (ANALYZER PROMO - CLA-UAPROMO5) в комплекті,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Clarity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Diagnostics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LLC, США; Калібрувальні розчини UROCHECK URINE CONTROLS-CD-UCTL30 для Аналізатора сечі UROCHECK URINE CONTROLS - CD-UCTL30, виробництва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Clarity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>Diagnostics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LLC, США 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E7F5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1070 від 14.05.2019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Назва клінічного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lastRenderedPageBreak/>
              <w:t>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проспективне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подвійно сліпе дослідження III фази з порівняльної оцінки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ефективності,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та безпечності комбінованого препарату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сулопенему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етзадроксилу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пробенециду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для перорального прийому та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ципрофлоксацину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для перорального прийому при лікуванні дорослих пацієнток із неускладненими інфекціями сечовивідних шляхів», код дослідження IT001-301, редакція з Поправкою 1 від 07 червня 2018 р.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lastRenderedPageBreak/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ТОВ «ПІ ЕС АЙ - УКРАЇНА»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DB466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Ітерум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Терапьютикс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Інтернешнл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Лімітед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» [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Iterum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Therapeutics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], Ірландія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E7F5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</w:tblGrid>
      <w:tr w:rsidR="0014473A" w:rsidRPr="002E438B" w:rsidTr="0014473A">
        <w:trPr>
          <w:gridBefore w:val="2"/>
          <w:wBefore w:w="11023" w:type="dxa"/>
          <w:trHeight w:val="568"/>
        </w:trPr>
        <w:tc>
          <w:tcPr>
            <w:tcW w:w="3827" w:type="dxa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0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Включення додаткового місця проведення випробування</w:t>
            </w:r>
            <w:r w:rsidR="001359B0" w:rsidRPr="002E438B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241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11766"/>
            </w:tblGrid>
            <w:tr w:rsidR="001359B0" w:rsidRPr="002E438B" w:rsidTr="001359B0">
              <w:trPr>
                <w:cantSplit/>
                <w:trHeight w:val="348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7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1359B0" w:rsidRPr="002E438B" w:rsidTr="001359B0">
              <w:trPr>
                <w:cantSplit/>
                <w:trHeight w:val="379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лікар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Астахова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Т.М.</w:t>
                  </w:r>
                </w:p>
                <w:p w:rsidR="001359B0" w:rsidRPr="002E438B" w:rsidRDefault="001359B0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Комунальна установа «Міська лікарня №1», кардіологічне відділення, м. Запоріжжя</w:t>
                  </w:r>
                </w:p>
              </w:tc>
            </w:tr>
          </w:tbl>
          <w:p w:rsidR="00954B4D" w:rsidRPr="002E438B" w:rsidRDefault="00954B4D" w:rsidP="0013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1359B0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фази 2 для оцінки впливу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філготінібу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на параметри сперми у дорослих чоловіків із активним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ревматоїдним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артритом,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псоріатичним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артритом,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анкілозуючим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спондилітом або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дорентгенологічним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аксіальним спондилоартритом», код дослідження GLPG0634-CL-227, версія від 05 лютого 2019 року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1359B0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1359B0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Galapagos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NV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, Бельгія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2E43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2E438B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  <w:p w:rsidR="0014473A" w:rsidRPr="002E438B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  <w:r w:rsidR="0014473A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2E438B" w:rsidRDefault="0014473A" w:rsidP="00954B4D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0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Включення додаткового місця проведення випробування</w:t>
            </w:r>
            <w:r w:rsidR="001359B0" w:rsidRPr="002E438B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241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11766"/>
            </w:tblGrid>
            <w:tr w:rsidR="001359B0" w:rsidRPr="002E438B" w:rsidTr="001359B0">
              <w:trPr>
                <w:cantSplit/>
                <w:trHeight w:val="348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7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1359B0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1359B0" w:rsidRPr="002E438B" w:rsidTr="001359B0">
              <w:trPr>
                <w:cantSplit/>
                <w:trHeight w:val="379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ind w:left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. Качур В.В.</w:t>
                  </w:r>
                </w:p>
                <w:p w:rsidR="001359B0" w:rsidRPr="002E438B" w:rsidRDefault="001359B0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Медичний центр «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Ок!Клінік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+» товариства з обмеженою відповідальністю «Міжнародний інститут клінічних досліджень», м. Київ</w:t>
                  </w:r>
                </w:p>
              </w:tc>
            </w:tr>
          </w:tbl>
          <w:p w:rsidR="00954B4D" w:rsidRPr="002E438B" w:rsidRDefault="00954B4D" w:rsidP="00BD02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1359B0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фази 2 для оцінки впливу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філготінібу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на параметри сперми у дорослих чоловіків із активним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ревматоїдним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артритом,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псоріатичним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артритом,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анкілозуючим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спондилітом або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дорентгенологічним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аксіальним спондилоартритом», код дослідження GLPG0634-CL-227, версія від 05 лютого 2019 року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1359B0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1359B0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Galapagos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NV, Бельгія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954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2E43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  <w:r w:rsidR="0014473A"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A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Включення додаткових місць проведення випробування:</w:t>
            </w:r>
          </w:p>
          <w:tbl>
            <w:tblPr>
              <w:tblW w:w="12099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11624"/>
            </w:tblGrid>
            <w:tr w:rsidR="00BD027A" w:rsidRPr="002E438B" w:rsidTr="00FF26E6">
              <w:trPr>
                <w:cantSplit/>
                <w:trHeight w:val="348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BD027A" w:rsidRPr="002E438B" w:rsidRDefault="00BD027A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6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27A" w:rsidRPr="002E438B" w:rsidRDefault="00BD027A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BD027A" w:rsidRPr="002E438B" w:rsidRDefault="00BD027A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BD027A" w:rsidRPr="002E438B" w:rsidTr="00FF26E6">
              <w:trPr>
                <w:cantSplit/>
                <w:trHeight w:val="1090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1359B0" w:rsidP="001359B0">
                  <w:pPr>
                    <w:spacing w:after="0" w:line="240" w:lineRule="auto"/>
                    <w:ind w:left="720" w:hanging="5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9B0" w:rsidRPr="002E438B" w:rsidRDefault="00BD027A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Ілащук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Т.О. </w:t>
                  </w:r>
                </w:p>
                <w:p w:rsidR="00BD027A" w:rsidRPr="002E438B" w:rsidRDefault="00BD027A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Комунальна медична установа " Міська клінічна лікарня №3", терапевтичне відділення №1 з ліжками ревматологічного профілю, Вищий державний навчальний заклад України «Буковинський державний медичний університет», кафедра пропедевтики внутрішніх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хвороб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, м. Чернівці</w:t>
                  </w:r>
                </w:p>
              </w:tc>
            </w:tr>
            <w:tr w:rsidR="00BD027A" w:rsidRPr="002E438B" w:rsidTr="00FF26E6">
              <w:trPr>
                <w:cantSplit/>
                <w:trHeight w:val="379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1359B0" w:rsidP="00135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9B0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Родіонова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В.В.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Комунальний заклад "Дніпропетровська міська багатопрофільна клінічна лікарня №4" Дніпропетровської обласної ради, відділення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профпатології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Державний заклад «Дніпропетровська медична академія Міністерства охорони здоров‘я України», кафедра професійних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хвороб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клінічної імунології, м. Дніпро </w:t>
                  </w:r>
                </w:p>
              </w:tc>
            </w:tr>
            <w:tr w:rsidR="00BD027A" w:rsidRPr="002E438B" w:rsidTr="00FF26E6">
              <w:trPr>
                <w:cantSplit/>
                <w:trHeight w:val="379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FF2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9B0" w:rsidRPr="002E438B" w:rsidRDefault="00BD027A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лікар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Авгайтіс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С.С.</w:t>
                  </w:r>
                </w:p>
                <w:p w:rsidR="00BD027A" w:rsidRPr="002E438B" w:rsidRDefault="00BD027A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"Херсонська міська клінічна лікарня імені Афанасія і Ольги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Тропіних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" Херсонської міської ради, відділення терапії №1, м. Херсон</w:t>
                  </w:r>
                </w:p>
              </w:tc>
            </w:tr>
            <w:tr w:rsidR="00BD027A" w:rsidRPr="002E438B" w:rsidTr="00FF26E6">
              <w:trPr>
                <w:cantSplit/>
                <w:trHeight w:val="379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FF2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9B0" w:rsidRPr="002E438B" w:rsidRDefault="001359B0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Стець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Р.В.</w:t>
                  </w:r>
                </w:p>
                <w:p w:rsidR="00BD027A" w:rsidRPr="002E438B" w:rsidRDefault="00BD027A" w:rsidP="001359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Комунальна установа "6-А міська клінічна лікарня", терапевтичне відділення, м. Запоріжжя</w:t>
                  </w:r>
                </w:p>
              </w:tc>
            </w:tr>
            <w:tr w:rsidR="00BD027A" w:rsidRPr="002E438B" w:rsidTr="00FF26E6">
              <w:trPr>
                <w:cantSplit/>
                <w:trHeight w:val="379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FF2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9B0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Кайдашев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І.П.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Комунальне підприємство "1-а міська клінічна лікарня Полтавської міської ради" , терапевтичне відділення, Українська медична стоматологічна академія, кафедра внутрішньої медицини №3 з фтизіатрією, м. Полтава</w:t>
                  </w:r>
                </w:p>
              </w:tc>
            </w:tr>
            <w:tr w:rsidR="00BD027A" w:rsidRPr="002E438B" w:rsidTr="00FF26E6">
              <w:trPr>
                <w:cantSplit/>
                <w:trHeight w:val="379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27A" w:rsidRPr="002E438B" w:rsidRDefault="00BD027A" w:rsidP="00FF2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9B0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ікар</w:t>
                  </w:r>
                  <w:proofErr w:type="spellEnd"/>
                  <w:r w:rsidRPr="002E43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Тарасенко О.М.</w:t>
                  </w:r>
                </w:p>
                <w:p w:rsidR="00BD027A" w:rsidRPr="002E438B" w:rsidRDefault="00BD027A" w:rsidP="00BD02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8B">
                    <w:rPr>
                      <w:rFonts w:ascii="Times New Roman" w:hAnsi="Times New Roman"/>
                      <w:sz w:val="24"/>
                      <w:szCs w:val="24"/>
                    </w:rPr>
                    <w:t>Товариство з обмеженою відповідальністю «Лікувально-діагностичний центр «Адоніс плюс», амбулаторне відділення , м. Київ</w:t>
                  </w:r>
                </w:p>
              </w:tc>
            </w:tr>
          </w:tbl>
          <w:p w:rsidR="00954B4D" w:rsidRPr="002E438B" w:rsidRDefault="00954B4D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фази 2 для оцінки впливу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філготінібу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на параметри сперми у дорослих чоловіків із активним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ревматоїдним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артритом,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псоріатичним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артритом,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анкілозуючим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спондилітом або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дорентгенологічним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аксіальним спондилоартритом», код дослідження GLPG0634-CL-227, версія від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lastRenderedPageBreak/>
              <w:t>05 лютого 2019 року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lastRenderedPageBreak/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Galapagos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NV, Бельгія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2E43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18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2E438B" w:rsidRDefault="001D15B0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06.08.2019 № 1751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Зразок інформації, що буде видана пацієнту на електронному носії версія 1 від 17 квітня 2019 року, українською мовою, включаючи опитувальники: EORTC QLQ-C30 (версія 3.0) від 1995 року; FACT-B (версія 4) від </w:t>
            </w:r>
            <w:r w:rsidR="001F3253" w:rsidRPr="001F325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1987, 1997 року; EQ-5D-5L «Анкета щодо стану здоров’я»; Зразок інформації, що буде видана пацієнту на електронному носії версія 1 від 17 квітня 2019 року, російською мовою, включаючи опитувальники: EORTC QLQ-C30 (версія 3.0) від 1995 року; FACT-B (версія 4) від 1987, 1997 року; EQ-5D-5L 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»; Зразок маркування на планшеті за протоколом POL6326-009, англійською мовою версія 1 від 15 березня 2019 року 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«Міжнародне,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відкрите дослідження 3-ої фази для порівняння комбінації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Баліксафортиду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Ерібуліном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та самостійного застосування 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Ерібуліну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у пацієнтів із HER2 негативним, місцево-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рецидивуючим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або метастатичним раком молочної залози», код дослідження POL6326-009, версія 2.0 від 29 листопада 2018 р.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Контрактно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-Дослідницька Організація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Іннофарм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-Україна»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Polyphor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Поліфор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Швейцарія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2E43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2E43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2E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38650B" w:rsidRDefault="0038650B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06.08.2019 </w:t>
            </w:r>
            <w:r w:rsidR="0014473A"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№</w:t>
            </w:r>
            <w:r w:rsidRPr="003865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1751</w:t>
            </w:r>
          </w:p>
          <w:p w:rsidR="0014473A" w:rsidRPr="002E43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BD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дослідження 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CONTINUATION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-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PV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редакція 6.0 від 20 березня 2019 р.; Синопсис оновленого Протоколу клінічного дослідження 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CONTINUATION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-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PV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редакція 6.0 від 20 березня 2019 р., переклад з англійської мови на українську мову від 03 квітня 2019 р.; Інформація для пацієнта та форма інформованої згоди на участь у клінічному дослідженні, остаточна редакція №5.0 англійською мовою для дослідницьких центрів України від 03 квітня 2019 р., остаточний переклад російською мовою від 06 травня 2019 р., остаточний переклад українською мовою від 06 травня 2019 р.; Інформація для пацієнта та форма інформованої згоди на участь у клінічному дослідженні (для пацієнтів, які отримують найкращу доступну терапію), остаточна редакція №3.0 англійською мовою для дослідницьких центрів України від 03 квітня 2019 р., остаточний переклад російською мовою від 06 травня </w:t>
            </w:r>
            <w:r w:rsidR="001F3253" w:rsidRPr="001F325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2019 р., остаточний переклад українською мовою від 06 травня 2019 р.; Досьє досліджуваного лікарського засобу (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IMPD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Ropeginterferon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alfa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-2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b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 (250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μg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and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μg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Pre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filled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pen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редакція від 02 травня 2019 р.; Стисла характеристика досліджуваного лікарського засобу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SmPC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Besremi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ropeginterferon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alfa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-2</w:t>
            </w:r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b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 xml:space="preserve">) 250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mcg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/0.5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mL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, 500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mcg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/0.5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mL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solution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for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injection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in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pre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filled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pen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«Відкрите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дослідження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ІІІb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фази з оцінки довготривалої ефективності та безпечності препарату AOP2014 та стандартної терапії першої лінії (найкраща доступна терапія) в пацієнтів зі справжньою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поліцитемією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>, які раніше брали участь у дослідженні PROUD-PV», код дослідження CONTINUATION-PV, редакція 5.1 від 11 листопада 2016 р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2E4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«ПІ ЕС АЙ - УКРАЇНА</w:t>
            </w:r>
            <w:r w:rsidRPr="002E43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BD027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B">
              <w:rPr>
                <w:rFonts w:ascii="Times New Roman" w:hAnsi="Times New Roman"/>
                <w:sz w:val="24"/>
                <w:szCs w:val="24"/>
              </w:rPr>
              <w:t xml:space="preserve">«Ей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Пі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Орфан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38B">
              <w:rPr>
                <w:rFonts w:ascii="Times New Roman" w:hAnsi="Times New Roman"/>
                <w:sz w:val="24"/>
                <w:szCs w:val="24"/>
              </w:rPr>
              <w:t>Фармасьютикалз</w:t>
            </w:r>
            <w:proofErr w:type="spellEnd"/>
            <w:r w:rsidRPr="002E438B">
              <w:rPr>
                <w:rFonts w:ascii="Times New Roman" w:hAnsi="Times New Roman"/>
                <w:sz w:val="24"/>
                <w:szCs w:val="24"/>
              </w:rPr>
              <w:t xml:space="preserve"> АГ», Австрія</w:t>
            </w:r>
          </w:p>
        </w:tc>
      </w:tr>
      <w:tr w:rsidR="00954B4D" w:rsidRPr="002E43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2E43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2E438B" w:rsidRDefault="00FF26E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2E43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2E43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3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2E438B" w:rsidRDefault="008223EB" w:rsidP="00FF26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3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E43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2E43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</w:p>
    <w:sectPr w:rsidR="008223EB" w:rsidRPr="002E438B" w:rsidSect="005709D6">
      <w:pgSz w:w="16838" w:h="11906" w:orient="landscape"/>
      <w:pgMar w:top="993" w:right="1245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64" w:rsidRDefault="00E50F64" w:rsidP="00E71D49">
      <w:pPr>
        <w:spacing w:after="0" w:line="240" w:lineRule="auto"/>
      </w:pPr>
      <w:r>
        <w:separator/>
      </w:r>
    </w:p>
  </w:endnote>
  <w:endnote w:type="continuationSeparator" w:id="0">
    <w:p w:rsidR="00E50F64" w:rsidRDefault="00E50F64" w:rsidP="00E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64" w:rsidRDefault="00E50F64" w:rsidP="00E71D49">
      <w:pPr>
        <w:spacing w:after="0" w:line="240" w:lineRule="auto"/>
      </w:pPr>
      <w:r>
        <w:separator/>
      </w:r>
    </w:p>
  </w:footnote>
  <w:footnote w:type="continuationSeparator" w:id="0">
    <w:p w:rsidR="00E50F64" w:rsidRDefault="00E50F64" w:rsidP="00E7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F1A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A60866"/>
    <w:multiLevelType w:val="multilevel"/>
    <w:tmpl w:val="6A78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636055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D21CCC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003831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902455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D27A1A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A56B5E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97863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530D75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CF"/>
    <w:rsid w:val="00011A71"/>
    <w:rsid w:val="00027CF3"/>
    <w:rsid w:val="00041B05"/>
    <w:rsid w:val="00045856"/>
    <w:rsid w:val="000544FF"/>
    <w:rsid w:val="00060676"/>
    <w:rsid w:val="000746CF"/>
    <w:rsid w:val="00075DAE"/>
    <w:rsid w:val="00080442"/>
    <w:rsid w:val="00084A8E"/>
    <w:rsid w:val="00091E5A"/>
    <w:rsid w:val="00094034"/>
    <w:rsid w:val="000971D7"/>
    <w:rsid w:val="000B030D"/>
    <w:rsid w:val="000D1791"/>
    <w:rsid w:val="000D1AC8"/>
    <w:rsid w:val="000D3EE5"/>
    <w:rsid w:val="000E497B"/>
    <w:rsid w:val="0010305A"/>
    <w:rsid w:val="00110A5E"/>
    <w:rsid w:val="0013109B"/>
    <w:rsid w:val="001359B0"/>
    <w:rsid w:val="0014473A"/>
    <w:rsid w:val="00145084"/>
    <w:rsid w:val="001462A3"/>
    <w:rsid w:val="0015324E"/>
    <w:rsid w:val="0016397F"/>
    <w:rsid w:val="001662BA"/>
    <w:rsid w:val="00166E00"/>
    <w:rsid w:val="001800DD"/>
    <w:rsid w:val="00193616"/>
    <w:rsid w:val="001A18CF"/>
    <w:rsid w:val="001D15B0"/>
    <w:rsid w:val="001D37DF"/>
    <w:rsid w:val="001D7CEC"/>
    <w:rsid w:val="001E3A3D"/>
    <w:rsid w:val="001F3253"/>
    <w:rsid w:val="001F3FCF"/>
    <w:rsid w:val="001F778A"/>
    <w:rsid w:val="00212240"/>
    <w:rsid w:val="00217CD5"/>
    <w:rsid w:val="00227C8F"/>
    <w:rsid w:val="00234895"/>
    <w:rsid w:val="0023522E"/>
    <w:rsid w:val="002355BF"/>
    <w:rsid w:val="00246A80"/>
    <w:rsid w:val="002601A6"/>
    <w:rsid w:val="00260B09"/>
    <w:rsid w:val="00267C33"/>
    <w:rsid w:val="00283BF4"/>
    <w:rsid w:val="00296A31"/>
    <w:rsid w:val="002A35E6"/>
    <w:rsid w:val="002A372C"/>
    <w:rsid w:val="002B1471"/>
    <w:rsid w:val="002B42BF"/>
    <w:rsid w:val="002B5B33"/>
    <w:rsid w:val="002B6D3A"/>
    <w:rsid w:val="002C6F6B"/>
    <w:rsid w:val="002C78C4"/>
    <w:rsid w:val="002D1921"/>
    <w:rsid w:val="002D3A2E"/>
    <w:rsid w:val="002D4FF5"/>
    <w:rsid w:val="002E438B"/>
    <w:rsid w:val="002F13D0"/>
    <w:rsid w:val="002F5F0B"/>
    <w:rsid w:val="002F6E1D"/>
    <w:rsid w:val="0030716F"/>
    <w:rsid w:val="0030719F"/>
    <w:rsid w:val="00313366"/>
    <w:rsid w:val="00356593"/>
    <w:rsid w:val="00360819"/>
    <w:rsid w:val="00361A6B"/>
    <w:rsid w:val="00366C4A"/>
    <w:rsid w:val="0038354D"/>
    <w:rsid w:val="0038650B"/>
    <w:rsid w:val="003874AE"/>
    <w:rsid w:val="003931B3"/>
    <w:rsid w:val="003A2685"/>
    <w:rsid w:val="003A4ABD"/>
    <w:rsid w:val="003C1EEB"/>
    <w:rsid w:val="003D7C73"/>
    <w:rsid w:val="003E6D9A"/>
    <w:rsid w:val="003F6D6A"/>
    <w:rsid w:val="00401C8A"/>
    <w:rsid w:val="00416C57"/>
    <w:rsid w:val="004303EE"/>
    <w:rsid w:val="00435F87"/>
    <w:rsid w:val="00436A55"/>
    <w:rsid w:val="00441CD2"/>
    <w:rsid w:val="00451944"/>
    <w:rsid w:val="00453757"/>
    <w:rsid w:val="00467A05"/>
    <w:rsid w:val="0047448F"/>
    <w:rsid w:val="00477690"/>
    <w:rsid w:val="0048713D"/>
    <w:rsid w:val="0049580A"/>
    <w:rsid w:val="004A082F"/>
    <w:rsid w:val="004A4A31"/>
    <w:rsid w:val="004B455D"/>
    <w:rsid w:val="004C03E7"/>
    <w:rsid w:val="004C1397"/>
    <w:rsid w:val="004C60D4"/>
    <w:rsid w:val="004F57DB"/>
    <w:rsid w:val="005141B0"/>
    <w:rsid w:val="005200B2"/>
    <w:rsid w:val="005300A9"/>
    <w:rsid w:val="00532FEB"/>
    <w:rsid w:val="00536970"/>
    <w:rsid w:val="005546E1"/>
    <w:rsid w:val="005548B6"/>
    <w:rsid w:val="0056023B"/>
    <w:rsid w:val="00567913"/>
    <w:rsid w:val="005709D6"/>
    <w:rsid w:val="005806A3"/>
    <w:rsid w:val="005910BC"/>
    <w:rsid w:val="00593FC0"/>
    <w:rsid w:val="005968B3"/>
    <w:rsid w:val="00597BE1"/>
    <w:rsid w:val="005A0D12"/>
    <w:rsid w:val="005C3A27"/>
    <w:rsid w:val="005C68E4"/>
    <w:rsid w:val="00603231"/>
    <w:rsid w:val="00611454"/>
    <w:rsid w:val="00612D6F"/>
    <w:rsid w:val="006132CA"/>
    <w:rsid w:val="00623CFF"/>
    <w:rsid w:val="00660502"/>
    <w:rsid w:val="006650FD"/>
    <w:rsid w:val="006846BB"/>
    <w:rsid w:val="006867A5"/>
    <w:rsid w:val="00693E55"/>
    <w:rsid w:val="00695FEE"/>
    <w:rsid w:val="0069734A"/>
    <w:rsid w:val="006A0CD7"/>
    <w:rsid w:val="006B69B7"/>
    <w:rsid w:val="006C1D5F"/>
    <w:rsid w:val="006C343D"/>
    <w:rsid w:val="006C4E0B"/>
    <w:rsid w:val="006D695E"/>
    <w:rsid w:val="006E123F"/>
    <w:rsid w:val="0070504B"/>
    <w:rsid w:val="0070533D"/>
    <w:rsid w:val="007274A2"/>
    <w:rsid w:val="00731139"/>
    <w:rsid w:val="00735FC0"/>
    <w:rsid w:val="007470C2"/>
    <w:rsid w:val="00754CFF"/>
    <w:rsid w:val="00756DAE"/>
    <w:rsid w:val="00762E28"/>
    <w:rsid w:val="007723EB"/>
    <w:rsid w:val="00774C22"/>
    <w:rsid w:val="00775746"/>
    <w:rsid w:val="00781C1C"/>
    <w:rsid w:val="0078507A"/>
    <w:rsid w:val="00794042"/>
    <w:rsid w:val="007A6BD6"/>
    <w:rsid w:val="007D204A"/>
    <w:rsid w:val="007D6539"/>
    <w:rsid w:val="007E19D4"/>
    <w:rsid w:val="007E1D78"/>
    <w:rsid w:val="007E7015"/>
    <w:rsid w:val="007F2719"/>
    <w:rsid w:val="007F300C"/>
    <w:rsid w:val="007F6DD4"/>
    <w:rsid w:val="007F7CD1"/>
    <w:rsid w:val="008033AF"/>
    <w:rsid w:val="0080360F"/>
    <w:rsid w:val="008138A7"/>
    <w:rsid w:val="00813C1E"/>
    <w:rsid w:val="008223EB"/>
    <w:rsid w:val="0084266E"/>
    <w:rsid w:val="008464D2"/>
    <w:rsid w:val="00850405"/>
    <w:rsid w:val="008721AE"/>
    <w:rsid w:val="00874D4D"/>
    <w:rsid w:val="008851CB"/>
    <w:rsid w:val="008870D4"/>
    <w:rsid w:val="00893109"/>
    <w:rsid w:val="00893713"/>
    <w:rsid w:val="00893EEF"/>
    <w:rsid w:val="00896FA3"/>
    <w:rsid w:val="008A1A32"/>
    <w:rsid w:val="008A377F"/>
    <w:rsid w:val="008B08A5"/>
    <w:rsid w:val="008D1AB0"/>
    <w:rsid w:val="008D2F43"/>
    <w:rsid w:val="008E51F8"/>
    <w:rsid w:val="008F2854"/>
    <w:rsid w:val="009012E9"/>
    <w:rsid w:val="009154A8"/>
    <w:rsid w:val="00917036"/>
    <w:rsid w:val="00920F5C"/>
    <w:rsid w:val="00923565"/>
    <w:rsid w:val="00926400"/>
    <w:rsid w:val="00942D90"/>
    <w:rsid w:val="00943BFC"/>
    <w:rsid w:val="009448B7"/>
    <w:rsid w:val="00954B4D"/>
    <w:rsid w:val="0096395D"/>
    <w:rsid w:val="009703A3"/>
    <w:rsid w:val="00980875"/>
    <w:rsid w:val="009850B8"/>
    <w:rsid w:val="00987A9F"/>
    <w:rsid w:val="009974CB"/>
    <w:rsid w:val="009B74C5"/>
    <w:rsid w:val="009C2421"/>
    <w:rsid w:val="009C5612"/>
    <w:rsid w:val="009D2941"/>
    <w:rsid w:val="009E02C3"/>
    <w:rsid w:val="009E1800"/>
    <w:rsid w:val="009E4567"/>
    <w:rsid w:val="009F7198"/>
    <w:rsid w:val="00A0220D"/>
    <w:rsid w:val="00A11C64"/>
    <w:rsid w:val="00A2347F"/>
    <w:rsid w:val="00A23555"/>
    <w:rsid w:val="00A240CE"/>
    <w:rsid w:val="00A3772F"/>
    <w:rsid w:val="00A40DAF"/>
    <w:rsid w:val="00A433C6"/>
    <w:rsid w:val="00A57A77"/>
    <w:rsid w:val="00A77E69"/>
    <w:rsid w:val="00A815A3"/>
    <w:rsid w:val="00A849D0"/>
    <w:rsid w:val="00A84FEA"/>
    <w:rsid w:val="00A8566B"/>
    <w:rsid w:val="00AA0F28"/>
    <w:rsid w:val="00AA4639"/>
    <w:rsid w:val="00AB3812"/>
    <w:rsid w:val="00AC1543"/>
    <w:rsid w:val="00AC76C5"/>
    <w:rsid w:val="00AF127F"/>
    <w:rsid w:val="00B01FE4"/>
    <w:rsid w:val="00B12C50"/>
    <w:rsid w:val="00B15F63"/>
    <w:rsid w:val="00B24A84"/>
    <w:rsid w:val="00B4060E"/>
    <w:rsid w:val="00B47BBE"/>
    <w:rsid w:val="00B47ED4"/>
    <w:rsid w:val="00B574E1"/>
    <w:rsid w:val="00B737C7"/>
    <w:rsid w:val="00B80EE7"/>
    <w:rsid w:val="00B80F18"/>
    <w:rsid w:val="00B83065"/>
    <w:rsid w:val="00B9133B"/>
    <w:rsid w:val="00B94757"/>
    <w:rsid w:val="00B9623B"/>
    <w:rsid w:val="00BA7A8C"/>
    <w:rsid w:val="00BB05C8"/>
    <w:rsid w:val="00BB3125"/>
    <w:rsid w:val="00BC2A92"/>
    <w:rsid w:val="00BD027A"/>
    <w:rsid w:val="00BE434D"/>
    <w:rsid w:val="00BE6BD0"/>
    <w:rsid w:val="00BE74AC"/>
    <w:rsid w:val="00BF6727"/>
    <w:rsid w:val="00C0294E"/>
    <w:rsid w:val="00C062AC"/>
    <w:rsid w:val="00C26EC0"/>
    <w:rsid w:val="00C338DE"/>
    <w:rsid w:val="00C50FC4"/>
    <w:rsid w:val="00C530A1"/>
    <w:rsid w:val="00C54669"/>
    <w:rsid w:val="00C67D46"/>
    <w:rsid w:val="00C7430C"/>
    <w:rsid w:val="00C74D53"/>
    <w:rsid w:val="00C765DB"/>
    <w:rsid w:val="00C8730E"/>
    <w:rsid w:val="00C90EA8"/>
    <w:rsid w:val="00C9167E"/>
    <w:rsid w:val="00C92370"/>
    <w:rsid w:val="00C92584"/>
    <w:rsid w:val="00CC42F5"/>
    <w:rsid w:val="00CC495E"/>
    <w:rsid w:val="00CC4B83"/>
    <w:rsid w:val="00CC5987"/>
    <w:rsid w:val="00CD3AC6"/>
    <w:rsid w:val="00D0072C"/>
    <w:rsid w:val="00D03332"/>
    <w:rsid w:val="00D318F5"/>
    <w:rsid w:val="00D31ABC"/>
    <w:rsid w:val="00D36957"/>
    <w:rsid w:val="00D37315"/>
    <w:rsid w:val="00D51F9B"/>
    <w:rsid w:val="00D640F3"/>
    <w:rsid w:val="00D64ECE"/>
    <w:rsid w:val="00D82719"/>
    <w:rsid w:val="00D905C9"/>
    <w:rsid w:val="00D94E4C"/>
    <w:rsid w:val="00D9598B"/>
    <w:rsid w:val="00DA4C7E"/>
    <w:rsid w:val="00DB0B63"/>
    <w:rsid w:val="00DB3917"/>
    <w:rsid w:val="00DB4663"/>
    <w:rsid w:val="00DC073E"/>
    <w:rsid w:val="00DC2ACF"/>
    <w:rsid w:val="00DC6A3A"/>
    <w:rsid w:val="00DE7F12"/>
    <w:rsid w:val="00E00F45"/>
    <w:rsid w:val="00E040A2"/>
    <w:rsid w:val="00E23EA8"/>
    <w:rsid w:val="00E24FD8"/>
    <w:rsid w:val="00E322DD"/>
    <w:rsid w:val="00E50F64"/>
    <w:rsid w:val="00E561A2"/>
    <w:rsid w:val="00E71D49"/>
    <w:rsid w:val="00E720C4"/>
    <w:rsid w:val="00E842C0"/>
    <w:rsid w:val="00E842D8"/>
    <w:rsid w:val="00EA531B"/>
    <w:rsid w:val="00EB180F"/>
    <w:rsid w:val="00EC1E0B"/>
    <w:rsid w:val="00EC3DD8"/>
    <w:rsid w:val="00ED60F9"/>
    <w:rsid w:val="00EF2024"/>
    <w:rsid w:val="00EF7637"/>
    <w:rsid w:val="00F1094A"/>
    <w:rsid w:val="00F25C9E"/>
    <w:rsid w:val="00F30956"/>
    <w:rsid w:val="00F43234"/>
    <w:rsid w:val="00F536F3"/>
    <w:rsid w:val="00F57C9A"/>
    <w:rsid w:val="00F66D09"/>
    <w:rsid w:val="00F75AA2"/>
    <w:rsid w:val="00F77DAF"/>
    <w:rsid w:val="00F83F43"/>
    <w:rsid w:val="00F863D0"/>
    <w:rsid w:val="00F918E4"/>
    <w:rsid w:val="00FA442D"/>
    <w:rsid w:val="00FB6A40"/>
    <w:rsid w:val="00FD63B3"/>
    <w:rsid w:val="00FE7F56"/>
    <w:rsid w:val="00FF1DEE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B0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E5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C1E0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451944"/>
    <w:pPr>
      <w:spacing w:after="120" w:line="240" w:lineRule="auto"/>
    </w:pPr>
    <w:rPr>
      <w:rFonts w:ascii="Arial" w:eastAsia="SimSun" w:hAnsi="Arial"/>
      <w:sz w:val="24"/>
      <w:szCs w:val="20"/>
      <w:lang w:val="en-GB" w:eastAsia="zh-CN"/>
    </w:rPr>
  </w:style>
  <w:style w:type="character" w:customStyle="1" w:styleId="a8">
    <w:name w:val="Основной текст Знак"/>
    <w:link w:val="a7"/>
    <w:uiPriority w:val="99"/>
    <w:semiHidden/>
    <w:rsid w:val="00451944"/>
    <w:rPr>
      <w:rFonts w:ascii="Arial" w:eastAsia="SimSun" w:hAnsi="Arial" w:cs="Times New Roman"/>
      <w:sz w:val="24"/>
      <w:szCs w:val="20"/>
      <w:lang w:val="en-GB" w:eastAsia="zh-CN"/>
    </w:rPr>
  </w:style>
  <w:style w:type="paragraph" w:customStyle="1" w:styleId="1">
    <w:name w:val="Абзац списка1"/>
    <w:basedOn w:val="a"/>
    <w:uiPriority w:val="34"/>
    <w:qFormat/>
    <w:rsid w:val="00451944"/>
    <w:pPr>
      <w:spacing w:after="0" w:line="240" w:lineRule="auto"/>
      <w:ind w:left="720"/>
      <w:contextualSpacing/>
    </w:pPr>
    <w:rPr>
      <w:lang w:eastAsia="uk-UA"/>
    </w:rPr>
  </w:style>
  <w:style w:type="character" w:customStyle="1" w:styleId="hps">
    <w:name w:val="hps"/>
    <w:rsid w:val="00A57A77"/>
  </w:style>
  <w:style w:type="character" w:styleId="a9">
    <w:name w:val="Strong"/>
    <w:qFormat/>
    <w:rsid w:val="00416C57"/>
    <w:rPr>
      <w:b/>
      <w:bCs/>
    </w:rPr>
  </w:style>
  <w:style w:type="character" w:customStyle="1" w:styleId="tx1">
    <w:name w:val="tx1"/>
    <w:rsid w:val="0030716F"/>
    <w:rPr>
      <w:b/>
      <w:bCs/>
    </w:rPr>
  </w:style>
  <w:style w:type="paragraph" w:styleId="aa">
    <w:name w:val="header"/>
    <w:basedOn w:val="a"/>
    <w:link w:val="ab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E71D4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E71D4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842C0"/>
    <w:pPr>
      <w:spacing w:line="259" w:lineRule="auto"/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D027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BD027A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D02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D027A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D027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D02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5AF7-D42B-457C-8E26-7CC6046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19022</Words>
  <Characters>10843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Лія Ігоревна</dc:creator>
  <cp:lastModifiedBy>Наталія Гуцал</cp:lastModifiedBy>
  <cp:revision>4</cp:revision>
  <cp:lastPrinted>2016-10-04T08:21:00Z</cp:lastPrinted>
  <dcterms:created xsi:type="dcterms:W3CDTF">2019-08-06T07:41:00Z</dcterms:created>
  <dcterms:modified xsi:type="dcterms:W3CDTF">2019-08-06T07:45:00Z</dcterms:modified>
</cp:coreProperties>
</file>