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10" w:rsidRDefault="008B7310" w:rsidP="003E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Європейська комісія 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8B7310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.06.2019 </w:t>
      </w:r>
      <w:r w:rsidRPr="008B7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видала остаточне юридично обов'язкове рішення, </w:t>
      </w:r>
      <w:r w:rsidR="00CC0D28" w:rsidRPr="008B7310">
        <w:rPr>
          <w:rFonts w:ascii="Times New Roman" w:hAnsi="Times New Roman" w:cs="Times New Roman"/>
          <w:b/>
          <w:sz w:val="28"/>
          <w:szCs w:val="28"/>
          <w:lang w:val="uk-UA"/>
        </w:rPr>
        <w:t>яке застосовується у всіх державах-членах ЄС</w:t>
      </w:r>
      <w:r w:rsidR="00CC0D28" w:rsidRPr="00CC0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0D28" w:rsidRPr="00CC0D28"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CC0D28" w:rsidRPr="00CC0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CC0D28" w:rsidRPr="00CC0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засоб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A51A75">
        <w:rPr>
          <w:rFonts w:ascii="Times New Roman" w:hAnsi="Times New Roman" w:cs="Times New Roman"/>
          <w:b/>
          <w:sz w:val="28"/>
          <w:szCs w:val="28"/>
          <w:lang w:val="uk-UA"/>
        </w:rPr>
        <w:t>, що містять</w:t>
      </w:r>
      <w:r w:rsidR="00CC0D28" w:rsidRPr="00CC0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C0D28">
        <w:rPr>
          <w:rFonts w:ascii="Times New Roman" w:hAnsi="Times New Roman" w:cs="Times New Roman"/>
          <w:b/>
          <w:sz w:val="28"/>
          <w:szCs w:val="28"/>
          <w:lang w:val="uk-UA"/>
        </w:rPr>
        <w:t>омега-3</w:t>
      </w:r>
      <w:r w:rsidR="002827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жирні кислоти</w:t>
      </w:r>
    </w:p>
    <w:p w:rsidR="003E5DDE" w:rsidRPr="008B7310" w:rsidRDefault="003E5DDE" w:rsidP="003E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529E" w:rsidRPr="00F609B7" w:rsidRDefault="000A4503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29 березня 2019 року EMA підтвердила, що 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>омега-3 жирн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кислот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>, що містять комбінацію етилового ефіру ейкозапентаєнової кислоти (EPA) і докозагексаєнової кислоти (DHA) в дозі 1 г на добу, не ефективні для запобігання подальши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проблем з серцем і кро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>воносними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судин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у пацієнтів, які перенесли інфаркт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міокарду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>. Це є результатом повторної перевірки, яку просили деякі з компаній, що займаються продажем відповідних лік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>арськи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163C8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засобів,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первинної рекомендації EMA у грудні 2018 року.</w:t>
      </w:r>
      <w:r w:rsidR="00D54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29E" w:rsidRPr="00F609B7">
        <w:rPr>
          <w:rFonts w:ascii="Times New Roman" w:hAnsi="Times New Roman" w:cs="Times New Roman"/>
          <w:sz w:val="28"/>
          <w:szCs w:val="28"/>
          <w:lang w:val="uk-UA"/>
        </w:rPr>
        <w:t>Це означає, що ці препарати більше не повинні використовуватися таким чином. Однак вони все ще можуть бути використані для зниження рівня тригліцеридів в крові.</w:t>
      </w:r>
    </w:p>
    <w:p w:rsidR="002827F9" w:rsidRPr="00F609B7" w:rsidRDefault="002827F9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9B7">
        <w:rPr>
          <w:rFonts w:ascii="Times New Roman" w:hAnsi="Times New Roman" w:cs="Times New Roman"/>
          <w:sz w:val="28"/>
          <w:szCs w:val="28"/>
          <w:lang w:val="uk-UA"/>
        </w:rPr>
        <w:t>Первинну</w:t>
      </w:r>
      <w:r w:rsidR="00F609B7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було розміщено 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сайті Державного експертного центру 03.04.2019 </w:t>
      </w:r>
      <w:hyperlink r:id="rId5" w:history="1">
        <w:r w:rsidR="00F609B7" w:rsidRPr="00F609B7">
          <w:rPr>
            <w:rFonts w:ascii="Times New Roman" w:hAnsi="Times New Roman" w:cs="Times New Roman"/>
            <w:sz w:val="28"/>
            <w:szCs w:val="28"/>
            <w:lang w:val="uk-UA"/>
          </w:rPr>
          <w:t>http://www.dec.gov.ua/index.php/ua/novini-ta-podiji</w:t>
        </w:r>
      </w:hyperlink>
      <w:r w:rsidR="00F609B7" w:rsidRPr="00F609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09B7" w:rsidRPr="00F609B7" w:rsidRDefault="00B6529E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EMA дійшла висновку, що дозвіл на маркетинг лікарських засобів </w:t>
      </w:r>
      <w:r w:rsidR="00157061" w:rsidRPr="00F609B7">
        <w:rPr>
          <w:rFonts w:ascii="Times New Roman" w:hAnsi="Times New Roman" w:cs="Times New Roman"/>
          <w:sz w:val="28"/>
          <w:szCs w:val="28"/>
          <w:lang w:val="uk-UA"/>
        </w:rPr>
        <w:t>омега-3 жирн</w:t>
      </w:r>
      <w:r w:rsidR="001570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57061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кислот</w:t>
      </w:r>
      <w:r w:rsidR="001570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57061"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09B7">
        <w:rPr>
          <w:rFonts w:ascii="Times New Roman" w:hAnsi="Times New Roman" w:cs="Times New Roman"/>
          <w:sz w:val="28"/>
          <w:szCs w:val="28"/>
          <w:lang w:val="uk-UA"/>
        </w:rPr>
        <w:t xml:space="preserve">повинен бути оновлений, щоб </w:t>
      </w:r>
      <w:r w:rsidR="00B44586" w:rsidRPr="00F609B7">
        <w:rPr>
          <w:rFonts w:ascii="Times New Roman" w:hAnsi="Times New Roman" w:cs="Times New Roman"/>
          <w:sz w:val="28"/>
          <w:szCs w:val="28"/>
          <w:lang w:val="uk-UA"/>
        </w:rPr>
        <w:t>вилучити показання</w:t>
      </w:r>
      <w:r w:rsidR="00157061">
        <w:rPr>
          <w:rFonts w:ascii="Times New Roman" w:hAnsi="Times New Roman" w:cs="Times New Roman"/>
          <w:sz w:val="28"/>
          <w:szCs w:val="28"/>
          <w:lang w:val="uk-UA"/>
        </w:rPr>
        <w:t xml:space="preserve"> про вторинну профілактику після інфаркту міокарда</w:t>
      </w:r>
      <w:r w:rsidR="00F609B7" w:rsidRPr="00F609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9B7" w:rsidRPr="00F609B7">
        <w:rPr>
          <w:rFonts w:ascii="Times New Roman" w:hAnsi="Times New Roman" w:cs="Times New Roman"/>
          <w:sz w:val="28"/>
          <w:szCs w:val="28"/>
          <w:lang w:val="uk-UA"/>
        </w:rPr>
        <w:t>Європейська Комісія видала остаточне юридично обов'язкове рішення, що застосовується у всіх державах-членах ЄС 6 червня 2019 року.</w:t>
      </w:r>
    </w:p>
    <w:p w:rsidR="003B2577" w:rsidRPr="00F609B7" w:rsidRDefault="003B2577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B7" w:rsidRPr="003E518A" w:rsidRDefault="00F609B7" w:rsidP="003E5D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18A">
        <w:rPr>
          <w:rFonts w:ascii="Times New Roman" w:hAnsi="Times New Roman" w:cs="Times New Roman"/>
          <w:b/>
          <w:sz w:val="28"/>
          <w:szCs w:val="28"/>
          <w:lang w:val="uk-UA"/>
        </w:rPr>
        <w:t>Зміни до відповідних розділів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нструкції для</w:t>
      </w:r>
      <w:r w:rsidRPr="003E5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медично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Pr="003E5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застосуванн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3E5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Omega-3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внести </w:t>
      </w:r>
      <w:r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>діючої інструкції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, щоб видалити будь-яке посилання на вторинну профілактику після інфаркту міокарда: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Pr="00C04568">
        <w:rPr>
          <w:rFonts w:ascii="Times New Roman" w:hAnsi="Times New Roman" w:cs="Times New Roman"/>
          <w:b/>
          <w:sz w:val="28"/>
          <w:szCs w:val="28"/>
          <w:lang w:val="uk-UA"/>
        </w:rPr>
        <w:t>Показання.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>Необхідно ви</w:t>
      </w:r>
      <w:r w:rsidR="00157061">
        <w:rPr>
          <w:rFonts w:ascii="Times New Roman" w:hAnsi="Times New Roman" w:cs="Times New Roman"/>
          <w:sz w:val="28"/>
          <w:szCs w:val="28"/>
          <w:lang w:val="uk-UA"/>
        </w:rPr>
        <w:t>лучити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 наступне </w:t>
      </w:r>
      <w:r>
        <w:rPr>
          <w:rFonts w:ascii="Times New Roman" w:hAnsi="Times New Roman" w:cs="Times New Roman"/>
          <w:sz w:val="28"/>
          <w:szCs w:val="28"/>
          <w:lang w:val="uk-UA"/>
        </w:rPr>
        <w:t>показання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Після інфаркту міокарда</w:t>
      </w:r>
      <w:bookmarkStart w:id="0" w:name="_GoBack"/>
      <w:bookmarkEnd w:id="0"/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>Ад'ювантне лікування вторинної профілактики після інфаркту міокарда, крім іншої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стандартної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терапії (наприклад, статини, антитромбоцитарні лікарські засоби, бета-блокатори, інгібітори АПФ).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Pr="00C04568">
        <w:rPr>
          <w:rFonts w:ascii="Times New Roman" w:hAnsi="Times New Roman" w:cs="Times New Roman"/>
          <w:b/>
          <w:sz w:val="28"/>
          <w:szCs w:val="28"/>
          <w:lang w:val="uk-UA"/>
        </w:rPr>
        <w:t>Спосіб застосування та дози.</w:t>
      </w:r>
      <w:r w:rsidRPr="00C045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видалити інформацію, що стосується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показання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 «вторинної профілактики після інфаркту міокарда»: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Після інфаркту міокарда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Одна капсула щодня.</w:t>
      </w:r>
    </w:p>
    <w:p w:rsidR="00F609B7" w:rsidRPr="00C04568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Розділ </w:t>
      </w:r>
      <w:r w:rsidRPr="00C04568">
        <w:rPr>
          <w:rFonts w:ascii="Times New Roman" w:hAnsi="Times New Roman" w:cs="Times New Roman"/>
          <w:b/>
          <w:sz w:val="28"/>
          <w:szCs w:val="28"/>
          <w:lang w:val="uk-UA"/>
        </w:rPr>
        <w:t>Фармакодинаміка.</w:t>
      </w:r>
    </w:p>
    <w:p w:rsidR="00F609B7" w:rsidRDefault="00F609B7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Існуючий відповідний текст щодо «вторинної профілактики після міокарда </w:t>
      </w:r>
      <w:r w:rsidR="00B37402">
        <w:rPr>
          <w:rFonts w:ascii="Times New Roman" w:hAnsi="Times New Roman" w:cs="Times New Roman"/>
          <w:sz w:val="28"/>
          <w:szCs w:val="28"/>
          <w:lang w:val="uk-UA"/>
        </w:rPr>
        <w:t>індикація інфаркту»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 xml:space="preserve"> бути ви</w:t>
      </w:r>
      <w:r w:rsidR="00EF7451">
        <w:rPr>
          <w:rFonts w:ascii="Times New Roman" w:hAnsi="Times New Roman" w:cs="Times New Roman"/>
          <w:sz w:val="28"/>
          <w:szCs w:val="28"/>
          <w:lang w:val="uk-UA"/>
        </w:rPr>
        <w:t>лучений</w:t>
      </w:r>
      <w:r w:rsidRPr="00C04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4162" w:rsidRDefault="00D54162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5DF" w:rsidRDefault="00B725DF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5DF" w:rsidRDefault="00B725DF" w:rsidP="003E5D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7451" w:rsidRPr="00036C7A" w:rsidRDefault="00EF7451" w:rsidP="003E5D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6C7A">
        <w:rPr>
          <w:rFonts w:ascii="Times New Roman" w:hAnsi="Times New Roman"/>
          <w:sz w:val="28"/>
          <w:szCs w:val="28"/>
        </w:rPr>
        <w:lastRenderedPageBreak/>
        <w:t xml:space="preserve">Посилання на прес-реліз </w:t>
      </w:r>
      <w:r w:rsidRPr="00036C7A">
        <w:rPr>
          <w:rFonts w:ascii="Times New Roman" w:hAnsi="Times New Roman"/>
          <w:sz w:val="28"/>
          <w:szCs w:val="28"/>
          <w:lang w:val="en-US"/>
        </w:rPr>
        <w:t>EMA</w:t>
      </w:r>
      <w:r w:rsidRPr="00036C7A">
        <w:rPr>
          <w:rFonts w:ascii="Times New Roman" w:hAnsi="Times New Roman"/>
          <w:sz w:val="28"/>
          <w:szCs w:val="28"/>
        </w:rPr>
        <w:t>:</w:t>
      </w:r>
    </w:p>
    <w:p w:rsidR="00EF7451" w:rsidRPr="00D54162" w:rsidRDefault="00EF7451" w:rsidP="003E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https://www.ema.europa.eu/en/medicines/human/referrals/omega-3-acid-ethyl-esters-containing-medicinal-products-oral-use-secondary-prevention-after</w:t>
        </w:r>
      </w:hyperlink>
    </w:p>
    <w:p w:rsidR="00EF7451" w:rsidRDefault="00EF7451" w:rsidP="003E5D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F7451">
        <w:rPr>
          <w:rFonts w:ascii="Times New Roman" w:hAnsi="Times New Roman"/>
          <w:sz w:val="28"/>
          <w:szCs w:val="28"/>
        </w:rPr>
        <w:t>Щодо оновлення інструкції для медичного застосування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F7451" w:rsidRPr="00D54162" w:rsidRDefault="00D54162" w:rsidP="003E5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https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ema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europa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eu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en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documents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referral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omega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-3-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acid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ethyl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esters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annex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-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iii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_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en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Pr="00D54162">
          <w:rPr>
            <w:rStyle w:val="a6"/>
            <w:rFonts w:ascii="Times New Roman" w:hAnsi="Times New Roman" w:cs="Times New Roman"/>
            <w:sz w:val="24"/>
            <w:szCs w:val="24"/>
          </w:rPr>
          <w:t>pdf</w:t>
        </w:r>
      </w:hyperlink>
    </w:p>
    <w:p w:rsidR="00F609B7" w:rsidRDefault="00F609B7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577" w:rsidRDefault="003B2577" w:rsidP="003E5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FA8" w:rsidRDefault="002E6FA8" w:rsidP="002E6FA8">
      <w:pPr>
        <w:jc w:val="center"/>
        <w:rPr>
          <w:rFonts w:ascii="Verdana" w:hAnsi="Verdana" w:cs="Verdana"/>
          <w:color w:val="000000"/>
          <w:sz w:val="18"/>
          <w:szCs w:val="18"/>
          <w:lang w:val="uk-UA"/>
        </w:rPr>
      </w:pPr>
    </w:p>
    <w:p w:rsidR="002E6FA8" w:rsidRDefault="002E6FA8" w:rsidP="002E6FA8">
      <w:pPr>
        <w:jc w:val="center"/>
        <w:rPr>
          <w:rFonts w:ascii="Verdana" w:hAnsi="Verdana" w:cs="Verdana"/>
          <w:color w:val="000000"/>
          <w:sz w:val="18"/>
          <w:szCs w:val="18"/>
          <w:lang w:val="uk-UA"/>
        </w:rPr>
      </w:pPr>
    </w:p>
    <w:p w:rsidR="00F609B7" w:rsidRPr="00C04568" w:rsidRDefault="00F609B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09B7" w:rsidRPr="00C0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F2A07"/>
    <w:multiLevelType w:val="hybridMultilevel"/>
    <w:tmpl w:val="1786DF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F3C7B"/>
    <w:multiLevelType w:val="hybridMultilevel"/>
    <w:tmpl w:val="D81E86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CC"/>
    <w:rsid w:val="000145AE"/>
    <w:rsid w:val="00045FCC"/>
    <w:rsid w:val="000A4503"/>
    <w:rsid w:val="00157061"/>
    <w:rsid w:val="002003C7"/>
    <w:rsid w:val="002827F9"/>
    <w:rsid w:val="002A051E"/>
    <w:rsid w:val="002E6FA8"/>
    <w:rsid w:val="00315349"/>
    <w:rsid w:val="003B2577"/>
    <w:rsid w:val="003E518A"/>
    <w:rsid w:val="003E5DDE"/>
    <w:rsid w:val="005A3853"/>
    <w:rsid w:val="005F4A31"/>
    <w:rsid w:val="00744C59"/>
    <w:rsid w:val="00847219"/>
    <w:rsid w:val="008B7310"/>
    <w:rsid w:val="00A51A75"/>
    <w:rsid w:val="00B37402"/>
    <w:rsid w:val="00B44586"/>
    <w:rsid w:val="00B6529E"/>
    <w:rsid w:val="00B725DF"/>
    <w:rsid w:val="00C04568"/>
    <w:rsid w:val="00CC0D28"/>
    <w:rsid w:val="00D54162"/>
    <w:rsid w:val="00E163C8"/>
    <w:rsid w:val="00EE1585"/>
    <w:rsid w:val="00EF7451"/>
    <w:rsid w:val="00F609B7"/>
    <w:rsid w:val="00F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79FF-97A1-4D3D-B46A-23A0753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349"/>
    <w:pPr>
      <w:ind w:left="720"/>
      <w:contextualSpacing/>
    </w:pPr>
  </w:style>
  <w:style w:type="paragraph" w:customStyle="1" w:styleId="Default">
    <w:name w:val="Default"/>
    <w:rsid w:val="002E6F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4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C5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60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referral/omega-3-acid-ethyl-esters-annex-iii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a.europa.eu/en/medicines/human/referrals/omega-3-acid-ethyl-esters-containing-medicinal-products-oral-use-secondary-prevention-after" TargetMode="External"/><Relationship Id="rId5" Type="http://schemas.openxmlformats.org/officeDocument/2006/relationships/hyperlink" Target="http://www.dec.gov.ua/index.php/ua/novini-ta-podij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Толокевич Вікторія Ігорівна</dc:creator>
  <cp:keywords/>
  <dc:description/>
  <cp:lastModifiedBy>Башкатова Тетяна Іванівна</cp:lastModifiedBy>
  <cp:revision>8</cp:revision>
  <cp:lastPrinted>2019-06-18T07:29:00Z</cp:lastPrinted>
  <dcterms:created xsi:type="dcterms:W3CDTF">2019-06-18T07:54:00Z</dcterms:created>
  <dcterms:modified xsi:type="dcterms:W3CDTF">2019-06-18T08:12:00Z</dcterms:modified>
</cp:coreProperties>
</file>