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06E" w:rsidRPr="00D7206E" w:rsidRDefault="00D7206E" w:rsidP="00D7206E">
      <w:pPr>
        <w:autoSpaceDE w:val="0"/>
        <w:autoSpaceDN w:val="0"/>
        <w:adjustRightInd w:val="0"/>
        <w:ind w:firstLine="709"/>
        <w:jc w:val="both"/>
        <w:rPr>
          <w:rFonts w:ascii="Times New Roman" w:hAnsi="Times New Roman"/>
          <w:sz w:val="28"/>
          <w:lang w:val="uk-UA"/>
        </w:rPr>
      </w:pPr>
    </w:p>
    <w:p w:rsidR="00695214" w:rsidRDefault="00695214" w:rsidP="004259E9">
      <w:pPr>
        <w:spacing w:after="140"/>
        <w:ind w:firstLine="720"/>
        <w:jc w:val="center"/>
        <w:rPr>
          <w:rFonts w:ascii="Times New Roman" w:eastAsia="Verdana" w:hAnsi="Times New Roman"/>
          <w:b/>
          <w:bCs/>
          <w:noProof/>
          <w:kern w:val="32"/>
          <w:sz w:val="26"/>
          <w:szCs w:val="26"/>
          <w:lang w:val="uk-UA" w:eastAsia="en-GB"/>
        </w:rPr>
      </w:pPr>
      <w:r>
        <w:rPr>
          <w:rFonts w:ascii="Times New Roman" w:eastAsia="Verdana" w:hAnsi="Times New Roman"/>
          <w:b/>
          <w:bCs/>
          <w:noProof/>
          <w:kern w:val="32"/>
          <w:sz w:val="26"/>
          <w:szCs w:val="26"/>
          <w:lang w:val="uk-UA" w:eastAsia="en-GB"/>
        </w:rPr>
        <w:t>Інформація з безпеки дл</w:t>
      </w:r>
      <w:r w:rsidR="00D7206E" w:rsidRPr="00D7206E">
        <w:rPr>
          <w:rFonts w:ascii="Times New Roman" w:eastAsia="Verdana" w:hAnsi="Times New Roman"/>
          <w:b/>
          <w:bCs/>
          <w:noProof/>
          <w:kern w:val="32"/>
          <w:sz w:val="26"/>
          <w:szCs w:val="26"/>
          <w:lang w:val="uk-UA" w:eastAsia="en-GB"/>
        </w:rPr>
        <w:t>я безпосереднього ознайомлення спеціалістами системи охорони здоров’я</w:t>
      </w:r>
      <w:bookmarkStart w:id="0" w:name="_GoBack"/>
      <w:bookmarkEnd w:id="0"/>
    </w:p>
    <w:p w:rsidR="00D7206E" w:rsidRPr="00D7206E" w:rsidRDefault="00695214" w:rsidP="00695214">
      <w:pPr>
        <w:spacing w:after="140"/>
        <w:ind w:firstLine="720"/>
        <w:jc w:val="both"/>
        <w:rPr>
          <w:rFonts w:ascii="Times New Roman" w:hAnsi="Times New Roman"/>
          <w:b/>
          <w:kern w:val="32"/>
          <w:sz w:val="26"/>
          <w:szCs w:val="26"/>
          <w:lang w:val="uk-UA" w:eastAsia="en-GB"/>
        </w:rPr>
      </w:pPr>
      <w:r>
        <w:rPr>
          <w:rFonts w:ascii="Times New Roman" w:hAnsi="Times New Roman"/>
          <w:b/>
          <w:kern w:val="32"/>
          <w:sz w:val="26"/>
          <w:szCs w:val="26"/>
          <w:lang w:val="uk-UA" w:eastAsia="en-GB"/>
        </w:rPr>
        <w:t>В</w:t>
      </w:r>
      <w:r w:rsidR="00D7206E" w:rsidRPr="00D7206E">
        <w:rPr>
          <w:rFonts w:ascii="Times New Roman" w:hAnsi="Times New Roman"/>
          <w:b/>
          <w:kern w:val="32"/>
          <w:sz w:val="26"/>
          <w:szCs w:val="26"/>
          <w:lang w:val="uk-UA" w:eastAsia="en-GB"/>
        </w:rPr>
        <w:t>акцини</w:t>
      </w:r>
      <w:r>
        <w:rPr>
          <w:rFonts w:ascii="Times New Roman" w:hAnsi="Times New Roman"/>
          <w:b/>
          <w:kern w:val="32"/>
          <w:sz w:val="26"/>
          <w:szCs w:val="26"/>
          <w:lang w:val="uk-UA" w:eastAsia="en-GB"/>
        </w:rPr>
        <w:t xml:space="preserve"> «ГлаксоСмітКляйн»</w:t>
      </w:r>
      <w:r w:rsidR="00D7206E" w:rsidRPr="00D7206E">
        <w:rPr>
          <w:rFonts w:ascii="Times New Roman" w:hAnsi="Times New Roman"/>
          <w:b/>
          <w:kern w:val="32"/>
          <w:sz w:val="26"/>
          <w:szCs w:val="26"/>
          <w:lang w:val="uk-UA" w:eastAsia="en-GB"/>
        </w:rPr>
        <w:t>, що потенцій</w:t>
      </w:r>
      <w:r>
        <w:rPr>
          <w:rFonts w:ascii="Times New Roman" w:hAnsi="Times New Roman"/>
          <w:b/>
          <w:kern w:val="32"/>
          <w:sz w:val="26"/>
          <w:szCs w:val="26"/>
          <w:lang w:val="uk-UA" w:eastAsia="en-GB"/>
        </w:rPr>
        <w:t xml:space="preserve">но підлягають ризику протікання: </w:t>
      </w:r>
      <w:r w:rsidR="00D7206E" w:rsidRPr="00D7206E" w:rsidDel="00B27065">
        <w:rPr>
          <w:rFonts w:ascii="Times New Roman" w:hAnsi="Times New Roman"/>
          <w:b/>
          <w:kern w:val="32"/>
          <w:sz w:val="26"/>
          <w:szCs w:val="26"/>
          <w:lang w:val="uk-UA" w:eastAsia="en-GB"/>
        </w:rPr>
        <w:t xml:space="preserve"> </w:t>
      </w:r>
      <w:r w:rsidR="00D7206E" w:rsidRPr="00D7206E">
        <w:rPr>
          <w:rFonts w:ascii="Times New Roman" w:hAnsi="Times New Roman"/>
          <w:b/>
          <w:kern w:val="32"/>
          <w:sz w:val="26"/>
          <w:szCs w:val="26"/>
          <w:lang w:val="uk-UA" w:eastAsia="en-GB"/>
        </w:rPr>
        <w:t xml:space="preserve">Твінрикс (для дорослих та дітей), Бустрикс, Бустрикс ІПВ, Інфанрикс, Інфанрикс ІПВ, Інфанрикс ІПВ ХІБ, </w:t>
      </w:r>
      <w:r w:rsidR="007A0C24">
        <w:rPr>
          <w:rFonts w:ascii="Times New Roman" w:hAnsi="Times New Roman"/>
          <w:b/>
          <w:kern w:val="32"/>
          <w:sz w:val="26"/>
          <w:szCs w:val="26"/>
          <w:lang w:val="uk-UA" w:eastAsia="en-GB"/>
        </w:rPr>
        <w:t xml:space="preserve">Інфанрикс </w:t>
      </w:r>
      <w:r w:rsidR="007A0C24" w:rsidRPr="007A0C24">
        <w:rPr>
          <w:rFonts w:ascii="Times New Roman" w:hAnsi="Times New Roman"/>
          <w:b/>
          <w:kern w:val="32"/>
          <w:sz w:val="26"/>
          <w:szCs w:val="26"/>
          <w:lang w:val="uk-UA" w:eastAsia="en-GB"/>
        </w:rPr>
        <w:t>ГЕКСА</w:t>
      </w:r>
      <w:r w:rsidR="00D7206E" w:rsidRPr="00D7206E">
        <w:rPr>
          <w:rFonts w:ascii="Times New Roman" w:hAnsi="Times New Roman"/>
          <w:b/>
          <w:kern w:val="32"/>
          <w:sz w:val="26"/>
          <w:szCs w:val="26"/>
          <w:lang w:val="uk-UA" w:eastAsia="en-GB"/>
        </w:rPr>
        <w:t>, Варілрикс, Пріорикс, Пріорикс Тетра, Хаврикс, Енджерикс-В</w:t>
      </w:r>
      <w:r w:rsidR="00CE6E50">
        <w:rPr>
          <w:rFonts w:ascii="Times New Roman" w:hAnsi="Times New Roman"/>
          <w:b/>
          <w:kern w:val="32"/>
          <w:sz w:val="26"/>
          <w:szCs w:val="26"/>
          <w:lang w:val="uk-UA" w:eastAsia="en-GB"/>
        </w:rPr>
        <w:t>.</w:t>
      </w:r>
      <w:r w:rsidR="00D7206E" w:rsidRPr="00D7206E">
        <w:rPr>
          <w:rFonts w:ascii="Times New Roman" w:hAnsi="Times New Roman"/>
          <w:b/>
          <w:kern w:val="32"/>
          <w:sz w:val="26"/>
          <w:szCs w:val="26"/>
          <w:lang w:val="uk-UA" w:eastAsia="en-GB"/>
        </w:rPr>
        <w:t xml:space="preserve"> </w:t>
      </w:r>
    </w:p>
    <w:p w:rsidR="00695214" w:rsidRPr="00D7206E" w:rsidRDefault="00D7206E" w:rsidP="00695214">
      <w:pPr>
        <w:spacing w:after="140"/>
        <w:ind w:firstLine="720"/>
        <w:rPr>
          <w:rFonts w:ascii="Times New Roman" w:eastAsia="Verdana" w:hAnsi="Times New Roman"/>
          <w:sz w:val="26"/>
          <w:szCs w:val="26"/>
          <w:lang w:val="uk-UA" w:eastAsia="en-GB"/>
        </w:rPr>
      </w:pPr>
      <w:r w:rsidRPr="00D7206E">
        <w:rPr>
          <w:rFonts w:ascii="Times New Roman" w:eastAsia="Verdana" w:hAnsi="Times New Roman"/>
          <w:sz w:val="26"/>
          <w:szCs w:val="26"/>
          <w:lang w:val="uk-UA" w:eastAsia="en-GB"/>
        </w:rPr>
        <w:t>Вельмишановні спеціалісти у галузі охорони здоров’я!</w:t>
      </w:r>
    </w:p>
    <w:p w:rsidR="00D7206E" w:rsidRPr="00D7206E" w:rsidRDefault="00D7206E" w:rsidP="00D7206E">
      <w:pPr>
        <w:spacing w:after="140"/>
        <w:ind w:firstLine="720"/>
        <w:jc w:val="both"/>
        <w:rPr>
          <w:rFonts w:ascii="Times New Roman" w:eastAsia="Verdana" w:hAnsi="Times New Roman"/>
          <w:sz w:val="26"/>
          <w:szCs w:val="26"/>
          <w:lang w:val="uk-UA" w:eastAsia="en-GB"/>
        </w:rPr>
      </w:pPr>
      <w:r w:rsidRPr="00D7206E">
        <w:rPr>
          <w:rFonts w:ascii="Times New Roman" w:eastAsia="Verdana" w:hAnsi="Times New Roman"/>
          <w:sz w:val="26"/>
          <w:szCs w:val="26"/>
          <w:lang w:val="uk-UA" w:eastAsia="en-GB"/>
        </w:rPr>
        <w:t>GlaxoSmithKline Biologicals SA (GSK) за погодженням з Європейським агентством з лікарських засобів та Державним Експертним Центром МОЗ України  повідомляє Вам про наступне:</w:t>
      </w:r>
    </w:p>
    <w:p w:rsidR="00D7206E" w:rsidRPr="00D7206E" w:rsidRDefault="00695214" w:rsidP="00D7206E">
      <w:pPr>
        <w:spacing w:after="140"/>
        <w:ind w:firstLine="720"/>
        <w:rPr>
          <w:rFonts w:ascii="Times New Roman" w:eastAsia="Verdana" w:hAnsi="Times New Roman"/>
          <w:b/>
          <w:i/>
          <w:sz w:val="26"/>
          <w:szCs w:val="26"/>
          <w:lang w:val="uk-UA" w:eastAsia="en-GB"/>
        </w:rPr>
      </w:pPr>
      <w:r>
        <w:rPr>
          <w:rFonts w:ascii="Times New Roman" w:eastAsia="Verdana" w:hAnsi="Times New Roman"/>
          <w:b/>
          <w:i/>
          <w:sz w:val="26"/>
          <w:szCs w:val="26"/>
          <w:lang w:val="uk-UA" w:eastAsia="en-GB"/>
        </w:rPr>
        <w:t>Резюме</w:t>
      </w:r>
    </w:p>
    <w:p w:rsidR="00D7206E" w:rsidRPr="00D7206E" w:rsidRDefault="00D7206E" w:rsidP="00D7206E">
      <w:pPr>
        <w:numPr>
          <w:ilvl w:val="0"/>
          <w:numId w:val="12"/>
        </w:numPr>
        <w:ind w:left="357" w:firstLine="720"/>
        <w:jc w:val="both"/>
        <w:rPr>
          <w:rFonts w:ascii="Times New Roman" w:eastAsia="Verdana" w:hAnsi="Times New Roman"/>
          <w:sz w:val="26"/>
          <w:szCs w:val="26"/>
          <w:lang w:val="uk-UA" w:eastAsia="en-GB"/>
        </w:rPr>
      </w:pPr>
      <w:r w:rsidRPr="00D7206E">
        <w:rPr>
          <w:rFonts w:ascii="Times New Roman" w:eastAsia="Verdana" w:hAnsi="Times New Roman"/>
          <w:sz w:val="26"/>
          <w:szCs w:val="26"/>
          <w:lang w:val="uk-UA" w:eastAsia="en-GB"/>
        </w:rPr>
        <w:t>Протікання шприців при застосуванні ряду вакцин відбувалось під час підготовки вакцини або в момент її застосування (див. зображення 1).</w:t>
      </w:r>
    </w:p>
    <w:p w:rsidR="00D7206E" w:rsidRPr="00D7206E" w:rsidRDefault="00D7206E" w:rsidP="00D7206E">
      <w:pPr>
        <w:numPr>
          <w:ilvl w:val="0"/>
          <w:numId w:val="12"/>
        </w:numPr>
        <w:ind w:left="357" w:firstLine="720"/>
        <w:jc w:val="both"/>
        <w:rPr>
          <w:rFonts w:ascii="Times New Roman" w:eastAsia="Verdana" w:hAnsi="Times New Roman"/>
          <w:sz w:val="26"/>
          <w:szCs w:val="26"/>
          <w:lang w:val="uk-UA" w:eastAsia="en-GB"/>
        </w:rPr>
      </w:pPr>
      <w:r w:rsidRPr="00D7206E">
        <w:rPr>
          <w:rFonts w:ascii="Times New Roman" w:eastAsia="Verdana" w:hAnsi="Times New Roman"/>
          <w:sz w:val="26"/>
          <w:szCs w:val="26"/>
          <w:lang w:val="uk-UA" w:eastAsia="en-GB"/>
        </w:rPr>
        <w:t>У Європі відповідна частота становить 2,6 на 100 000 доз, розподілених з діапазоном від 2 до 10 на 100 000 доз для 5 країн, що звітують найчастіше, однак точна частота випадків протікання шприців невідома і може бути вищою.</w:t>
      </w:r>
    </w:p>
    <w:p w:rsidR="00D7206E" w:rsidRPr="00D7206E" w:rsidRDefault="00D7206E" w:rsidP="00D7206E">
      <w:pPr>
        <w:numPr>
          <w:ilvl w:val="0"/>
          <w:numId w:val="12"/>
        </w:numPr>
        <w:ind w:left="357" w:firstLine="720"/>
        <w:jc w:val="both"/>
        <w:rPr>
          <w:rFonts w:ascii="Times New Roman" w:eastAsia="Verdana" w:hAnsi="Times New Roman"/>
          <w:sz w:val="26"/>
          <w:szCs w:val="26"/>
          <w:lang w:val="uk-UA" w:eastAsia="en-GB"/>
        </w:rPr>
      </w:pPr>
      <w:r w:rsidRPr="00D7206E">
        <w:rPr>
          <w:rFonts w:ascii="Times New Roman" w:eastAsia="Verdana" w:hAnsi="Times New Roman"/>
          <w:sz w:val="26"/>
          <w:szCs w:val="26"/>
          <w:lang w:val="uk-UA" w:eastAsia="en-GB"/>
        </w:rPr>
        <w:t>Протікання не ставить під загрозу стерильність вакцини.</w:t>
      </w:r>
    </w:p>
    <w:p w:rsidR="00D7206E" w:rsidRPr="00D7206E" w:rsidRDefault="00D7206E" w:rsidP="00D7206E">
      <w:pPr>
        <w:ind w:left="357" w:firstLine="720"/>
        <w:jc w:val="both"/>
        <w:rPr>
          <w:rFonts w:ascii="Times New Roman" w:eastAsia="Verdana" w:hAnsi="Times New Roman"/>
          <w:sz w:val="26"/>
          <w:szCs w:val="26"/>
          <w:lang w:val="uk-UA" w:eastAsia="en-GB"/>
        </w:rPr>
      </w:pPr>
      <w:r w:rsidRPr="00D7206E">
        <w:rPr>
          <w:rFonts w:ascii="Times New Roman" w:eastAsia="Verdana" w:hAnsi="Times New Roman"/>
          <w:sz w:val="26"/>
          <w:szCs w:val="26"/>
          <w:lang w:val="uk-UA" w:eastAsia="en-GB"/>
        </w:rPr>
        <w:t xml:space="preserve">Потенційним ризиком, пов'язаним із протіканням шприців, може стати введення пацієнтам недостатньої дози та незадовільне забезпечення їх захистом від захворювання після імунізації. </w:t>
      </w:r>
    </w:p>
    <w:p w:rsidR="00D7206E" w:rsidRDefault="00D7206E" w:rsidP="00D7206E">
      <w:pPr>
        <w:ind w:left="357" w:firstLine="720"/>
        <w:jc w:val="both"/>
        <w:rPr>
          <w:rFonts w:ascii="Times New Roman" w:eastAsia="Verdana" w:hAnsi="Times New Roman"/>
          <w:sz w:val="26"/>
          <w:szCs w:val="26"/>
          <w:lang w:val="uk-UA" w:eastAsia="en-GB"/>
        </w:rPr>
      </w:pPr>
      <w:r w:rsidRPr="00D7206E">
        <w:rPr>
          <w:rFonts w:ascii="Times New Roman" w:eastAsia="Verdana" w:hAnsi="Times New Roman"/>
          <w:sz w:val="26"/>
          <w:szCs w:val="26"/>
          <w:lang w:val="uk-UA" w:eastAsia="en-GB"/>
        </w:rPr>
        <w:t>Проте, огляд даних фармаконагляду GSK станом на 14 грудня 2017 року не виявив доказів того, що виявлені протікання шприців призвели до зниження або відсутності ефективності вакцинації або будь-якої іншої проблеми для безпеки пацієнта.</w:t>
      </w:r>
    </w:p>
    <w:p w:rsidR="00D7206E" w:rsidRPr="00D7206E" w:rsidRDefault="00D7206E" w:rsidP="00D7206E">
      <w:pPr>
        <w:ind w:left="357" w:firstLine="720"/>
        <w:jc w:val="both"/>
        <w:rPr>
          <w:rFonts w:ascii="Times New Roman" w:eastAsia="Verdana" w:hAnsi="Times New Roman"/>
          <w:sz w:val="26"/>
          <w:szCs w:val="26"/>
          <w:lang w:val="uk-UA" w:eastAsia="en-GB"/>
        </w:rPr>
      </w:pPr>
    </w:p>
    <w:p w:rsidR="00D7206E" w:rsidRPr="00D7206E" w:rsidRDefault="00D7206E" w:rsidP="00D7206E">
      <w:pPr>
        <w:numPr>
          <w:ilvl w:val="0"/>
          <w:numId w:val="12"/>
        </w:numPr>
        <w:ind w:left="357" w:firstLine="720"/>
        <w:jc w:val="both"/>
        <w:rPr>
          <w:rFonts w:ascii="Times New Roman" w:eastAsia="Verdana" w:hAnsi="Times New Roman"/>
          <w:sz w:val="26"/>
          <w:szCs w:val="26"/>
          <w:lang w:val="uk-UA" w:eastAsia="en-GB"/>
        </w:rPr>
      </w:pPr>
      <w:r w:rsidRPr="00D7206E">
        <w:rPr>
          <w:rFonts w:ascii="Times New Roman" w:eastAsia="Verdana" w:hAnsi="Times New Roman"/>
          <w:b/>
          <w:sz w:val="26"/>
          <w:szCs w:val="26"/>
          <w:u w:val="single"/>
          <w:lang w:val="uk-UA" w:eastAsia="en-GB"/>
        </w:rPr>
        <w:t>Якщо протікання відбулось протягом відновлення</w:t>
      </w:r>
      <w:r w:rsidRPr="00D7206E">
        <w:rPr>
          <w:rFonts w:ascii="Times New Roman" w:eastAsia="Verdana" w:hAnsi="Times New Roman"/>
          <w:b/>
          <w:sz w:val="26"/>
          <w:szCs w:val="26"/>
          <w:lang w:val="uk-UA" w:eastAsia="en-GB"/>
        </w:rPr>
        <w:t xml:space="preserve"> ліофілізованої вакцини, шприц, що зазнав впливу, слід </w:t>
      </w:r>
      <w:r w:rsidR="007A0C24">
        <w:rPr>
          <w:rFonts w:ascii="Times New Roman" w:eastAsia="Verdana" w:hAnsi="Times New Roman"/>
          <w:b/>
          <w:sz w:val="26"/>
          <w:szCs w:val="26"/>
          <w:lang w:val="uk-UA" w:eastAsia="en-GB"/>
        </w:rPr>
        <w:t>знищити з вимогами</w:t>
      </w:r>
      <w:r w:rsidRPr="00D7206E">
        <w:rPr>
          <w:rFonts w:ascii="Times New Roman" w:eastAsia="Verdana" w:hAnsi="Times New Roman"/>
          <w:b/>
          <w:sz w:val="26"/>
          <w:szCs w:val="26"/>
          <w:lang w:val="uk-UA" w:eastAsia="en-GB"/>
        </w:rPr>
        <w:t>.</w:t>
      </w:r>
    </w:p>
    <w:p w:rsidR="00D7206E" w:rsidRPr="00D7206E" w:rsidRDefault="00D7206E" w:rsidP="00D7206E">
      <w:pPr>
        <w:numPr>
          <w:ilvl w:val="0"/>
          <w:numId w:val="12"/>
        </w:numPr>
        <w:ind w:left="357" w:firstLine="720"/>
        <w:jc w:val="both"/>
        <w:rPr>
          <w:rFonts w:ascii="Times New Roman" w:eastAsia="Verdana" w:hAnsi="Times New Roman"/>
          <w:sz w:val="26"/>
          <w:szCs w:val="26"/>
          <w:lang w:val="uk-UA" w:eastAsia="en-GB"/>
        </w:rPr>
      </w:pPr>
      <w:r w:rsidRPr="00D7206E">
        <w:rPr>
          <w:rFonts w:ascii="Times New Roman" w:eastAsia="Verdana" w:hAnsi="Times New Roman"/>
          <w:b/>
          <w:sz w:val="26"/>
          <w:szCs w:val="26"/>
          <w:u w:val="single"/>
          <w:lang w:val="uk-UA" w:eastAsia="en-GB"/>
        </w:rPr>
        <w:t xml:space="preserve">Якщо протікання відбулось протягом вакцинації, </w:t>
      </w:r>
      <w:r w:rsidRPr="00D7206E">
        <w:rPr>
          <w:rFonts w:ascii="Times New Roman" w:eastAsia="Verdana" w:hAnsi="Times New Roman"/>
          <w:b/>
          <w:bCs/>
          <w:noProof/>
          <w:kern w:val="32"/>
          <w:sz w:val="26"/>
          <w:szCs w:val="26"/>
          <w:lang w:val="uk-UA" w:eastAsia="en-GB"/>
        </w:rPr>
        <w:t xml:space="preserve">спеціаліст охорони здоров’я може оцінити необхідність введення повторної дози пацієнту, який отримав дозу менше ніж стандартна. Спеціалісти охорони здоров’я повинні враховувати потенційну користь від підвищення захисту від захворювання за допомогою введення повторної повної дози, потенційний ризик виникнення небажаних явищ від повторної дози та потенційний ризик незадовільного захисту від захворювання, якщо пацієнту не введена повторна доза. </w:t>
      </w:r>
    </w:p>
    <w:p w:rsidR="00D7206E" w:rsidRPr="00D7206E" w:rsidRDefault="00D7206E" w:rsidP="00D7206E">
      <w:pPr>
        <w:numPr>
          <w:ilvl w:val="0"/>
          <w:numId w:val="12"/>
        </w:numPr>
        <w:ind w:left="284" w:firstLine="720"/>
        <w:jc w:val="both"/>
        <w:rPr>
          <w:rFonts w:ascii="Times New Roman" w:hAnsi="Times New Roman"/>
          <w:b/>
          <w:sz w:val="26"/>
          <w:szCs w:val="26"/>
          <w:lang w:val="uk-UA"/>
        </w:rPr>
      </w:pPr>
      <w:r w:rsidRPr="00D7206E">
        <w:rPr>
          <w:rFonts w:ascii="Times New Roman" w:eastAsia="Verdana" w:hAnsi="Times New Roman"/>
          <w:sz w:val="26"/>
          <w:szCs w:val="26"/>
          <w:lang w:val="uk-UA" w:eastAsia="en-GB"/>
        </w:rPr>
        <w:t>Спеціалісти охорони здоров’я повинні дотримуватися місцевих рекомендацій щодо потенційного ризику введення недостатньої дози вакцини.</w:t>
      </w:r>
    </w:p>
    <w:p w:rsidR="00D7206E" w:rsidRPr="00D7206E" w:rsidRDefault="00D7206E" w:rsidP="00D7206E">
      <w:pPr>
        <w:numPr>
          <w:ilvl w:val="0"/>
          <w:numId w:val="12"/>
        </w:numPr>
        <w:ind w:left="284" w:firstLine="720"/>
        <w:jc w:val="both"/>
        <w:rPr>
          <w:rFonts w:ascii="Times New Roman" w:hAnsi="Times New Roman"/>
          <w:b/>
          <w:sz w:val="26"/>
          <w:szCs w:val="26"/>
          <w:lang w:val="uk-UA"/>
        </w:rPr>
      </w:pPr>
      <w:r w:rsidRPr="00D7206E">
        <w:rPr>
          <w:rFonts w:ascii="Times New Roman" w:eastAsia="Verdana" w:hAnsi="Times New Roman"/>
          <w:sz w:val="26"/>
          <w:szCs w:val="26"/>
          <w:lang w:val="uk-UA" w:eastAsia="en-GB"/>
        </w:rPr>
        <w:t>Спеціалістів охорони здоров’я закликають повідомляти про скарги щодо якості продукту, помилки в застосуванні лікарських засобів та підозрювані побічні реакції (див. “Закликаємо до повідомлення”).</w:t>
      </w:r>
    </w:p>
    <w:p w:rsidR="00D7206E" w:rsidRPr="00D7206E" w:rsidRDefault="00D7206E" w:rsidP="00D7206E">
      <w:pPr>
        <w:spacing w:after="140"/>
        <w:ind w:firstLine="720"/>
        <w:rPr>
          <w:rFonts w:ascii="Times New Roman" w:eastAsia="Verdana" w:hAnsi="Times New Roman"/>
          <w:sz w:val="26"/>
          <w:szCs w:val="26"/>
          <w:lang w:val="uk-UA" w:eastAsia="en-GB"/>
        </w:rPr>
      </w:pPr>
    </w:p>
    <w:p w:rsidR="00D7206E" w:rsidRPr="00D7206E" w:rsidRDefault="00D7206E" w:rsidP="00D7206E">
      <w:pPr>
        <w:spacing w:after="140"/>
        <w:ind w:firstLine="720"/>
        <w:rPr>
          <w:rFonts w:ascii="Times New Roman" w:eastAsia="Verdana" w:hAnsi="Times New Roman"/>
          <w:b/>
          <w:i/>
          <w:sz w:val="26"/>
          <w:szCs w:val="26"/>
          <w:lang w:val="uk-UA" w:eastAsia="en-GB"/>
        </w:rPr>
      </w:pPr>
      <w:r w:rsidRPr="00D7206E">
        <w:rPr>
          <w:rFonts w:ascii="Times New Roman" w:eastAsia="Verdana" w:hAnsi="Times New Roman"/>
          <w:b/>
          <w:i/>
          <w:sz w:val="26"/>
          <w:szCs w:val="26"/>
          <w:lang w:val="uk-UA" w:eastAsia="en-GB"/>
        </w:rPr>
        <w:t xml:space="preserve">Передумова інциденту протікання шприців </w:t>
      </w:r>
    </w:p>
    <w:p w:rsidR="00D7206E" w:rsidRPr="00D7206E" w:rsidRDefault="00D7206E" w:rsidP="00D7206E">
      <w:pPr>
        <w:spacing w:after="140"/>
        <w:ind w:firstLine="720"/>
        <w:contextualSpacing/>
        <w:jc w:val="both"/>
        <w:rPr>
          <w:rFonts w:ascii="Times New Roman" w:eastAsia="Verdana" w:hAnsi="Times New Roman"/>
          <w:sz w:val="26"/>
          <w:szCs w:val="26"/>
          <w:lang w:val="uk-UA" w:eastAsia="en-GB"/>
        </w:rPr>
      </w:pPr>
      <w:r w:rsidRPr="00D7206E">
        <w:rPr>
          <w:rFonts w:ascii="Times New Roman" w:eastAsia="Verdana" w:hAnsi="Times New Roman"/>
          <w:sz w:val="26"/>
          <w:szCs w:val="26"/>
          <w:lang w:val="uk-UA" w:eastAsia="en-GB"/>
        </w:rPr>
        <w:t xml:space="preserve">Починаючи з липня 2015 року, GSK виявила зростання повідомлень з приводу протікання шприців із наконечниками з керамічним покриттям. Протікання </w:t>
      </w:r>
      <w:r w:rsidRPr="00D7206E">
        <w:rPr>
          <w:rFonts w:ascii="Times New Roman" w:eastAsia="Verdana" w:hAnsi="Times New Roman"/>
          <w:sz w:val="26"/>
          <w:szCs w:val="26"/>
          <w:lang w:val="uk-UA" w:eastAsia="en-GB"/>
        </w:rPr>
        <w:lastRenderedPageBreak/>
        <w:t>відмічалось на місці з’єднання наконечника шприца та втулки голки під час підготовки вакцини або в момент її застосування.</w:t>
      </w:r>
    </w:p>
    <w:p w:rsidR="00D7206E" w:rsidRPr="00D7206E" w:rsidRDefault="00D7206E" w:rsidP="00D7206E">
      <w:pPr>
        <w:spacing w:after="140"/>
        <w:ind w:firstLine="720"/>
        <w:contextualSpacing/>
        <w:jc w:val="both"/>
        <w:rPr>
          <w:rFonts w:ascii="Times New Roman" w:hAnsi="Times New Roman"/>
          <w:sz w:val="26"/>
          <w:szCs w:val="26"/>
          <w:lang w:val="uk-UA"/>
        </w:rPr>
      </w:pPr>
      <w:r w:rsidRPr="00D7206E">
        <w:rPr>
          <w:rFonts w:ascii="Times New Roman" w:hAnsi="Times New Roman"/>
          <w:sz w:val="26"/>
          <w:szCs w:val="26"/>
          <w:lang w:val="uk-UA"/>
        </w:rPr>
        <w:t>Протікання відбувалось на з’єднанні між голкою та шприцом під час використання (див. Зображення 1) та не було спричинене порушенням цілісності шприца перед використанням.</w:t>
      </w:r>
    </w:p>
    <w:p w:rsidR="00D7206E" w:rsidRPr="00D7206E" w:rsidRDefault="00D7206E" w:rsidP="00D7206E">
      <w:pPr>
        <w:spacing w:after="140"/>
        <w:ind w:firstLine="720"/>
        <w:rPr>
          <w:rFonts w:ascii="Times New Roman" w:eastAsia="Verdana" w:hAnsi="Times New Roman"/>
          <w:sz w:val="26"/>
          <w:szCs w:val="26"/>
          <w:lang w:val="uk-UA" w:eastAsia="en-GB"/>
        </w:rPr>
      </w:pPr>
    </w:p>
    <w:tbl>
      <w:tblPr>
        <w:tblStyle w:val="TableGrid1"/>
        <w:tblpPr w:leftFromText="180" w:rightFromText="180" w:vertAnchor="text" w:horzAnchor="margin" w:tblpY="-4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6"/>
        <w:gridCol w:w="3246"/>
      </w:tblGrid>
      <w:tr w:rsidR="00D7206E" w:rsidRPr="00D7206E" w:rsidTr="00CE1FDF">
        <w:trPr>
          <w:trHeight w:val="3784"/>
        </w:trPr>
        <w:tc>
          <w:tcPr>
            <w:tcW w:w="3084" w:type="dxa"/>
          </w:tcPr>
          <w:p w:rsidR="00D7206E" w:rsidRPr="00D7206E" w:rsidRDefault="00D7206E" w:rsidP="00CE1FDF">
            <w:pPr>
              <w:spacing w:before="120" w:after="120"/>
              <w:ind w:firstLine="720"/>
              <w:jc w:val="center"/>
              <w:rPr>
                <w:rFonts w:ascii="Times New Roman" w:hAnsi="Times New Roman"/>
                <w:noProof/>
                <w:sz w:val="26"/>
                <w:szCs w:val="26"/>
                <w:lang w:val="uk-UA"/>
              </w:rPr>
            </w:pPr>
            <w:r w:rsidRPr="00D7206E">
              <w:rPr>
                <w:rFonts w:ascii="Times New Roman" w:hAnsi="Times New Roman"/>
                <w:noProof/>
                <w:sz w:val="26"/>
                <w:szCs w:val="26"/>
                <w:lang w:val="uk-UA"/>
              </w:rPr>
              <w:t>A</w:t>
            </w:r>
          </w:p>
          <w:p w:rsidR="00D7206E" w:rsidRPr="00D7206E" w:rsidRDefault="00D7206E" w:rsidP="00CE1FDF">
            <w:pPr>
              <w:spacing w:before="120" w:after="120"/>
              <w:ind w:firstLine="720"/>
              <w:jc w:val="center"/>
              <w:rPr>
                <w:rFonts w:ascii="Times New Roman" w:hAnsi="Times New Roman"/>
                <w:sz w:val="26"/>
                <w:szCs w:val="26"/>
                <w:lang w:val="uk-UA"/>
              </w:rPr>
            </w:pPr>
            <w:r w:rsidRPr="00D7206E">
              <w:rPr>
                <w:rFonts w:ascii="Times New Roman" w:hAnsi="Times New Roman"/>
                <w:noProof/>
                <w:sz w:val="26"/>
                <w:szCs w:val="26"/>
                <w:lang w:val="uk-UA" w:eastAsia="uk-UA"/>
              </w:rPr>
              <w:drawing>
                <wp:inline distT="0" distB="0" distL="0" distR="0" wp14:anchorId="41BDA454" wp14:editId="23560C60">
                  <wp:extent cx="1782000" cy="155880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82000" cy="1558800"/>
                          </a:xfrm>
                          <a:prstGeom prst="rect">
                            <a:avLst/>
                          </a:prstGeom>
                        </pic:spPr>
                      </pic:pic>
                    </a:graphicData>
                  </a:graphic>
                </wp:inline>
              </w:drawing>
            </w:r>
          </w:p>
        </w:tc>
        <w:tc>
          <w:tcPr>
            <w:tcW w:w="3085" w:type="dxa"/>
          </w:tcPr>
          <w:p w:rsidR="00D7206E" w:rsidRPr="00D7206E" w:rsidRDefault="00D7206E" w:rsidP="00CE1FDF">
            <w:pPr>
              <w:spacing w:before="120" w:after="120"/>
              <w:ind w:firstLine="720"/>
              <w:jc w:val="center"/>
              <w:rPr>
                <w:rFonts w:ascii="Times New Roman" w:hAnsi="Times New Roman"/>
                <w:noProof/>
                <w:sz w:val="26"/>
                <w:szCs w:val="26"/>
                <w:lang w:val="uk-UA"/>
              </w:rPr>
            </w:pPr>
            <w:r w:rsidRPr="00D7206E">
              <w:rPr>
                <w:rFonts w:ascii="Times New Roman" w:hAnsi="Times New Roman"/>
                <w:noProof/>
                <w:sz w:val="26"/>
                <w:szCs w:val="26"/>
                <w:lang w:val="uk-UA"/>
              </w:rPr>
              <w:t>B</w:t>
            </w:r>
          </w:p>
          <w:p w:rsidR="00D7206E" w:rsidRPr="00D7206E" w:rsidRDefault="00D7206E" w:rsidP="00CE1FDF">
            <w:pPr>
              <w:spacing w:before="120" w:after="120"/>
              <w:ind w:firstLine="720"/>
              <w:jc w:val="center"/>
              <w:rPr>
                <w:rFonts w:ascii="Times New Roman" w:hAnsi="Times New Roman"/>
                <w:sz w:val="26"/>
                <w:szCs w:val="26"/>
                <w:lang w:val="uk-UA"/>
              </w:rPr>
            </w:pPr>
            <w:r w:rsidRPr="00D7206E">
              <w:rPr>
                <w:rFonts w:ascii="Times New Roman" w:hAnsi="Times New Roman"/>
                <w:noProof/>
                <w:sz w:val="26"/>
                <w:szCs w:val="26"/>
                <w:lang w:val="uk-UA" w:eastAsia="uk-UA"/>
              </w:rPr>
              <w:drawing>
                <wp:inline distT="0" distB="0" distL="0" distR="0" wp14:anchorId="37257AE5" wp14:editId="33E869A0">
                  <wp:extent cx="1461600" cy="1558800"/>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61600" cy="1558800"/>
                          </a:xfrm>
                          <a:prstGeom prst="rect">
                            <a:avLst/>
                          </a:prstGeom>
                        </pic:spPr>
                      </pic:pic>
                    </a:graphicData>
                  </a:graphic>
                </wp:inline>
              </w:drawing>
            </w:r>
          </w:p>
        </w:tc>
      </w:tr>
    </w:tbl>
    <w:p w:rsidR="00D7206E" w:rsidRPr="00D7206E" w:rsidRDefault="00D7206E" w:rsidP="00D7206E">
      <w:pPr>
        <w:spacing w:after="140"/>
        <w:rPr>
          <w:rFonts w:ascii="Times New Roman" w:eastAsia="Verdana" w:hAnsi="Times New Roman"/>
          <w:sz w:val="26"/>
          <w:szCs w:val="26"/>
          <w:u w:val="single"/>
          <w:lang w:val="uk-UA" w:eastAsia="en-GB"/>
        </w:rPr>
      </w:pPr>
      <w:r w:rsidRPr="00D7206E">
        <w:rPr>
          <w:rFonts w:ascii="Times New Roman" w:eastAsia="Verdana" w:hAnsi="Times New Roman"/>
          <w:sz w:val="26"/>
          <w:szCs w:val="26"/>
          <w:u w:val="single"/>
          <w:lang w:val="uk-UA" w:eastAsia="en-GB"/>
        </w:rPr>
        <w:t>Зображення 1: Приклади різних втрат об’єму (виділено синім кольором)</w:t>
      </w:r>
    </w:p>
    <w:p w:rsidR="00D7206E" w:rsidRPr="00D7206E" w:rsidRDefault="00D7206E" w:rsidP="00D7206E">
      <w:pPr>
        <w:rPr>
          <w:rFonts w:ascii="Times New Roman" w:eastAsia="Verdana" w:hAnsi="Times New Roman"/>
          <w:sz w:val="26"/>
          <w:szCs w:val="26"/>
          <w:lang w:val="uk-UA" w:eastAsia="en-GB"/>
        </w:rPr>
      </w:pPr>
      <w:r w:rsidRPr="00D7206E">
        <w:rPr>
          <w:rFonts w:ascii="Times New Roman" w:eastAsia="Verdana" w:hAnsi="Times New Roman"/>
          <w:sz w:val="26"/>
          <w:szCs w:val="26"/>
          <w:lang w:val="uk-UA" w:eastAsia="en-GB"/>
        </w:rPr>
        <w:t>На підставі даних літератури, дослідження постачальників шприців та практичного тестування, втрата об'єму може коливатися приблизно від 10 мкл (малюнок А) до 50 мкл (малюнок В). В крайньому випадку, протікання краплі може потенційно призвести до втрати об'єму в розмірі 100 мкл або вище.</w:t>
      </w:r>
    </w:p>
    <w:p w:rsidR="00D7206E" w:rsidRPr="00D7206E" w:rsidRDefault="00D7206E" w:rsidP="00D7206E">
      <w:pPr>
        <w:ind w:firstLine="720"/>
        <w:jc w:val="both"/>
        <w:rPr>
          <w:rFonts w:ascii="Times New Roman" w:eastAsia="Verdana" w:hAnsi="Times New Roman"/>
          <w:sz w:val="26"/>
          <w:szCs w:val="26"/>
          <w:lang w:val="uk-UA" w:eastAsia="en-GB"/>
        </w:rPr>
      </w:pPr>
      <w:r w:rsidRPr="00D7206E">
        <w:rPr>
          <w:rFonts w:ascii="Times New Roman" w:eastAsia="Verdana" w:hAnsi="Times New Roman"/>
          <w:sz w:val="26"/>
          <w:szCs w:val="26"/>
          <w:lang w:val="uk-UA" w:eastAsia="en-GB"/>
        </w:rPr>
        <w:t xml:space="preserve">GSK провела коригувальні дії зі своїми постачальниками шприців та впровадила поліпшені шприці з вдосконаленим процесом наповнення  з січня 2018 року. Як удосконалені, так і доступні зараз шприці будуть наявні на ринку до кінця 2019 року. Частка </w:t>
      </w:r>
      <w:r w:rsidR="00CA1FD9" w:rsidRPr="00D7206E">
        <w:rPr>
          <w:rFonts w:ascii="Times New Roman" w:eastAsia="Verdana" w:hAnsi="Times New Roman"/>
          <w:sz w:val="26"/>
          <w:szCs w:val="26"/>
          <w:lang w:val="uk-UA" w:eastAsia="en-GB"/>
        </w:rPr>
        <w:t>шприців</w:t>
      </w:r>
      <w:r w:rsidR="00CA1FD9">
        <w:rPr>
          <w:rFonts w:ascii="Times New Roman" w:eastAsia="Verdana" w:hAnsi="Times New Roman"/>
          <w:sz w:val="26"/>
          <w:szCs w:val="26"/>
          <w:lang w:val="uk-UA" w:eastAsia="en-GB"/>
        </w:rPr>
        <w:t xml:space="preserve">, що </w:t>
      </w:r>
      <w:r w:rsidRPr="00D7206E">
        <w:rPr>
          <w:rFonts w:ascii="Times New Roman" w:eastAsia="Verdana" w:hAnsi="Times New Roman"/>
          <w:sz w:val="26"/>
          <w:szCs w:val="26"/>
          <w:lang w:val="uk-UA" w:eastAsia="en-GB"/>
        </w:rPr>
        <w:t xml:space="preserve">потенційно </w:t>
      </w:r>
      <w:r w:rsidR="00CA1FD9">
        <w:rPr>
          <w:rFonts w:ascii="Times New Roman" w:eastAsia="Verdana" w:hAnsi="Times New Roman"/>
          <w:sz w:val="26"/>
          <w:szCs w:val="26"/>
          <w:lang w:val="uk-UA" w:eastAsia="en-GB"/>
        </w:rPr>
        <w:t xml:space="preserve">підлягають протіканню </w:t>
      </w:r>
      <w:r w:rsidRPr="00D7206E">
        <w:rPr>
          <w:rFonts w:ascii="Times New Roman" w:eastAsia="Verdana" w:hAnsi="Times New Roman"/>
          <w:sz w:val="26"/>
          <w:szCs w:val="26"/>
          <w:lang w:val="uk-UA" w:eastAsia="en-GB"/>
        </w:rPr>
        <w:t>буде поступово зменшуватися до кінця 2019 року, коли доступні зараз шприци, як очікується, будуть використані.</w:t>
      </w:r>
    </w:p>
    <w:p w:rsidR="00D7206E" w:rsidRPr="00D7206E" w:rsidRDefault="00D7206E" w:rsidP="00D7206E">
      <w:pPr>
        <w:spacing w:after="140"/>
        <w:ind w:firstLine="720"/>
        <w:rPr>
          <w:rFonts w:ascii="Times New Roman" w:eastAsia="Verdana" w:hAnsi="Times New Roman"/>
          <w:sz w:val="26"/>
          <w:szCs w:val="26"/>
          <w:lang w:val="uk-UA" w:eastAsia="en-GB"/>
        </w:rPr>
      </w:pPr>
    </w:p>
    <w:p w:rsidR="00D7206E" w:rsidRPr="00D7206E" w:rsidRDefault="00D7206E" w:rsidP="00D7206E">
      <w:pPr>
        <w:spacing w:after="140"/>
        <w:ind w:firstLine="720"/>
        <w:rPr>
          <w:rFonts w:ascii="Times New Roman" w:eastAsia="Verdana" w:hAnsi="Times New Roman"/>
          <w:sz w:val="26"/>
          <w:szCs w:val="26"/>
          <w:lang w:val="uk-UA" w:eastAsia="en-GB"/>
        </w:rPr>
      </w:pPr>
      <w:r w:rsidRPr="00D7206E">
        <w:rPr>
          <w:rFonts w:ascii="Times New Roman" w:eastAsia="Verdana" w:hAnsi="Times New Roman"/>
          <w:b/>
          <w:sz w:val="26"/>
          <w:szCs w:val="26"/>
          <w:lang w:val="uk-UA" w:eastAsia="en-GB"/>
        </w:rPr>
        <w:t>Інформація про потенційне введення недостатньої дози</w:t>
      </w:r>
    </w:p>
    <w:p w:rsidR="00D7206E" w:rsidRPr="00D7206E" w:rsidRDefault="00D7206E" w:rsidP="00D7206E">
      <w:pPr>
        <w:ind w:firstLine="720"/>
        <w:jc w:val="both"/>
        <w:rPr>
          <w:rFonts w:ascii="Times New Roman" w:eastAsia="Verdana" w:hAnsi="Times New Roman"/>
          <w:sz w:val="26"/>
          <w:szCs w:val="26"/>
          <w:lang w:val="uk-UA" w:eastAsia="en-GB"/>
        </w:rPr>
      </w:pPr>
      <w:r w:rsidRPr="00D7206E">
        <w:rPr>
          <w:rFonts w:ascii="Times New Roman" w:eastAsia="Verdana" w:hAnsi="Times New Roman"/>
          <w:sz w:val="26"/>
          <w:szCs w:val="26"/>
          <w:lang w:val="uk-UA" w:eastAsia="en-GB"/>
        </w:rPr>
        <w:t>Дані стосовно введення вакцин з меншим вмістом ант</w:t>
      </w:r>
      <w:r w:rsidR="00695214">
        <w:rPr>
          <w:rFonts w:ascii="Times New Roman" w:eastAsia="Verdana" w:hAnsi="Times New Roman"/>
          <w:sz w:val="26"/>
          <w:szCs w:val="26"/>
          <w:lang w:val="uk-UA" w:eastAsia="en-GB"/>
        </w:rPr>
        <w:t>игену наявні для вакцин Хаврикс та</w:t>
      </w:r>
      <w:r w:rsidRPr="00D7206E">
        <w:rPr>
          <w:rFonts w:ascii="Times New Roman" w:eastAsia="Verdana" w:hAnsi="Times New Roman"/>
          <w:sz w:val="26"/>
          <w:szCs w:val="26"/>
          <w:lang w:val="uk-UA" w:eastAsia="en-GB"/>
        </w:rPr>
        <w:t xml:space="preserve"> Енджерикс-В (1-2). За наявними даними, введення половини дози антигену в складі вакцин Хаврикс або Енджерикс-В не буде мати впливу на серопротекцію чи серопозитивність. Зважаючи на те, що ймовірність протікання, яка призводить до введення пацієнту вдвічі меншої дози, є дуже незначною, очікується, що будь-який випадок недостатнього дозування, пов’язаний з протіканням шприців, не буде мати впливу на серопротекцію/серопозитивність.</w:t>
      </w:r>
    </w:p>
    <w:p w:rsidR="00D7206E" w:rsidRPr="00D7206E" w:rsidRDefault="00D7206E" w:rsidP="00D7206E">
      <w:pPr>
        <w:ind w:firstLine="720"/>
        <w:jc w:val="both"/>
        <w:rPr>
          <w:rFonts w:ascii="Times New Roman" w:eastAsia="Verdana" w:hAnsi="Times New Roman"/>
          <w:sz w:val="26"/>
          <w:szCs w:val="26"/>
          <w:lang w:val="uk-UA" w:eastAsia="en-GB"/>
        </w:rPr>
      </w:pPr>
      <w:r w:rsidRPr="00D7206E">
        <w:rPr>
          <w:rFonts w:ascii="Times New Roman" w:eastAsia="Verdana" w:hAnsi="Times New Roman"/>
          <w:sz w:val="26"/>
          <w:szCs w:val="26"/>
          <w:lang w:val="uk-UA" w:eastAsia="en-GB"/>
        </w:rPr>
        <w:t>Для вакцин</w:t>
      </w:r>
      <w:r w:rsidR="00695214">
        <w:rPr>
          <w:rFonts w:ascii="Times New Roman" w:eastAsia="Verdana" w:hAnsi="Times New Roman"/>
          <w:sz w:val="26"/>
          <w:szCs w:val="26"/>
          <w:lang w:val="uk-UA" w:eastAsia="en-GB"/>
        </w:rPr>
        <w:t>и</w:t>
      </w:r>
      <w:r w:rsidRPr="00D7206E">
        <w:rPr>
          <w:rFonts w:ascii="Times New Roman" w:eastAsia="Verdana" w:hAnsi="Times New Roman"/>
          <w:sz w:val="26"/>
          <w:szCs w:val="26"/>
          <w:lang w:val="uk-UA" w:eastAsia="en-GB"/>
        </w:rPr>
        <w:t xml:space="preserve"> Твінрикс</w:t>
      </w:r>
      <w:r w:rsidR="00695214">
        <w:rPr>
          <w:rFonts w:ascii="Times New Roman" w:eastAsia="Verdana" w:hAnsi="Times New Roman"/>
          <w:sz w:val="26"/>
          <w:szCs w:val="26"/>
          <w:lang w:val="uk-UA" w:eastAsia="en-GB"/>
        </w:rPr>
        <w:t>,</w:t>
      </w:r>
      <w:r w:rsidRPr="00D7206E">
        <w:rPr>
          <w:rFonts w:ascii="Times New Roman" w:eastAsia="Verdana" w:hAnsi="Times New Roman"/>
          <w:sz w:val="26"/>
          <w:szCs w:val="26"/>
          <w:lang w:val="uk-UA" w:eastAsia="en-GB"/>
        </w:rPr>
        <w:t xml:space="preserve"> незважаючи на відсутність даних стосовно досліджень залежності ефекту від дози, було продемонстровано, що імунна відповідь на два антигени в складі вакцини Твінрикс була щонайменше такого ж рівня, як і відповідь після щеплення одновалентними вакцинами Хаврикс та Енджерикс-В (3), для яких наявні дані стосовно введення дози з меншим вмістом антигену.</w:t>
      </w:r>
    </w:p>
    <w:p w:rsidR="00D7206E" w:rsidRPr="00D7206E" w:rsidRDefault="00D7206E" w:rsidP="00D7206E">
      <w:pPr>
        <w:ind w:firstLine="720"/>
        <w:jc w:val="both"/>
        <w:rPr>
          <w:rFonts w:ascii="Times New Roman" w:eastAsia="Verdana" w:hAnsi="Times New Roman"/>
          <w:sz w:val="26"/>
          <w:szCs w:val="26"/>
          <w:lang w:val="uk-UA" w:eastAsia="en-GB"/>
        </w:rPr>
      </w:pPr>
      <w:r w:rsidRPr="00D7206E">
        <w:rPr>
          <w:rFonts w:ascii="Times New Roman" w:eastAsia="Verdana" w:hAnsi="Times New Roman"/>
          <w:sz w:val="26"/>
          <w:szCs w:val="26"/>
          <w:lang w:val="uk-UA" w:eastAsia="en-GB"/>
        </w:rPr>
        <w:t xml:space="preserve">Для інших вакцин, що потенційно підлягають ризику протікання, неможливо оцінити ймовірний вплив недостатнього дозування на серопротекцію/серопозитивність. Проте, для вакцин, що вводяться у вигляді кількох доз (2–3 початкові дози плюс ревакцинація), ймовірність того, що кожна доза буде введена з протіканням шприца є незначною. </w:t>
      </w:r>
    </w:p>
    <w:p w:rsidR="00D7206E" w:rsidRPr="00D7206E" w:rsidRDefault="00D7206E" w:rsidP="00D7206E">
      <w:pPr>
        <w:ind w:firstLine="720"/>
        <w:rPr>
          <w:rFonts w:ascii="Times New Roman" w:eastAsia="Verdana" w:hAnsi="Times New Roman"/>
          <w:sz w:val="26"/>
          <w:szCs w:val="26"/>
          <w:lang w:val="uk-UA" w:eastAsia="en-GB"/>
        </w:rPr>
      </w:pPr>
    </w:p>
    <w:p w:rsidR="00D7206E" w:rsidRPr="00D7206E" w:rsidRDefault="00D7206E" w:rsidP="00D7206E">
      <w:pPr>
        <w:ind w:firstLine="720"/>
        <w:rPr>
          <w:rFonts w:ascii="Times New Roman" w:eastAsia="Verdana" w:hAnsi="Times New Roman"/>
          <w:b/>
          <w:sz w:val="26"/>
          <w:szCs w:val="26"/>
          <w:lang w:val="uk-UA" w:eastAsia="en-GB"/>
        </w:rPr>
      </w:pPr>
      <w:r w:rsidRPr="00D7206E">
        <w:rPr>
          <w:rFonts w:ascii="Times New Roman" w:eastAsia="Verdana" w:hAnsi="Times New Roman"/>
          <w:b/>
          <w:sz w:val="26"/>
          <w:szCs w:val="26"/>
          <w:lang w:val="uk-UA" w:eastAsia="en-GB"/>
        </w:rPr>
        <w:t>Додаткова інформація про рекомендації стосовно недостатньої дози</w:t>
      </w:r>
    </w:p>
    <w:p w:rsidR="00D7206E" w:rsidRPr="00D7206E" w:rsidRDefault="00D7206E" w:rsidP="00D7206E">
      <w:pPr>
        <w:ind w:firstLine="720"/>
        <w:rPr>
          <w:rFonts w:ascii="Times New Roman" w:eastAsia="Verdana" w:hAnsi="Times New Roman"/>
          <w:b/>
          <w:sz w:val="26"/>
          <w:szCs w:val="26"/>
          <w:lang w:val="uk-UA" w:eastAsia="en-GB"/>
        </w:rPr>
      </w:pPr>
    </w:p>
    <w:p w:rsidR="00D7206E" w:rsidRPr="00D7206E" w:rsidRDefault="00D7206E" w:rsidP="00D7206E">
      <w:pPr>
        <w:ind w:firstLine="720"/>
        <w:jc w:val="both"/>
        <w:rPr>
          <w:rFonts w:ascii="Times New Roman" w:eastAsia="Verdana" w:hAnsi="Times New Roman"/>
          <w:sz w:val="26"/>
          <w:szCs w:val="26"/>
          <w:lang w:val="uk-UA" w:eastAsia="en-GB"/>
        </w:rPr>
      </w:pPr>
      <w:r w:rsidRPr="00D7206E">
        <w:rPr>
          <w:rFonts w:ascii="Times New Roman" w:eastAsia="Verdana" w:hAnsi="Times New Roman"/>
          <w:sz w:val="26"/>
          <w:szCs w:val="26"/>
          <w:lang w:val="uk-UA" w:eastAsia="en-GB"/>
        </w:rPr>
        <w:t>Якщо місцеві рекомендації не описують способу уникнення проблеми введення недостатньої дози, наступні рекомендації Центру контролю і профілактики захворювань США (CDC), міністерства охорони здоров’я Великобританії та Всесвітньої організації охорони здоров’я</w:t>
      </w:r>
      <w:r w:rsidR="00CA1FD9">
        <w:rPr>
          <w:rFonts w:ascii="Times New Roman" w:eastAsia="Verdana" w:hAnsi="Times New Roman"/>
          <w:sz w:val="26"/>
          <w:szCs w:val="26"/>
          <w:lang w:val="uk-UA" w:eastAsia="en-GB"/>
        </w:rPr>
        <w:t xml:space="preserve"> (ВООЗ)</w:t>
      </w:r>
      <w:r w:rsidRPr="00D7206E">
        <w:rPr>
          <w:rFonts w:ascii="Times New Roman" w:eastAsia="Verdana" w:hAnsi="Times New Roman"/>
          <w:sz w:val="26"/>
          <w:szCs w:val="26"/>
          <w:lang w:val="uk-UA" w:eastAsia="en-GB"/>
        </w:rPr>
        <w:t xml:space="preserve"> можуть бути доцільними:</w:t>
      </w:r>
    </w:p>
    <w:p w:rsidR="00D7206E" w:rsidRPr="00D7206E" w:rsidRDefault="00D7206E" w:rsidP="00D7206E">
      <w:pPr>
        <w:numPr>
          <w:ilvl w:val="1"/>
          <w:numId w:val="13"/>
        </w:numPr>
        <w:ind w:left="709" w:firstLine="720"/>
        <w:contextualSpacing/>
        <w:jc w:val="both"/>
        <w:rPr>
          <w:rFonts w:ascii="Times New Roman" w:eastAsia="Verdana" w:hAnsi="Times New Roman"/>
          <w:sz w:val="26"/>
          <w:szCs w:val="26"/>
          <w:lang w:val="uk-UA" w:eastAsia="en-GB"/>
        </w:rPr>
      </w:pPr>
      <w:r w:rsidRPr="00D7206E">
        <w:rPr>
          <w:rFonts w:ascii="Times New Roman" w:eastAsia="Verdana" w:hAnsi="Times New Roman"/>
          <w:sz w:val="26"/>
          <w:szCs w:val="26"/>
          <w:lang w:val="uk-UA" w:eastAsia="en-GB"/>
        </w:rPr>
        <w:t>Згідно з рекомендацією Центру контролю і профілактики захворювань США (CDC): «Будь-яка вакцинація з використанням дози меншої ніж стандартна не повинна враховуватися, і необхідність повторної дози залежить від віку особи, за винятком тих випадків, коли серологічне дослідження вказує на формування адекватної імунної відповіді. Якщо доза парентеральної вакцини введена частково в зв’язку з протіканням шприца чи втулки голки, то введення дози необхідно повторити»</w:t>
      </w:r>
      <w:r w:rsidR="00CA1FD9">
        <w:rPr>
          <w:rFonts w:ascii="Times New Roman" w:eastAsia="Verdana" w:hAnsi="Times New Roman"/>
          <w:sz w:val="26"/>
          <w:szCs w:val="26"/>
          <w:lang w:val="uk-UA" w:eastAsia="en-GB"/>
        </w:rPr>
        <w:t xml:space="preserve"> </w:t>
      </w:r>
      <w:r w:rsidRPr="00D7206E">
        <w:rPr>
          <w:rFonts w:ascii="Times New Roman" w:eastAsia="Verdana" w:hAnsi="Times New Roman"/>
          <w:sz w:val="26"/>
          <w:szCs w:val="26"/>
          <w:lang w:val="uk-UA" w:eastAsia="en-GB"/>
        </w:rPr>
        <w:t>(12)</w:t>
      </w:r>
      <w:r w:rsidR="00CA1FD9">
        <w:rPr>
          <w:rFonts w:ascii="Times New Roman" w:eastAsia="Verdana" w:hAnsi="Times New Roman"/>
          <w:sz w:val="26"/>
          <w:szCs w:val="26"/>
          <w:lang w:val="uk-UA" w:eastAsia="en-GB"/>
        </w:rPr>
        <w:t>.</w:t>
      </w:r>
    </w:p>
    <w:p w:rsidR="00D7206E" w:rsidRPr="00D7206E" w:rsidRDefault="00D7206E" w:rsidP="00D7206E">
      <w:pPr>
        <w:pStyle w:val="a6"/>
        <w:numPr>
          <w:ilvl w:val="0"/>
          <w:numId w:val="15"/>
        </w:numPr>
        <w:ind w:firstLine="720"/>
        <w:contextualSpacing w:val="0"/>
        <w:jc w:val="both"/>
        <w:rPr>
          <w:rFonts w:ascii="Times New Roman" w:eastAsia="Verdana" w:hAnsi="Times New Roman"/>
          <w:sz w:val="26"/>
          <w:szCs w:val="26"/>
          <w:lang w:val="uk-UA" w:eastAsia="en-GB"/>
        </w:rPr>
      </w:pPr>
      <w:r w:rsidRPr="00D7206E">
        <w:rPr>
          <w:rFonts w:ascii="Times New Roman" w:eastAsia="Verdana" w:hAnsi="Times New Roman"/>
          <w:sz w:val="26"/>
          <w:szCs w:val="26"/>
          <w:lang w:val="uk-UA" w:eastAsia="en-GB"/>
        </w:rPr>
        <w:t>Згідно з рекомендацією міністерства охорони здоров’я Великобританії: «У тих випадках, коли пацієнти отримують меншу дозу вакцини ніж рекомендована, вакцинацію необхідно повторити, оскільки кількість доз, які отримує пацієнт, може бути недостатньо для формування повної імунної відповіді. В оптимальному випадку, вакцинацію необхідно повторити в той же день. Якщо повторити введення вакцини в той же день неможливо, то введення живої вакцини необхідно повторити впродовж мінімального інтервалу в наступні чотири тижні після введення некоректної дози. Введення інактивованих вакцин необхідно повторити якомога швидше»</w:t>
      </w:r>
      <w:r w:rsidR="00CA1FD9">
        <w:rPr>
          <w:rFonts w:ascii="Times New Roman" w:eastAsia="Verdana" w:hAnsi="Times New Roman"/>
          <w:sz w:val="26"/>
          <w:szCs w:val="26"/>
          <w:lang w:val="uk-UA" w:eastAsia="en-GB"/>
        </w:rPr>
        <w:t xml:space="preserve"> </w:t>
      </w:r>
      <w:r w:rsidRPr="00D7206E">
        <w:rPr>
          <w:rFonts w:ascii="Times New Roman" w:eastAsia="Verdana" w:hAnsi="Times New Roman"/>
          <w:sz w:val="26"/>
          <w:szCs w:val="26"/>
          <w:lang w:val="uk-UA" w:eastAsia="en-GB"/>
        </w:rPr>
        <w:t>(13)</w:t>
      </w:r>
      <w:r w:rsidR="00CA1FD9">
        <w:rPr>
          <w:rFonts w:ascii="Times New Roman" w:eastAsia="Verdana" w:hAnsi="Times New Roman"/>
          <w:sz w:val="26"/>
          <w:szCs w:val="26"/>
          <w:lang w:val="uk-UA" w:eastAsia="en-GB"/>
        </w:rPr>
        <w:t>.</w:t>
      </w:r>
    </w:p>
    <w:p w:rsidR="00D7206E" w:rsidRPr="00D7206E" w:rsidRDefault="00D7206E" w:rsidP="00D7206E">
      <w:pPr>
        <w:jc w:val="both"/>
        <w:rPr>
          <w:rFonts w:ascii="Times New Roman" w:eastAsia="Verdana" w:hAnsi="Times New Roman"/>
          <w:sz w:val="26"/>
          <w:szCs w:val="26"/>
          <w:lang w:val="uk-UA" w:eastAsia="en-GB"/>
        </w:rPr>
      </w:pPr>
      <w:r w:rsidRPr="00D7206E">
        <w:rPr>
          <w:rFonts w:ascii="Times New Roman" w:eastAsia="Verdana" w:hAnsi="Times New Roman"/>
          <w:sz w:val="26"/>
          <w:szCs w:val="26"/>
          <w:lang w:val="uk-UA" w:eastAsia="en-GB"/>
        </w:rPr>
        <w:t>Згідно з рекомендаціями В</w:t>
      </w:r>
      <w:r w:rsidR="00CA1FD9">
        <w:rPr>
          <w:rFonts w:ascii="Times New Roman" w:eastAsia="Verdana" w:hAnsi="Times New Roman"/>
          <w:sz w:val="26"/>
          <w:szCs w:val="26"/>
          <w:lang w:val="uk-UA" w:eastAsia="en-GB"/>
        </w:rPr>
        <w:t xml:space="preserve">ООЗ </w:t>
      </w:r>
      <w:r w:rsidRPr="00D7206E">
        <w:rPr>
          <w:rFonts w:ascii="Times New Roman" w:eastAsia="Verdana" w:hAnsi="Times New Roman"/>
          <w:sz w:val="26"/>
          <w:szCs w:val="26"/>
          <w:lang w:val="uk-UA" w:eastAsia="en-GB"/>
        </w:rPr>
        <w:t>від 2015 року стосовно перерваних чи відкладених схем вакцинації, для комбінованої вакцини АКДП, а також вакцин проти кору, сказу, епідемічного паротиту та вітряної віспи рекомендовано «повернутися до схеми вакцинації, не повторюючи попередню дозу, однак бустерна доза (ревакцинація) по</w:t>
      </w:r>
      <w:r w:rsidR="00CA1FD9">
        <w:rPr>
          <w:rFonts w:ascii="Times New Roman" w:eastAsia="Verdana" w:hAnsi="Times New Roman"/>
          <w:sz w:val="26"/>
          <w:szCs w:val="26"/>
          <w:lang w:val="uk-UA" w:eastAsia="en-GB"/>
        </w:rPr>
        <w:t xml:space="preserve">винна бути обов’язково введена» </w:t>
      </w:r>
      <w:r w:rsidRPr="00D7206E">
        <w:rPr>
          <w:rFonts w:ascii="Times New Roman" w:eastAsia="Verdana" w:hAnsi="Times New Roman"/>
          <w:sz w:val="26"/>
          <w:szCs w:val="26"/>
          <w:lang w:val="uk-UA" w:eastAsia="en-GB"/>
        </w:rPr>
        <w:t>(14)</w:t>
      </w:r>
      <w:r w:rsidR="00CA1FD9">
        <w:rPr>
          <w:rFonts w:ascii="Times New Roman" w:eastAsia="Verdana" w:hAnsi="Times New Roman"/>
          <w:sz w:val="26"/>
          <w:szCs w:val="26"/>
          <w:lang w:val="uk-UA" w:eastAsia="en-GB"/>
        </w:rPr>
        <w:t>.</w:t>
      </w:r>
    </w:p>
    <w:p w:rsidR="00D7206E" w:rsidRPr="00D7206E" w:rsidRDefault="00D7206E" w:rsidP="00D7206E">
      <w:pPr>
        <w:ind w:firstLine="720"/>
        <w:jc w:val="both"/>
        <w:rPr>
          <w:rFonts w:ascii="Times New Roman" w:eastAsia="Verdana" w:hAnsi="Times New Roman"/>
          <w:sz w:val="26"/>
          <w:szCs w:val="26"/>
          <w:lang w:val="uk-UA" w:eastAsia="en-GB"/>
        </w:rPr>
      </w:pPr>
    </w:p>
    <w:p w:rsidR="00D7206E" w:rsidRPr="00D7206E" w:rsidRDefault="00D7206E" w:rsidP="00D7206E">
      <w:pPr>
        <w:spacing w:after="140"/>
        <w:ind w:firstLine="720"/>
        <w:rPr>
          <w:rFonts w:ascii="Times New Roman" w:eastAsia="Verdana" w:hAnsi="Times New Roman"/>
          <w:b/>
          <w:sz w:val="26"/>
          <w:szCs w:val="26"/>
          <w:lang w:val="uk-UA" w:eastAsia="en-GB"/>
        </w:rPr>
      </w:pPr>
      <w:r w:rsidRPr="00D7206E">
        <w:rPr>
          <w:rFonts w:ascii="Times New Roman" w:eastAsia="Verdana" w:hAnsi="Times New Roman"/>
          <w:b/>
          <w:sz w:val="26"/>
          <w:szCs w:val="26"/>
          <w:lang w:val="uk-UA" w:eastAsia="en-GB"/>
        </w:rPr>
        <w:t>Інформація про потенційне передозування</w:t>
      </w:r>
    </w:p>
    <w:p w:rsidR="00D7206E" w:rsidRDefault="00D7206E" w:rsidP="00D7206E">
      <w:pPr>
        <w:ind w:firstLine="720"/>
        <w:jc w:val="both"/>
        <w:rPr>
          <w:rFonts w:ascii="Times New Roman" w:eastAsia="Verdana" w:hAnsi="Times New Roman"/>
          <w:sz w:val="26"/>
          <w:szCs w:val="26"/>
          <w:lang w:val="uk-UA" w:eastAsia="en-GB"/>
        </w:rPr>
      </w:pPr>
      <w:r w:rsidRPr="00D7206E">
        <w:rPr>
          <w:rFonts w:ascii="Times New Roman" w:eastAsia="Verdana" w:hAnsi="Times New Roman"/>
          <w:sz w:val="26"/>
          <w:szCs w:val="26"/>
          <w:lang w:val="uk-UA" w:eastAsia="en-GB"/>
        </w:rPr>
        <w:t xml:space="preserve">Що стосується потенційного ризику передозування у разі введення повторної дози, то згідно з наявними даними щодо передозування для </w:t>
      </w:r>
      <w:r w:rsidRPr="00D7206E">
        <w:rPr>
          <w:rFonts w:ascii="Times New Roman" w:eastAsia="Verdana" w:hAnsi="Times New Roman"/>
          <w:bCs/>
          <w:sz w:val="26"/>
          <w:szCs w:val="26"/>
          <w:lang w:val="uk-UA" w:eastAsia="en-GB"/>
        </w:rPr>
        <w:t>Інфанрикс, Інфанрикс ІПВ, Інфанрикс ІПВХІБ</w:t>
      </w:r>
      <w:r w:rsidRPr="00D7206E">
        <w:rPr>
          <w:rFonts w:ascii="Times New Roman" w:eastAsia="Verdana" w:hAnsi="Times New Roman"/>
          <w:sz w:val="26"/>
          <w:szCs w:val="26"/>
          <w:lang w:val="uk-UA" w:eastAsia="en-GB"/>
        </w:rPr>
        <w:t xml:space="preserve">, </w:t>
      </w:r>
      <w:r w:rsidRPr="00D7206E">
        <w:rPr>
          <w:rFonts w:ascii="Times New Roman" w:eastAsia="Verdana" w:hAnsi="Times New Roman"/>
          <w:bCs/>
          <w:sz w:val="26"/>
          <w:szCs w:val="26"/>
          <w:lang w:val="uk-UA" w:eastAsia="en-GB"/>
        </w:rPr>
        <w:t>Бустрикс, Бустрикс Поліо</w:t>
      </w:r>
      <w:r w:rsidRPr="00D7206E">
        <w:rPr>
          <w:rFonts w:ascii="Times New Roman" w:eastAsia="Verdana" w:hAnsi="Times New Roman"/>
          <w:sz w:val="26"/>
          <w:szCs w:val="26"/>
          <w:lang w:val="uk-UA" w:eastAsia="en-GB"/>
        </w:rPr>
        <w:t>, Твінрикс та Пріорикс (4-11), зареєстровані небажані явища були подібними до зареєстрованих при введенні стандартної дози.</w:t>
      </w:r>
    </w:p>
    <w:p w:rsidR="005C6ABA" w:rsidRPr="005C6ABA" w:rsidRDefault="005C6ABA" w:rsidP="00D7206E">
      <w:pPr>
        <w:ind w:firstLine="720"/>
        <w:jc w:val="both"/>
        <w:rPr>
          <w:rFonts w:ascii="Times New Roman" w:eastAsia="Verdana" w:hAnsi="Times New Roman"/>
          <w:b/>
          <w:sz w:val="26"/>
          <w:szCs w:val="26"/>
          <w:lang w:val="uk-UA" w:eastAsia="en-GB"/>
        </w:rPr>
      </w:pPr>
      <w:r w:rsidRPr="005C6ABA">
        <w:rPr>
          <w:rFonts w:ascii="Times New Roman" w:eastAsia="Verdana" w:hAnsi="Times New Roman"/>
          <w:b/>
          <w:sz w:val="26"/>
          <w:szCs w:val="26"/>
          <w:lang w:val="uk-UA" w:eastAsia="en-GB"/>
        </w:rPr>
        <w:t>Порядок повідомлення про побічні реакції</w:t>
      </w:r>
    </w:p>
    <w:p w:rsidR="00D7206E" w:rsidRPr="00695214" w:rsidRDefault="00695214" w:rsidP="00D7206E">
      <w:pPr>
        <w:ind w:firstLine="720"/>
        <w:jc w:val="both"/>
        <w:rPr>
          <w:rFonts w:ascii="Times New Roman" w:eastAsia="Verdana" w:hAnsi="Times New Roman"/>
          <w:sz w:val="26"/>
          <w:szCs w:val="26"/>
          <w:lang w:val="uk-UA" w:eastAsia="en-GB"/>
        </w:rPr>
      </w:pPr>
      <w:r>
        <w:rPr>
          <w:rFonts w:ascii="Times New Roman" w:eastAsia="Verdana" w:hAnsi="Times New Roman"/>
          <w:sz w:val="26"/>
          <w:szCs w:val="26"/>
          <w:lang w:val="uk-UA" w:eastAsia="en-GB"/>
        </w:rPr>
        <w:t>Про усі побічні реакції, що виникли у пацієнтів, необхідно повідомляти до Державного експертного ц</w:t>
      </w:r>
      <w:r w:rsidR="00CA1FD9">
        <w:rPr>
          <w:rFonts w:ascii="Times New Roman" w:eastAsia="Verdana" w:hAnsi="Times New Roman"/>
          <w:sz w:val="26"/>
          <w:szCs w:val="26"/>
          <w:lang w:val="uk-UA" w:eastAsia="en-GB"/>
        </w:rPr>
        <w:t xml:space="preserve">ентру МОЗ відповідно до вимог </w:t>
      </w:r>
      <w:r>
        <w:rPr>
          <w:rFonts w:ascii="Times New Roman" w:eastAsia="Verdana" w:hAnsi="Times New Roman"/>
          <w:sz w:val="26"/>
          <w:szCs w:val="26"/>
          <w:lang w:val="uk-UA" w:eastAsia="en-GB"/>
        </w:rPr>
        <w:t xml:space="preserve">пункту 8 розділу </w:t>
      </w:r>
      <w:r>
        <w:rPr>
          <w:rFonts w:ascii="Times New Roman" w:eastAsia="Verdana" w:hAnsi="Times New Roman"/>
          <w:sz w:val="26"/>
          <w:szCs w:val="26"/>
          <w:lang w:val="en-US" w:eastAsia="en-GB"/>
        </w:rPr>
        <w:t>IV</w:t>
      </w:r>
      <w:r w:rsidRPr="00695214">
        <w:rPr>
          <w:rFonts w:ascii="Times New Roman" w:eastAsia="Verdana" w:hAnsi="Times New Roman"/>
          <w:sz w:val="26"/>
          <w:szCs w:val="26"/>
          <w:lang w:val="uk-UA" w:eastAsia="en-GB"/>
        </w:rPr>
        <w:t xml:space="preserve"> Порядку здійснення фармаконагляду, затвердженого наказом Міністерства охорони здоров’я</w:t>
      </w:r>
      <w:r>
        <w:rPr>
          <w:rFonts w:ascii="Times New Roman" w:eastAsia="Verdana" w:hAnsi="Times New Roman"/>
          <w:sz w:val="26"/>
          <w:szCs w:val="26"/>
          <w:lang w:val="uk-UA" w:eastAsia="en-GB"/>
        </w:rPr>
        <w:t xml:space="preserve"> України від 27 грудня 2006 року №898, зареєстрований в Міністерстві юстиції України 19 грудня 2016 року за №1649/29779 (у редакції наказу Міністерства охорони здоров</w:t>
      </w:r>
      <w:r w:rsidRPr="00695214">
        <w:rPr>
          <w:rFonts w:ascii="Times New Roman" w:eastAsia="Verdana" w:hAnsi="Times New Roman"/>
          <w:sz w:val="26"/>
          <w:szCs w:val="26"/>
          <w:lang w:val="uk-UA" w:eastAsia="en-GB"/>
        </w:rPr>
        <w:t>’я Укра</w:t>
      </w:r>
      <w:r>
        <w:rPr>
          <w:rFonts w:ascii="Times New Roman" w:eastAsia="Verdana" w:hAnsi="Times New Roman"/>
          <w:sz w:val="26"/>
          <w:szCs w:val="26"/>
          <w:lang w:val="uk-UA" w:eastAsia="en-GB"/>
        </w:rPr>
        <w:t>їни від 26 вересня 2016 року №996).</w:t>
      </w:r>
      <w:r w:rsidRPr="00695214">
        <w:rPr>
          <w:rFonts w:ascii="Times New Roman" w:eastAsia="Verdana" w:hAnsi="Times New Roman"/>
          <w:sz w:val="26"/>
          <w:szCs w:val="26"/>
          <w:lang w:val="uk-UA" w:eastAsia="en-GB"/>
        </w:rPr>
        <w:t xml:space="preserve"> </w:t>
      </w:r>
    </w:p>
    <w:p w:rsidR="00D7206E" w:rsidRPr="00D7206E" w:rsidRDefault="00D7206E" w:rsidP="00D7206E">
      <w:pPr>
        <w:ind w:firstLine="720"/>
        <w:jc w:val="both"/>
        <w:rPr>
          <w:rFonts w:ascii="Times New Roman" w:eastAsia="Verdana" w:hAnsi="Times New Roman"/>
          <w:sz w:val="26"/>
          <w:szCs w:val="26"/>
          <w:lang w:val="uk-UA" w:eastAsia="en-GB"/>
        </w:rPr>
      </w:pPr>
      <w:r w:rsidRPr="00D7206E">
        <w:rPr>
          <w:rFonts w:ascii="Times New Roman" w:eastAsia="Verdana" w:hAnsi="Times New Roman"/>
          <w:sz w:val="26"/>
          <w:szCs w:val="26"/>
          <w:lang w:val="uk-UA" w:eastAsia="en-GB"/>
        </w:rPr>
        <w:t xml:space="preserve">GSK наголошує на важливості подання всіх скарг на </w:t>
      </w:r>
      <w:r w:rsidR="00CA1FD9">
        <w:rPr>
          <w:rFonts w:ascii="Times New Roman" w:eastAsia="Verdana" w:hAnsi="Times New Roman"/>
          <w:sz w:val="26"/>
          <w:szCs w:val="26"/>
          <w:lang w:val="uk-UA" w:eastAsia="en-GB"/>
        </w:rPr>
        <w:t>лікарські засоби та вакцини</w:t>
      </w:r>
      <w:r w:rsidRPr="00D7206E">
        <w:rPr>
          <w:rFonts w:ascii="Times New Roman" w:eastAsia="Verdana" w:hAnsi="Times New Roman"/>
          <w:sz w:val="26"/>
          <w:szCs w:val="26"/>
          <w:lang w:val="uk-UA" w:eastAsia="en-GB"/>
        </w:rPr>
        <w:t>, включаючи протікання шприців, як важливого елементу подальшої перевірки безпеки вакцин.</w:t>
      </w:r>
    </w:p>
    <w:p w:rsidR="00E962D9" w:rsidRPr="003239A5" w:rsidRDefault="00E962D9" w:rsidP="00E962D9">
      <w:pPr>
        <w:ind w:firstLine="720"/>
        <w:jc w:val="both"/>
        <w:rPr>
          <w:rFonts w:ascii="Times New Roman" w:eastAsia="Verdana" w:hAnsi="Times New Roman"/>
          <w:sz w:val="26"/>
          <w:szCs w:val="26"/>
          <w:lang w:val="uk-UA" w:eastAsia="en-GB"/>
        </w:rPr>
      </w:pPr>
      <w:r w:rsidRPr="00CE6E50">
        <w:rPr>
          <w:rFonts w:ascii="Times New Roman" w:eastAsia="Verdana" w:hAnsi="Times New Roman"/>
          <w:sz w:val="26"/>
          <w:szCs w:val="26"/>
          <w:lang w:val="uk-UA" w:eastAsia="en-GB"/>
        </w:rPr>
        <w:t>З питаннями щодо якості</w:t>
      </w:r>
      <w:r w:rsidR="00522CB2">
        <w:rPr>
          <w:rFonts w:ascii="Times New Roman" w:eastAsia="Verdana" w:hAnsi="Times New Roman"/>
          <w:sz w:val="26"/>
          <w:szCs w:val="26"/>
          <w:lang w:val="uk-UA" w:eastAsia="en-GB"/>
        </w:rPr>
        <w:t xml:space="preserve"> та </w:t>
      </w:r>
      <w:r w:rsidR="0076020A">
        <w:rPr>
          <w:rFonts w:ascii="Times New Roman" w:eastAsia="Verdana" w:hAnsi="Times New Roman"/>
          <w:sz w:val="26"/>
          <w:szCs w:val="26"/>
          <w:lang w:val="uk-UA" w:eastAsia="en-GB"/>
        </w:rPr>
        <w:t xml:space="preserve"> </w:t>
      </w:r>
      <w:r w:rsidRPr="00CE6E50">
        <w:rPr>
          <w:rFonts w:ascii="Times New Roman" w:eastAsia="Verdana" w:hAnsi="Times New Roman"/>
          <w:sz w:val="26"/>
          <w:szCs w:val="26"/>
          <w:lang w:val="uk-UA" w:eastAsia="en-GB"/>
        </w:rPr>
        <w:t>помил</w:t>
      </w:r>
      <w:r w:rsidR="00B36BCD" w:rsidRPr="00CE6E50">
        <w:rPr>
          <w:rFonts w:ascii="Times New Roman" w:eastAsia="Verdana" w:hAnsi="Times New Roman"/>
          <w:sz w:val="26"/>
          <w:szCs w:val="26"/>
          <w:lang w:val="uk-UA" w:eastAsia="en-GB"/>
        </w:rPr>
        <w:t>о</w:t>
      </w:r>
      <w:r w:rsidRPr="00CE6E50">
        <w:rPr>
          <w:rFonts w:ascii="Times New Roman" w:eastAsia="Verdana" w:hAnsi="Times New Roman"/>
          <w:sz w:val="26"/>
          <w:szCs w:val="26"/>
          <w:lang w:val="uk-UA" w:eastAsia="en-GB"/>
        </w:rPr>
        <w:t xml:space="preserve">к </w:t>
      </w:r>
      <w:r w:rsidR="00CE6E50" w:rsidRPr="00CE6E50">
        <w:rPr>
          <w:rFonts w:ascii="Times New Roman" w:eastAsia="Verdana" w:hAnsi="Times New Roman"/>
          <w:sz w:val="26"/>
          <w:szCs w:val="26"/>
          <w:lang w:val="uk-UA" w:eastAsia="en-GB"/>
        </w:rPr>
        <w:t>при</w:t>
      </w:r>
      <w:r w:rsidRPr="00CE6E50">
        <w:rPr>
          <w:rFonts w:ascii="Times New Roman" w:eastAsia="Verdana" w:hAnsi="Times New Roman"/>
          <w:sz w:val="26"/>
          <w:szCs w:val="26"/>
          <w:lang w:val="uk-UA" w:eastAsia="en-GB"/>
        </w:rPr>
        <w:t xml:space="preserve"> застосуванні</w:t>
      </w:r>
      <w:r w:rsidR="00522CB2" w:rsidRPr="00522CB2">
        <w:rPr>
          <w:rFonts w:ascii="Times New Roman" w:eastAsia="Verdana" w:hAnsi="Times New Roman"/>
          <w:sz w:val="26"/>
          <w:szCs w:val="26"/>
          <w:lang w:val="uk-UA" w:eastAsia="en-GB"/>
        </w:rPr>
        <w:t xml:space="preserve"> вакцин </w:t>
      </w:r>
      <w:r w:rsidR="00522CB2" w:rsidRPr="00522CB2">
        <w:rPr>
          <w:rFonts w:ascii="Times New Roman" w:eastAsia="Verdana" w:hAnsi="Times New Roman"/>
          <w:sz w:val="26"/>
          <w:szCs w:val="26"/>
          <w:lang w:val="en-US" w:eastAsia="en-GB"/>
        </w:rPr>
        <w:t>GSK</w:t>
      </w:r>
      <w:r w:rsidR="00522CB2">
        <w:rPr>
          <w:rFonts w:ascii="Times New Roman" w:eastAsia="Verdana" w:hAnsi="Times New Roman"/>
          <w:sz w:val="26"/>
          <w:szCs w:val="26"/>
          <w:lang w:val="uk-UA" w:eastAsia="en-GB"/>
        </w:rPr>
        <w:t xml:space="preserve">, а також </w:t>
      </w:r>
      <w:r w:rsidR="0076020A">
        <w:rPr>
          <w:rFonts w:ascii="Times New Roman" w:eastAsia="Verdana" w:hAnsi="Times New Roman"/>
          <w:sz w:val="26"/>
          <w:szCs w:val="26"/>
          <w:lang w:val="uk-UA" w:eastAsia="en-GB"/>
        </w:rPr>
        <w:t xml:space="preserve"> підозри на </w:t>
      </w:r>
      <w:r w:rsidR="00CE6E50" w:rsidRPr="00CE6E50">
        <w:rPr>
          <w:rFonts w:ascii="Times New Roman" w:eastAsia="Verdana" w:hAnsi="Times New Roman"/>
          <w:sz w:val="26"/>
          <w:szCs w:val="26"/>
          <w:lang w:val="uk-UA" w:eastAsia="en-GB"/>
        </w:rPr>
        <w:t>побічн</w:t>
      </w:r>
      <w:r w:rsidR="0076020A">
        <w:rPr>
          <w:rFonts w:ascii="Times New Roman" w:eastAsia="Verdana" w:hAnsi="Times New Roman"/>
          <w:sz w:val="26"/>
          <w:szCs w:val="26"/>
          <w:lang w:val="uk-UA" w:eastAsia="en-GB"/>
        </w:rPr>
        <w:t>і</w:t>
      </w:r>
      <w:r w:rsidR="00CE6E50" w:rsidRPr="00CE6E50">
        <w:rPr>
          <w:rFonts w:ascii="Times New Roman" w:eastAsia="Verdana" w:hAnsi="Times New Roman"/>
          <w:sz w:val="26"/>
          <w:szCs w:val="26"/>
          <w:lang w:val="uk-UA" w:eastAsia="en-GB"/>
        </w:rPr>
        <w:t xml:space="preserve"> реакці</w:t>
      </w:r>
      <w:r w:rsidR="0076020A">
        <w:rPr>
          <w:rFonts w:ascii="Times New Roman" w:eastAsia="Verdana" w:hAnsi="Times New Roman"/>
          <w:sz w:val="26"/>
          <w:szCs w:val="26"/>
          <w:lang w:val="uk-UA" w:eastAsia="en-GB"/>
        </w:rPr>
        <w:t>ї</w:t>
      </w:r>
      <w:r w:rsidR="00CE6E50" w:rsidRPr="00CE6E50">
        <w:rPr>
          <w:rFonts w:ascii="Times New Roman" w:eastAsia="Verdana" w:hAnsi="Times New Roman"/>
          <w:sz w:val="26"/>
          <w:szCs w:val="26"/>
          <w:lang w:val="uk-UA" w:eastAsia="en-GB"/>
        </w:rPr>
        <w:t xml:space="preserve"> </w:t>
      </w:r>
      <w:r w:rsidR="0076020A">
        <w:rPr>
          <w:rFonts w:ascii="Times New Roman" w:eastAsia="Verdana" w:hAnsi="Times New Roman"/>
          <w:sz w:val="26"/>
          <w:szCs w:val="26"/>
          <w:lang w:val="uk-UA" w:eastAsia="en-GB"/>
        </w:rPr>
        <w:t xml:space="preserve">та медичної інформації, що має відношення до </w:t>
      </w:r>
      <w:r w:rsidR="0076020A">
        <w:rPr>
          <w:rFonts w:ascii="Times New Roman" w:eastAsia="Verdana" w:hAnsi="Times New Roman"/>
          <w:sz w:val="26"/>
          <w:szCs w:val="26"/>
          <w:lang w:val="uk-UA" w:eastAsia="en-GB"/>
        </w:rPr>
        <w:lastRenderedPageBreak/>
        <w:t xml:space="preserve">викладеного вище, </w:t>
      </w:r>
      <w:r w:rsidRPr="00CE6E50">
        <w:rPr>
          <w:rFonts w:ascii="Times New Roman" w:eastAsia="Verdana" w:hAnsi="Times New Roman"/>
          <w:sz w:val="26"/>
          <w:szCs w:val="26"/>
          <w:lang w:val="uk-UA" w:eastAsia="en-GB"/>
        </w:rPr>
        <w:t xml:space="preserve">слід звертатися за телефоном +38 044 585-51-85, факсом +38(044)-585-51-92, або електронною поштою </w:t>
      </w:r>
      <w:hyperlink r:id="rId10" w:history="1">
        <w:r w:rsidRPr="00CE6E50">
          <w:rPr>
            <w:rFonts w:ascii="Times New Roman" w:eastAsia="Verdana" w:hAnsi="Times New Roman"/>
            <w:sz w:val="26"/>
            <w:szCs w:val="26"/>
            <w:lang w:val="uk-UA" w:eastAsia="en-GB"/>
          </w:rPr>
          <w:t>oax70065@gsk.com</w:t>
        </w:r>
      </w:hyperlink>
      <w:r w:rsidRPr="00CE6E50">
        <w:rPr>
          <w:rFonts w:ascii="Times New Roman" w:eastAsia="Verdana" w:hAnsi="Times New Roman"/>
          <w:sz w:val="26"/>
          <w:szCs w:val="26"/>
          <w:lang w:val="uk-UA" w:eastAsia="en-GB"/>
        </w:rPr>
        <w:t>).</w:t>
      </w:r>
    </w:p>
    <w:p w:rsidR="00E962D9" w:rsidRDefault="00E962D9" w:rsidP="00D7206E">
      <w:pPr>
        <w:ind w:firstLine="720"/>
        <w:jc w:val="both"/>
        <w:rPr>
          <w:rFonts w:ascii="Times New Roman" w:eastAsia="Verdana" w:hAnsi="Times New Roman"/>
          <w:sz w:val="26"/>
          <w:szCs w:val="26"/>
          <w:lang w:val="uk-UA" w:eastAsia="en-GB"/>
        </w:rPr>
      </w:pPr>
    </w:p>
    <w:p w:rsidR="00D7206E" w:rsidRPr="00D7206E" w:rsidRDefault="00D7206E" w:rsidP="00D7206E">
      <w:pPr>
        <w:ind w:firstLine="720"/>
        <w:rPr>
          <w:rFonts w:ascii="Times New Roman" w:eastAsia="Verdana" w:hAnsi="Times New Roman"/>
          <w:i/>
          <w:sz w:val="24"/>
          <w:szCs w:val="24"/>
          <w:lang w:val="uk-UA" w:eastAsia="en-GB"/>
        </w:rPr>
      </w:pPr>
    </w:p>
    <w:p w:rsidR="00D7206E" w:rsidRPr="00D7206E" w:rsidRDefault="00D7206E" w:rsidP="00D7206E">
      <w:pPr>
        <w:ind w:firstLine="720"/>
        <w:jc w:val="both"/>
        <w:rPr>
          <w:rFonts w:ascii="Times New Roman" w:hAnsi="Times New Roman"/>
          <w:b/>
          <w:i/>
          <w:color w:val="000000"/>
          <w:lang w:val="uk-UA" w:eastAsia="en-US"/>
        </w:rPr>
      </w:pPr>
      <w:r w:rsidRPr="00D7206E">
        <w:rPr>
          <w:rFonts w:ascii="Times New Roman" w:hAnsi="Times New Roman"/>
          <w:b/>
          <w:i/>
          <w:color w:val="000000"/>
          <w:lang w:val="uk-UA" w:eastAsia="en-US"/>
        </w:rPr>
        <w:t>Посилання:</w:t>
      </w:r>
    </w:p>
    <w:p w:rsidR="00D7206E" w:rsidRPr="00D7206E" w:rsidRDefault="00D7206E" w:rsidP="00D7206E">
      <w:pPr>
        <w:numPr>
          <w:ilvl w:val="0"/>
          <w:numId w:val="14"/>
        </w:numPr>
        <w:ind w:hanging="294"/>
        <w:contextualSpacing/>
        <w:jc w:val="both"/>
        <w:rPr>
          <w:rFonts w:ascii="Times New Roman" w:hAnsi="Times New Roman"/>
          <w:color w:val="000000"/>
          <w:lang w:val="uk-UA" w:eastAsia="en-US"/>
        </w:rPr>
      </w:pPr>
      <w:r w:rsidRPr="00D7206E">
        <w:rPr>
          <w:rFonts w:ascii="Times New Roman" w:hAnsi="Times New Roman"/>
          <w:color w:val="000000"/>
          <w:lang w:val="uk-UA" w:eastAsia="en-US"/>
        </w:rPr>
        <w:t>DoFs 2016N286147_00, 2016N286148_00  and 2016N286149_00 GSK data on file.</w:t>
      </w:r>
    </w:p>
    <w:p w:rsidR="00D7206E" w:rsidRPr="00D7206E" w:rsidRDefault="00D7206E" w:rsidP="00D7206E">
      <w:pPr>
        <w:numPr>
          <w:ilvl w:val="0"/>
          <w:numId w:val="14"/>
        </w:numPr>
        <w:ind w:hanging="294"/>
        <w:contextualSpacing/>
        <w:jc w:val="both"/>
        <w:rPr>
          <w:rFonts w:ascii="Times New Roman" w:hAnsi="Times New Roman"/>
          <w:color w:val="000000"/>
          <w:lang w:val="uk-UA" w:eastAsia="en-US"/>
        </w:rPr>
      </w:pPr>
      <w:r w:rsidRPr="00D7206E">
        <w:rPr>
          <w:rFonts w:ascii="Times New Roman" w:hAnsi="Times New Roman"/>
          <w:color w:val="000000"/>
          <w:lang w:val="uk-UA" w:eastAsia="en-US"/>
        </w:rPr>
        <w:t>Innis B, Snitbhan R, Kunasol P et al., J. Protection Against Hepatitis A by an Inactivated Vaccine JAMA. 1994;271(17):1328-1334.</w:t>
      </w:r>
    </w:p>
    <w:p w:rsidR="00D7206E" w:rsidRPr="00D7206E" w:rsidRDefault="00D7206E" w:rsidP="00D7206E">
      <w:pPr>
        <w:numPr>
          <w:ilvl w:val="0"/>
          <w:numId w:val="14"/>
        </w:numPr>
        <w:ind w:hanging="294"/>
        <w:contextualSpacing/>
        <w:jc w:val="both"/>
        <w:rPr>
          <w:rFonts w:ascii="Times New Roman" w:hAnsi="Times New Roman"/>
          <w:color w:val="000000"/>
          <w:lang w:val="uk-UA" w:eastAsia="en-US"/>
        </w:rPr>
      </w:pPr>
      <w:r w:rsidRPr="00D7206E">
        <w:rPr>
          <w:rFonts w:ascii="Times New Roman" w:hAnsi="Times New Roman"/>
          <w:color w:val="000000"/>
          <w:lang w:val="uk-UA" w:eastAsia="en-US"/>
        </w:rPr>
        <w:t>Van Damme P, Van Herck K. A review of the efficacy, immunogenicity and tolerability of a combined hepatitis A and B vaccine, Expert Rev.</w:t>
      </w:r>
    </w:p>
    <w:p w:rsidR="00D7206E" w:rsidRPr="00D7206E" w:rsidRDefault="00D7206E" w:rsidP="00D7206E">
      <w:pPr>
        <w:numPr>
          <w:ilvl w:val="0"/>
          <w:numId w:val="14"/>
        </w:numPr>
        <w:spacing w:after="240"/>
        <w:ind w:hanging="294"/>
        <w:contextualSpacing/>
        <w:jc w:val="both"/>
        <w:rPr>
          <w:rFonts w:ascii="Times New Roman" w:hAnsi="Times New Roman"/>
          <w:color w:val="000000"/>
          <w:lang w:val="uk-UA" w:eastAsia="en-US"/>
        </w:rPr>
      </w:pPr>
      <w:r w:rsidRPr="00D7206E">
        <w:rPr>
          <w:rFonts w:ascii="Times New Roman" w:hAnsi="Times New Roman"/>
          <w:lang w:val="uk-UA" w:eastAsia="en-US"/>
        </w:rPr>
        <w:t>GDS Infanrix™-IPV+Hib version 012.</w:t>
      </w:r>
    </w:p>
    <w:p w:rsidR="00D7206E" w:rsidRPr="00D7206E" w:rsidRDefault="00D7206E" w:rsidP="00D7206E">
      <w:pPr>
        <w:numPr>
          <w:ilvl w:val="0"/>
          <w:numId w:val="14"/>
        </w:numPr>
        <w:spacing w:after="240"/>
        <w:ind w:hanging="294"/>
        <w:contextualSpacing/>
        <w:jc w:val="both"/>
        <w:rPr>
          <w:rFonts w:ascii="Times New Roman" w:hAnsi="Times New Roman"/>
          <w:color w:val="000000"/>
          <w:lang w:val="uk-UA" w:eastAsia="en-US"/>
        </w:rPr>
      </w:pPr>
      <w:r w:rsidRPr="00D7206E">
        <w:rPr>
          <w:rFonts w:ascii="Times New Roman" w:hAnsi="Times New Roman"/>
          <w:lang w:val="uk-UA" w:eastAsia="en-US"/>
        </w:rPr>
        <w:t>GDS Infanrix™ HB-IPV + Hib version 015</w:t>
      </w:r>
    </w:p>
    <w:p w:rsidR="00D7206E" w:rsidRPr="00D7206E" w:rsidRDefault="00D7206E" w:rsidP="00D7206E">
      <w:pPr>
        <w:numPr>
          <w:ilvl w:val="0"/>
          <w:numId w:val="14"/>
        </w:numPr>
        <w:spacing w:after="240"/>
        <w:ind w:hanging="294"/>
        <w:contextualSpacing/>
        <w:jc w:val="both"/>
        <w:rPr>
          <w:rFonts w:ascii="Times New Roman" w:hAnsi="Times New Roman"/>
          <w:color w:val="000000"/>
          <w:u w:val="single"/>
          <w:lang w:val="uk-UA" w:eastAsia="en-US"/>
        </w:rPr>
      </w:pPr>
      <w:r w:rsidRPr="00D7206E">
        <w:rPr>
          <w:rFonts w:ascii="Times New Roman" w:hAnsi="Times New Roman"/>
          <w:color w:val="0000FF"/>
          <w:u w:val="single"/>
          <w:lang w:val="uk-UA" w:eastAsia="en-US"/>
        </w:rPr>
        <w:t>(</w:t>
      </w:r>
      <w:hyperlink r:id="rId11" w:history="1">
        <w:r w:rsidRPr="00D7206E">
          <w:rPr>
            <w:rFonts w:ascii="Times New Roman" w:hAnsi="Times New Roman"/>
            <w:color w:val="0000FF"/>
            <w:u w:val="single"/>
            <w:lang w:val="uk-UA" w:eastAsia="en-US"/>
          </w:rPr>
          <w:t>https://www.medicines.org.uk/emc/medicine/14555</w:t>
        </w:r>
      </w:hyperlink>
      <w:r w:rsidRPr="00D7206E">
        <w:rPr>
          <w:rFonts w:ascii="Times New Roman" w:hAnsi="Times New Roman"/>
          <w:color w:val="0000FF"/>
          <w:u w:val="single"/>
          <w:lang w:val="uk-UA" w:eastAsia="en-US"/>
        </w:rPr>
        <w:t>)</w:t>
      </w:r>
    </w:p>
    <w:p w:rsidR="00D7206E" w:rsidRPr="00D7206E" w:rsidRDefault="00D7206E" w:rsidP="00D7206E">
      <w:pPr>
        <w:numPr>
          <w:ilvl w:val="0"/>
          <w:numId w:val="14"/>
        </w:numPr>
        <w:spacing w:after="240"/>
        <w:ind w:hanging="294"/>
        <w:contextualSpacing/>
        <w:jc w:val="both"/>
        <w:rPr>
          <w:rFonts w:ascii="Times New Roman" w:hAnsi="Times New Roman"/>
          <w:color w:val="000000"/>
          <w:lang w:val="uk-UA" w:eastAsia="en-US"/>
        </w:rPr>
      </w:pPr>
      <w:r w:rsidRPr="00D7206E">
        <w:rPr>
          <w:rFonts w:ascii="Times New Roman" w:hAnsi="Times New Roman"/>
          <w:lang w:val="uk-UA" w:eastAsia="en-US"/>
        </w:rPr>
        <w:t>GDS Boostrix™ Version 009.</w:t>
      </w:r>
    </w:p>
    <w:p w:rsidR="00D7206E" w:rsidRPr="00D7206E" w:rsidRDefault="00D7206E" w:rsidP="00D7206E">
      <w:pPr>
        <w:numPr>
          <w:ilvl w:val="0"/>
          <w:numId w:val="14"/>
        </w:numPr>
        <w:spacing w:after="240"/>
        <w:ind w:hanging="294"/>
        <w:contextualSpacing/>
        <w:jc w:val="both"/>
        <w:rPr>
          <w:rFonts w:ascii="Times New Roman" w:hAnsi="Times New Roman"/>
          <w:color w:val="000000"/>
          <w:lang w:val="uk-UA" w:eastAsia="en-US"/>
        </w:rPr>
      </w:pPr>
      <w:r w:rsidRPr="00D7206E">
        <w:rPr>
          <w:rFonts w:ascii="Times New Roman" w:hAnsi="Times New Roman"/>
          <w:lang w:val="uk-UA" w:eastAsia="en-US"/>
        </w:rPr>
        <w:t xml:space="preserve">Boostrix-IPV SmPC- </w:t>
      </w:r>
      <w:hyperlink r:id="rId12" w:history="1">
        <w:r w:rsidRPr="00D7206E">
          <w:rPr>
            <w:rFonts w:ascii="Times New Roman" w:hAnsi="Times New Roman"/>
            <w:color w:val="0000FF"/>
            <w:u w:val="single"/>
            <w:lang w:val="uk-UA" w:eastAsia="en-US"/>
          </w:rPr>
          <w:t>https://www.medicines.org.uk/emc/medicine/28679</w:t>
        </w:r>
      </w:hyperlink>
    </w:p>
    <w:p w:rsidR="00D7206E" w:rsidRPr="00D7206E" w:rsidRDefault="00D7206E" w:rsidP="00D7206E">
      <w:pPr>
        <w:numPr>
          <w:ilvl w:val="0"/>
          <w:numId w:val="14"/>
        </w:numPr>
        <w:spacing w:after="240"/>
        <w:ind w:hanging="294"/>
        <w:contextualSpacing/>
        <w:jc w:val="both"/>
        <w:rPr>
          <w:rFonts w:ascii="Times New Roman" w:hAnsi="Times New Roman"/>
          <w:color w:val="000000"/>
          <w:lang w:val="uk-UA" w:eastAsia="en-US"/>
        </w:rPr>
      </w:pPr>
      <w:r w:rsidRPr="00D7206E">
        <w:rPr>
          <w:rFonts w:ascii="Times New Roman" w:hAnsi="Times New Roman"/>
          <w:lang w:val="uk-UA" w:eastAsia="en-US"/>
        </w:rPr>
        <w:t xml:space="preserve"> </w:t>
      </w:r>
      <w:hyperlink r:id="rId13" w:history="1">
        <w:r w:rsidRPr="00D7206E">
          <w:rPr>
            <w:rFonts w:ascii="Times New Roman" w:hAnsi="Times New Roman"/>
            <w:color w:val="0000FF"/>
            <w:u w:val="single"/>
            <w:lang w:val="uk-UA" w:eastAsia="en-US"/>
          </w:rPr>
          <w:t>http://www.ema.europa.eu/docs/en_GB/document_library/EPAR_-_Product_Information/human/000129/WC500044248.pdf</w:t>
        </w:r>
      </w:hyperlink>
      <w:r w:rsidRPr="00D7206E">
        <w:rPr>
          <w:rFonts w:ascii="Times New Roman" w:hAnsi="Times New Roman"/>
          <w:lang w:val="uk-UA" w:eastAsia="en-US"/>
        </w:rPr>
        <w:t xml:space="preserve">   Twinrix European SPC, Last accessed 06/Feb/2017</w:t>
      </w:r>
    </w:p>
    <w:p w:rsidR="00D7206E" w:rsidRPr="00D7206E" w:rsidRDefault="00D7206E" w:rsidP="00D7206E">
      <w:pPr>
        <w:numPr>
          <w:ilvl w:val="0"/>
          <w:numId w:val="14"/>
        </w:numPr>
        <w:spacing w:after="240"/>
        <w:ind w:hanging="294"/>
        <w:contextualSpacing/>
        <w:jc w:val="both"/>
        <w:rPr>
          <w:rFonts w:ascii="Times New Roman" w:hAnsi="Times New Roman"/>
          <w:color w:val="000000"/>
          <w:lang w:val="uk-UA" w:eastAsia="en-US"/>
        </w:rPr>
      </w:pPr>
      <w:r w:rsidRPr="00D7206E">
        <w:rPr>
          <w:rFonts w:ascii="Times New Roman" w:hAnsi="Times New Roman"/>
          <w:lang w:val="uk-UA" w:eastAsia="en-US"/>
        </w:rPr>
        <w:t>Priorix™ GDS version 013</w:t>
      </w:r>
    </w:p>
    <w:p w:rsidR="00D7206E" w:rsidRPr="00D7206E" w:rsidRDefault="0058454B" w:rsidP="00D7206E">
      <w:pPr>
        <w:numPr>
          <w:ilvl w:val="0"/>
          <w:numId w:val="14"/>
        </w:numPr>
        <w:spacing w:after="240"/>
        <w:ind w:left="709" w:hanging="283"/>
        <w:contextualSpacing/>
        <w:jc w:val="both"/>
        <w:rPr>
          <w:rFonts w:ascii="Times New Roman" w:hAnsi="Times New Roman"/>
          <w:color w:val="000000"/>
          <w:lang w:val="uk-UA" w:eastAsia="en-US"/>
        </w:rPr>
      </w:pPr>
      <w:hyperlink r:id="rId14" w:history="1">
        <w:r w:rsidR="00D7206E" w:rsidRPr="00D7206E">
          <w:rPr>
            <w:rFonts w:ascii="Times New Roman" w:hAnsi="Times New Roman"/>
            <w:color w:val="0000FF"/>
            <w:lang w:val="uk-UA" w:eastAsia="en-US"/>
          </w:rPr>
          <w:t>https://www.medicines.org.uk/emc/medicine/9787</w:t>
        </w:r>
      </w:hyperlink>
    </w:p>
    <w:p w:rsidR="00D7206E" w:rsidRPr="00D7206E" w:rsidRDefault="00D7206E" w:rsidP="00D7206E">
      <w:pPr>
        <w:numPr>
          <w:ilvl w:val="0"/>
          <w:numId w:val="14"/>
        </w:numPr>
        <w:spacing w:after="240"/>
        <w:ind w:left="709" w:hanging="283"/>
        <w:contextualSpacing/>
        <w:jc w:val="both"/>
        <w:rPr>
          <w:rFonts w:ascii="Times New Roman" w:hAnsi="Times New Roman"/>
          <w:color w:val="000000"/>
          <w:lang w:val="uk-UA" w:eastAsia="en-US"/>
        </w:rPr>
      </w:pPr>
      <w:r w:rsidRPr="00D7206E">
        <w:rPr>
          <w:rFonts w:ascii="Times New Roman" w:hAnsi="Times New Roman"/>
          <w:lang w:val="uk-UA" w:eastAsia="en-US"/>
        </w:rPr>
        <w:t xml:space="preserve">CDC, accessible at: </w:t>
      </w:r>
      <w:hyperlink r:id="rId15" w:anchor="nonstandard" w:history="1">
        <w:r w:rsidRPr="00D7206E">
          <w:rPr>
            <w:rFonts w:ascii="Times New Roman" w:hAnsi="Times New Roman"/>
            <w:color w:val="0000FF"/>
            <w:lang w:val="uk-UA" w:eastAsia="en-US"/>
          </w:rPr>
          <w:t>http://www.cdc.gov/vaccines/pubs/pinkbook/vac-admin.html#nonstandard</w:t>
        </w:r>
      </w:hyperlink>
      <w:r w:rsidRPr="00D7206E">
        <w:rPr>
          <w:rFonts w:ascii="Times New Roman" w:hAnsi="Times New Roman"/>
          <w:color w:val="0000FF"/>
          <w:lang w:val="uk-UA" w:eastAsia="en-US"/>
        </w:rPr>
        <w:t xml:space="preserve">  </w:t>
      </w:r>
      <w:r w:rsidRPr="00D7206E">
        <w:rPr>
          <w:rFonts w:ascii="Times New Roman" w:hAnsi="Times New Roman"/>
          <w:lang w:val="uk-UA" w:eastAsia="en-US"/>
        </w:rPr>
        <w:t>Last accessed: 06/Feb/2017.</w:t>
      </w:r>
    </w:p>
    <w:p w:rsidR="00D7206E" w:rsidRPr="00D7206E" w:rsidRDefault="00D7206E" w:rsidP="00D7206E">
      <w:pPr>
        <w:numPr>
          <w:ilvl w:val="0"/>
          <w:numId w:val="14"/>
        </w:numPr>
        <w:spacing w:after="240"/>
        <w:ind w:left="709" w:hanging="283"/>
        <w:contextualSpacing/>
        <w:jc w:val="both"/>
        <w:rPr>
          <w:rFonts w:ascii="Times New Roman" w:hAnsi="Times New Roman"/>
          <w:color w:val="000000"/>
          <w:lang w:val="uk-UA" w:eastAsia="en-US"/>
        </w:rPr>
      </w:pPr>
      <w:r w:rsidRPr="00D7206E">
        <w:rPr>
          <w:rFonts w:ascii="Times New Roman" w:hAnsi="Times New Roman"/>
          <w:color w:val="000000"/>
          <w:lang w:val="uk-UA" w:eastAsia="en-US"/>
        </w:rPr>
        <w:t xml:space="preserve">UK Public Health England: Vaccine incident guidance : Actions to take in response to vaccine errors. March 2012  </w:t>
      </w:r>
      <w:r w:rsidRPr="00D7206E">
        <w:rPr>
          <w:rFonts w:ascii="Times New Roman" w:hAnsi="Times New Roman"/>
          <w:color w:val="0000FF"/>
          <w:lang w:val="uk-UA" w:eastAsia="en-US"/>
        </w:rPr>
        <w:t>https://www.gov.uk/government/uploads/system/uploads/attachment_data/file/326417/Vaccine_Incident_Guidance.pdf</w:t>
      </w:r>
      <w:r w:rsidRPr="00D7206E">
        <w:rPr>
          <w:rFonts w:ascii="Times New Roman" w:hAnsi="Times New Roman"/>
          <w:color w:val="000000"/>
          <w:lang w:val="uk-UA" w:eastAsia="en-US"/>
        </w:rPr>
        <w:t xml:space="preserve"> Last accessed: 06/Feb/2017.</w:t>
      </w:r>
    </w:p>
    <w:p w:rsidR="007A0C24" w:rsidRDefault="00D7206E" w:rsidP="00356818">
      <w:pPr>
        <w:numPr>
          <w:ilvl w:val="0"/>
          <w:numId w:val="14"/>
        </w:numPr>
        <w:spacing w:after="240"/>
        <w:ind w:hanging="294"/>
        <w:contextualSpacing/>
        <w:jc w:val="both"/>
        <w:rPr>
          <w:rFonts w:ascii="Times New Roman" w:hAnsi="Times New Roman"/>
          <w:color w:val="000000"/>
          <w:lang w:val="uk-UA" w:eastAsia="en-US"/>
        </w:rPr>
      </w:pPr>
      <w:r w:rsidRPr="00D7206E">
        <w:rPr>
          <w:rFonts w:ascii="Times New Roman" w:hAnsi="Times New Roman"/>
          <w:color w:val="000000"/>
          <w:lang w:val="uk-UA" w:eastAsia="en-US"/>
        </w:rPr>
        <w:t xml:space="preserve">WHO recommendations for interrupted or delayed immunization schedules – summary of WHO position papers, update 27 February 2015 accessible: </w:t>
      </w:r>
      <w:r w:rsidRPr="00D7206E">
        <w:rPr>
          <w:rFonts w:ascii="Times New Roman" w:hAnsi="Times New Roman"/>
          <w:color w:val="0000FF"/>
          <w:lang w:val="uk-UA" w:eastAsia="en-US"/>
        </w:rPr>
        <w:t>http://www.who.int/immunization/policy/Immunization_routine_table3.pdf?ua=1 Last accessed:</w:t>
      </w:r>
      <w:r w:rsidRPr="00D7206E">
        <w:rPr>
          <w:rFonts w:ascii="Times New Roman" w:hAnsi="Times New Roman"/>
          <w:color w:val="000000"/>
          <w:lang w:val="uk-UA" w:eastAsia="en-US"/>
        </w:rPr>
        <w:t xml:space="preserve"> 06/Feb/2017</w:t>
      </w:r>
    </w:p>
    <w:p w:rsidR="007A0C24" w:rsidRDefault="007A0C24" w:rsidP="007A0C24">
      <w:pPr>
        <w:spacing w:after="240"/>
        <w:ind w:left="426"/>
        <w:contextualSpacing/>
        <w:jc w:val="both"/>
        <w:rPr>
          <w:rFonts w:ascii="Times New Roman" w:hAnsi="Times New Roman"/>
          <w:color w:val="000000"/>
          <w:lang w:val="uk-UA" w:eastAsia="en-US"/>
        </w:rPr>
      </w:pPr>
    </w:p>
    <w:p w:rsidR="007A0C24" w:rsidRDefault="007A0C24" w:rsidP="007A0C24">
      <w:pPr>
        <w:spacing w:after="240"/>
        <w:ind w:left="426"/>
        <w:contextualSpacing/>
        <w:jc w:val="both"/>
        <w:rPr>
          <w:rFonts w:ascii="Times New Roman" w:hAnsi="Times New Roman"/>
          <w:color w:val="000000"/>
          <w:lang w:val="uk-UA" w:eastAsia="en-US"/>
        </w:rPr>
      </w:pPr>
    </w:p>
    <w:p w:rsidR="00356818" w:rsidRPr="007A0C24" w:rsidRDefault="007A0C24" w:rsidP="007A0C24">
      <w:pPr>
        <w:spacing w:after="240"/>
        <w:contextualSpacing/>
        <w:jc w:val="both"/>
        <w:rPr>
          <w:rFonts w:ascii="Times New Roman" w:hAnsi="Times New Roman"/>
          <w:color w:val="000000"/>
          <w:lang w:val="uk-UA" w:eastAsia="en-US"/>
        </w:rPr>
      </w:pPr>
      <w:r>
        <w:rPr>
          <w:rFonts w:ascii="Times New Roman" w:hAnsi="Times New Roman"/>
          <w:b/>
          <w:sz w:val="28"/>
          <w:lang w:val="uk-UA"/>
        </w:rPr>
        <w:t>З п</w:t>
      </w:r>
      <w:r w:rsidR="00356818" w:rsidRPr="00695214">
        <w:rPr>
          <w:rFonts w:ascii="Times New Roman" w:hAnsi="Times New Roman"/>
          <w:b/>
          <w:sz w:val="28"/>
          <w:lang w:val="ru-RU"/>
        </w:rPr>
        <w:t>овагою,</w:t>
      </w:r>
    </w:p>
    <w:p w:rsidR="00356818" w:rsidRPr="00D7206E" w:rsidRDefault="00356818" w:rsidP="00356818">
      <w:pPr>
        <w:pStyle w:val="a3"/>
        <w:rPr>
          <w:b/>
          <w:sz w:val="28"/>
        </w:rPr>
      </w:pPr>
      <w:r w:rsidRPr="00D7206E">
        <w:rPr>
          <w:b/>
          <w:sz w:val="28"/>
        </w:rPr>
        <w:t xml:space="preserve">Регіональний менеджер з фармаконагляду </w:t>
      </w:r>
    </w:p>
    <w:p w:rsidR="00356818" w:rsidRPr="00D7206E" w:rsidRDefault="00356818" w:rsidP="00356818">
      <w:pPr>
        <w:pStyle w:val="a3"/>
        <w:rPr>
          <w:b/>
          <w:sz w:val="28"/>
        </w:rPr>
      </w:pPr>
      <w:r w:rsidRPr="00D7206E">
        <w:rPr>
          <w:b/>
          <w:sz w:val="28"/>
        </w:rPr>
        <w:t>ГСК Фармасьютікалс Україна                                 ______________________</w:t>
      </w:r>
    </w:p>
    <w:p w:rsidR="00356818" w:rsidRPr="00D7206E" w:rsidRDefault="00356818" w:rsidP="00356818">
      <w:pPr>
        <w:pStyle w:val="a3"/>
        <w:jc w:val="center"/>
        <w:rPr>
          <w:b/>
          <w:sz w:val="28"/>
        </w:rPr>
      </w:pPr>
      <w:r w:rsidRPr="00D7206E">
        <w:rPr>
          <w:b/>
          <w:sz w:val="28"/>
        </w:rPr>
        <w:t xml:space="preserve">                                                                                         Інна Лапчинська                                    </w:t>
      </w:r>
    </w:p>
    <w:sectPr w:rsidR="00356818" w:rsidRPr="00D7206E" w:rsidSect="007A0C2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54B" w:rsidRDefault="0058454B" w:rsidP="00356818">
      <w:r>
        <w:separator/>
      </w:r>
    </w:p>
  </w:endnote>
  <w:endnote w:type="continuationSeparator" w:id="0">
    <w:p w:rsidR="0058454B" w:rsidRDefault="0058454B" w:rsidP="0035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54B" w:rsidRDefault="0058454B" w:rsidP="00356818">
      <w:r>
        <w:separator/>
      </w:r>
    </w:p>
  </w:footnote>
  <w:footnote w:type="continuationSeparator" w:id="0">
    <w:p w:rsidR="0058454B" w:rsidRDefault="0058454B" w:rsidP="00356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4DBD"/>
    <w:multiLevelType w:val="singleLevel"/>
    <w:tmpl w:val="2398F2A6"/>
    <w:lvl w:ilvl="0">
      <w:start w:val="35"/>
      <w:numFmt w:val="bullet"/>
      <w:lvlText w:val="-"/>
      <w:lvlJc w:val="left"/>
      <w:pPr>
        <w:tabs>
          <w:tab w:val="num" w:pos="360"/>
        </w:tabs>
        <w:ind w:left="360" w:hanging="360"/>
      </w:pPr>
      <w:rPr>
        <w:rFonts w:hint="default"/>
      </w:rPr>
    </w:lvl>
  </w:abstractNum>
  <w:abstractNum w:abstractNumId="1">
    <w:nsid w:val="0AFF1113"/>
    <w:multiLevelType w:val="hybridMultilevel"/>
    <w:tmpl w:val="5CCA0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F406C8"/>
    <w:multiLevelType w:val="hybridMultilevel"/>
    <w:tmpl w:val="94C6D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63B37"/>
    <w:multiLevelType w:val="hybridMultilevel"/>
    <w:tmpl w:val="2BD03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16C6D"/>
    <w:multiLevelType w:val="hybridMultilevel"/>
    <w:tmpl w:val="6666D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70E0E"/>
    <w:multiLevelType w:val="hybridMultilevel"/>
    <w:tmpl w:val="AFBE84A8"/>
    <w:lvl w:ilvl="0" w:tplc="505A00B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8DA61E0"/>
    <w:multiLevelType w:val="hybridMultilevel"/>
    <w:tmpl w:val="1CB4A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2A29B0"/>
    <w:multiLevelType w:val="singleLevel"/>
    <w:tmpl w:val="05C6F80A"/>
    <w:lvl w:ilvl="0">
      <w:numFmt w:val="bullet"/>
      <w:lvlText w:val="-"/>
      <w:lvlJc w:val="left"/>
      <w:pPr>
        <w:tabs>
          <w:tab w:val="num" w:pos="444"/>
        </w:tabs>
        <w:ind w:left="444" w:hanging="444"/>
      </w:pPr>
      <w:rPr>
        <w:rFonts w:hint="default"/>
      </w:rPr>
    </w:lvl>
  </w:abstractNum>
  <w:abstractNum w:abstractNumId="8">
    <w:nsid w:val="33D53904"/>
    <w:multiLevelType w:val="hybridMultilevel"/>
    <w:tmpl w:val="1E9495EA"/>
    <w:lvl w:ilvl="0" w:tplc="578E5F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C64C92"/>
    <w:multiLevelType w:val="hybridMultilevel"/>
    <w:tmpl w:val="F914FAF8"/>
    <w:lvl w:ilvl="0" w:tplc="99B40322">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680A67"/>
    <w:multiLevelType w:val="hybridMultilevel"/>
    <w:tmpl w:val="1B18AF8E"/>
    <w:lvl w:ilvl="0" w:tplc="3E04963C">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1">
    <w:nsid w:val="4ABE1364"/>
    <w:multiLevelType w:val="hybridMultilevel"/>
    <w:tmpl w:val="09CE6B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0E4416"/>
    <w:multiLevelType w:val="hybridMultilevel"/>
    <w:tmpl w:val="61D472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9610573"/>
    <w:multiLevelType w:val="hybridMultilevel"/>
    <w:tmpl w:val="7ECE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07417E"/>
    <w:multiLevelType w:val="hybridMultilevel"/>
    <w:tmpl w:val="414E9FD6"/>
    <w:lvl w:ilvl="0" w:tplc="3BDE2CF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2"/>
  </w:num>
  <w:num w:numId="4">
    <w:abstractNumId w:val="14"/>
  </w:num>
  <w:num w:numId="5">
    <w:abstractNumId w:val="10"/>
  </w:num>
  <w:num w:numId="6">
    <w:abstractNumId w:val="9"/>
  </w:num>
  <w:num w:numId="7">
    <w:abstractNumId w:val="7"/>
  </w:num>
  <w:num w:numId="8">
    <w:abstractNumId w:val="8"/>
  </w:num>
  <w:num w:numId="9">
    <w:abstractNumId w:val="0"/>
  </w:num>
  <w:num w:numId="10">
    <w:abstractNumId w:val="13"/>
  </w:num>
  <w:num w:numId="11">
    <w:abstractNumId w:val="2"/>
  </w:num>
  <w:num w:numId="12">
    <w:abstractNumId w:val="3"/>
  </w:num>
  <w:num w:numId="13">
    <w:abstractNumId w:val="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55"/>
    <w:rsid w:val="00000676"/>
    <w:rsid w:val="00025235"/>
    <w:rsid w:val="000256E4"/>
    <w:rsid w:val="00025FCC"/>
    <w:rsid w:val="00034BB7"/>
    <w:rsid w:val="00036C54"/>
    <w:rsid w:val="00036C7B"/>
    <w:rsid w:val="000432F8"/>
    <w:rsid w:val="00060941"/>
    <w:rsid w:val="00066DE8"/>
    <w:rsid w:val="0007276D"/>
    <w:rsid w:val="00072ED0"/>
    <w:rsid w:val="0007504C"/>
    <w:rsid w:val="00077510"/>
    <w:rsid w:val="000856DA"/>
    <w:rsid w:val="00086D50"/>
    <w:rsid w:val="000A230E"/>
    <w:rsid w:val="000A26B1"/>
    <w:rsid w:val="000B2D63"/>
    <w:rsid w:val="000C482C"/>
    <w:rsid w:val="000D6AA5"/>
    <w:rsid w:val="000E4F1F"/>
    <w:rsid w:val="000F05FE"/>
    <w:rsid w:val="000F6DB3"/>
    <w:rsid w:val="00114A2D"/>
    <w:rsid w:val="001213E6"/>
    <w:rsid w:val="00125C24"/>
    <w:rsid w:val="0013660B"/>
    <w:rsid w:val="00142B89"/>
    <w:rsid w:val="00144405"/>
    <w:rsid w:val="00144AD0"/>
    <w:rsid w:val="00160103"/>
    <w:rsid w:val="001613C6"/>
    <w:rsid w:val="00164C2C"/>
    <w:rsid w:val="0016687B"/>
    <w:rsid w:val="00177215"/>
    <w:rsid w:val="0019290B"/>
    <w:rsid w:val="0019311C"/>
    <w:rsid w:val="001A6401"/>
    <w:rsid w:val="001B384A"/>
    <w:rsid w:val="001B483A"/>
    <w:rsid w:val="001C535B"/>
    <w:rsid w:val="001D03B6"/>
    <w:rsid w:val="001E5076"/>
    <w:rsid w:val="001E683C"/>
    <w:rsid w:val="001F2AE7"/>
    <w:rsid w:val="001F3120"/>
    <w:rsid w:val="00214282"/>
    <w:rsid w:val="0021646F"/>
    <w:rsid w:val="00224F85"/>
    <w:rsid w:val="00233378"/>
    <w:rsid w:val="002366D8"/>
    <w:rsid w:val="0023789F"/>
    <w:rsid w:val="00240851"/>
    <w:rsid w:val="002409DD"/>
    <w:rsid w:val="00256226"/>
    <w:rsid w:val="002643BB"/>
    <w:rsid w:val="00276D9A"/>
    <w:rsid w:val="002815C3"/>
    <w:rsid w:val="002A44E3"/>
    <w:rsid w:val="002B4552"/>
    <w:rsid w:val="002B5FF8"/>
    <w:rsid w:val="002C0883"/>
    <w:rsid w:val="002D53AF"/>
    <w:rsid w:val="002D56B3"/>
    <w:rsid w:val="002E3658"/>
    <w:rsid w:val="002F0765"/>
    <w:rsid w:val="002F1FC4"/>
    <w:rsid w:val="00302803"/>
    <w:rsid w:val="00312F31"/>
    <w:rsid w:val="003139F4"/>
    <w:rsid w:val="00317C1D"/>
    <w:rsid w:val="00320834"/>
    <w:rsid w:val="00321724"/>
    <w:rsid w:val="003239A5"/>
    <w:rsid w:val="00332F77"/>
    <w:rsid w:val="00353917"/>
    <w:rsid w:val="00356818"/>
    <w:rsid w:val="00360BE1"/>
    <w:rsid w:val="0037090F"/>
    <w:rsid w:val="00377814"/>
    <w:rsid w:val="00383184"/>
    <w:rsid w:val="003A160B"/>
    <w:rsid w:val="003A2E6E"/>
    <w:rsid w:val="003A4FEA"/>
    <w:rsid w:val="003A7CF6"/>
    <w:rsid w:val="003B0689"/>
    <w:rsid w:val="003E5164"/>
    <w:rsid w:val="003F0852"/>
    <w:rsid w:val="003F0DDF"/>
    <w:rsid w:val="00401037"/>
    <w:rsid w:val="00404C08"/>
    <w:rsid w:val="0042524C"/>
    <w:rsid w:val="004259E9"/>
    <w:rsid w:val="00426D0C"/>
    <w:rsid w:val="00426FAE"/>
    <w:rsid w:val="00447CF3"/>
    <w:rsid w:val="00460009"/>
    <w:rsid w:val="00462D24"/>
    <w:rsid w:val="0047466A"/>
    <w:rsid w:val="00476048"/>
    <w:rsid w:val="00477086"/>
    <w:rsid w:val="00480706"/>
    <w:rsid w:val="00482A6A"/>
    <w:rsid w:val="00482FB5"/>
    <w:rsid w:val="004B2D12"/>
    <w:rsid w:val="004B316E"/>
    <w:rsid w:val="004C0D60"/>
    <w:rsid w:val="004C434E"/>
    <w:rsid w:val="004C7C6A"/>
    <w:rsid w:val="004D214A"/>
    <w:rsid w:val="004F3303"/>
    <w:rsid w:val="00504DAC"/>
    <w:rsid w:val="005178D9"/>
    <w:rsid w:val="00522CB2"/>
    <w:rsid w:val="00531872"/>
    <w:rsid w:val="005337FB"/>
    <w:rsid w:val="00535AA2"/>
    <w:rsid w:val="0058454B"/>
    <w:rsid w:val="00592161"/>
    <w:rsid w:val="00595498"/>
    <w:rsid w:val="005A5FA5"/>
    <w:rsid w:val="005B49A3"/>
    <w:rsid w:val="005C0766"/>
    <w:rsid w:val="005C32DB"/>
    <w:rsid w:val="005C3AA7"/>
    <w:rsid w:val="005C6ABA"/>
    <w:rsid w:val="005C7203"/>
    <w:rsid w:val="005D2C2D"/>
    <w:rsid w:val="005D2E9A"/>
    <w:rsid w:val="005F4E15"/>
    <w:rsid w:val="005F72EB"/>
    <w:rsid w:val="00601CA3"/>
    <w:rsid w:val="00602B46"/>
    <w:rsid w:val="00613222"/>
    <w:rsid w:val="006155B5"/>
    <w:rsid w:val="00625414"/>
    <w:rsid w:val="00632C4F"/>
    <w:rsid w:val="00636CEC"/>
    <w:rsid w:val="0064455E"/>
    <w:rsid w:val="00665797"/>
    <w:rsid w:val="00666B2A"/>
    <w:rsid w:val="00675A6E"/>
    <w:rsid w:val="00684331"/>
    <w:rsid w:val="006869DF"/>
    <w:rsid w:val="00694CD4"/>
    <w:rsid w:val="00695214"/>
    <w:rsid w:val="00696366"/>
    <w:rsid w:val="006A5264"/>
    <w:rsid w:val="006B4B1E"/>
    <w:rsid w:val="006C7B05"/>
    <w:rsid w:val="006D40CF"/>
    <w:rsid w:val="006E54ED"/>
    <w:rsid w:val="006E5C4D"/>
    <w:rsid w:val="006F196C"/>
    <w:rsid w:val="006F5DA3"/>
    <w:rsid w:val="00704CE3"/>
    <w:rsid w:val="007066E8"/>
    <w:rsid w:val="00706ED5"/>
    <w:rsid w:val="007238FF"/>
    <w:rsid w:val="00731245"/>
    <w:rsid w:val="00737A49"/>
    <w:rsid w:val="007419AD"/>
    <w:rsid w:val="007442B4"/>
    <w:rsid w:val="007563D2"/>
    <w:rsid w:val="0076020A"/>
    <w:rsid w:val="00765B6C"/>
    <w:rsid w:val="007663F3"/>
    <w:rsid w:val="00795EF8"/>
    <w:rsid w:val="00796FED"/>
    <w:rsid w:val="007A0C24"/>
    <w:rsid w:val="007B2240"/>
    <w:rsid w:val="007C611C"/>
    <w:rsid w:val="007D0633"/>
    <w:rsid w:val="007E4921"/>
    <w:rsid w:val="007E6284"/>
    <w:rsid w:val="007F6EB2"/>
    <w:rsid w:val="00800D18"/>
    <w:rsid w:val="0081153D"/>
    <w:rsid w:val="00812181"/>
    <w:rsid w:val="00832633"/>
    <w:rsid w:val="0083292B"/>
    <w:rsid w:val="00834BE9"/>
    <w:rsid w:val="008357CA"/>
    <w:rsid w:val="00890CFA"/>
    <w:rsid w:val="008925C9"/>
    <w:rsid w:val="00893CBE"/>
    <w:rsid w:val="008A4E30"/>
    <w:rsid w:val="008A4F39"/>
    <w:rsid w:val="008A63D5"/>
    <w:rsid w:val="008B6B7D"/>
    <w:rsid w:val="008C016E"/>
    <w:rsid w:val="008C3242"/>
    <w:rsid w:val="008E4615"/>
    <w:rsid w:val="008F24E2"/>
    <w:rsid w:val="008F3333"/>
    <w:rsid w:val="008F5122"/>
    <w:rsid w:val="008F6FC8"/>
    <w:rsid w:val="008F7E01"/>
    <w:rsid w:val="00903F3C"/>
    <w:rsid w:val="00904CF5"/>
    <w:rsid w:val="00930CE2"/>
    <w:rsid w:val="009332E7"/>
    <w:rsid w:val="00941F19"/>
    <w:rsid w:val="00952601"/>
    <w:rsid w:val="00952703"/>
    <w:rsid w:val="00963509"/>
    <w:rsid w:val="00966B6E"/>
    <w:rsid w:val="00985CC7"/>
    <w:rsid w:val="0099472A"/>
    <w:rsid w:val="009A000C"/>
    <w:rsid w:val="009B0850"/>
    <w:rsid w:val="009B252A"/>
    <w:rsid w:val="009C38ED"/>
    <w:rsid w:val="009D3D59"/>
    <w:rsid w:val="009D4E83"/>
    <w:rsid w:val="009D6BB3"/>
    <w:rsid w:val="009D7C4C"/>
    <w:rsid w:val="009D7EA3"/>
    <w:rsid w:val="009E3E34"/>
    <w:rsid w:val="009F30FA"/>
    <w:rsid w:val="009F3169"/>
    <w:rsid w:val="009F546E"/>
    <w:rsid w:val="009F604E"/>
    <w:rsid w:val="00A0066A"/>
    <w:rsid w:val="00A24B6A"/>
    <w:rsid w:val="00A26220"/>
    <w:rsid w:val="00A30CD9"/>
    <w:rsid w:val="00A35B73"/>
    <w:rsid w:val="00A35BFC"/>
    <w:rsid w:val="00A44584"/>
    <w:rsid w:val="00A45191"/>
    <w:rsid w:val="00A5776A"/>
    <w:rsid w:val="00A71C0E"/>
    <w:rsid w:val="00A771DE"/>
    <w:rsid w:val="00A81EE7"/>
    <w:rsid w:val="00A822D2"/>
    <w:rsid w:val="00A824C7"/>
    <w:rsid w:val="00A84F5C"/>
    <w:rsid w:val="00A87FE7"/>
    <w:rsid w:val="00A916B0"/>
    <w:rsid w:val="00A92FD7"/>
    <w:rsid w:val="00A934FB"/>
    <w:rsid w:val="00A96B41"/>
    <w:rsid w:val="00AA020E"/>
    <w:rsid w:val="00AA4975"/>
    <w:rsid w:val="00AB363A"/>
    <w:rsid w:val="00AB4FB0"/>
    <w:rsid w:val="00AC164D"/>
    <w:rsid w:val="00AD4CBA"/>
    <w:rsid w:val="00AD5F54"/>
    <w:rsid w:val="00AD7200"/>
    <w:rsid w:val="00AD7620"/>
    <w:rsid w:val="00AE0DF1"/>
    <w:rsid w:val="00AE22E0"/>
    <w:rsid w:val="00AE43FD"/>
    <w:rsid w:val="00AF044A"/>
    <w:rsid w:val="00AF142C"/>
    <w:rsid w:val="00AF6DC4"/>
    <w:rsid w:val="00B030ED"/>
    <w:rsid w:val="00B0328E"/>
    <w:rsid w:val="00B03C35"/>
    <w:rsid w:val="00B10407"/>
    <w:rsid w:val="00B11D89"/>
    <w:rsid w:val="00B12A5D"/>
    <w:rsid w:val="00B13A7C"/>
    <w:rsid w:val="00B20FA0"/>
    <w:rsid w:val="00B24DF9"/>
    <w:rsid w:val="00B26671"/>
    <w:rsid w:val="00B36BCD"/>
    <w:rsid w:val="00B37128"/>
    <w:rsid w:val="00B46E6A"/>
    <w:rsid w:val="00B53BEE"/>
    <w:rsid w:val="00B5552D"/>
    <w:rsid w:val="00B5646D"/>
    <w:rsid w:val="00B6653D"/>
    <w:rsid w:val="00B66AF3"/>
    <w:rsid w:val="00B720FE"/>
    <w:rsid w:val="00B80D11"/>
    <w:rsid w:val="00B8340C"/>
    <w:rsid w:val="00BA627B"/>
    <w:rsid w:val="00BB27BF"/>
    <w:rsid w:val="00BC2523"/>
    <w:rsid w:val="00BC3D1E"/>
    <w:rsid w:val="00BC7B00"/>
    <w:rsid w:val="00BD516D"/>
    <w:rsid w:val="00BD7B56"/>
    <w:rsid w:val="00BF10F2"/>
    <w:rsid w:val="00BF4E71"/>
    <w:rsid w:val="00BF55E9"/>
    <w:rsid w:val="00BF6D4A"/>
    <w:rsid w:val="00C07D6B"/>
    <w:rsid w:val="00C13383"/>
    <w:rsid w:val="00C16B20"/>
    <w:rsid w:val="00C16DDF"/>
    <w:rsid w:val="00C22F75"/>
    <w:rsid w:val="00C322C3"/>
    <w:rsid w:val="00C4257D"/>
    <w:rsid w:val="00C47D30"/>
    <w:rsid w:val="00C52535"/>
    <w:rsid w:val="00C53595"/>
    <w:rsid w:val="00C66FA6"/>
    <w:rsid w:val="00C70EFA"/>
    <w:rsid w:val="00C80ECD"/>
    <w:rsid w:val="00C8478C"/>
    <w:rsid w:val="00C84BBB"/>
    <w:rsid w:val="00C85206"/>
    <w:rsid w:val="00C938E4"/>
    <w:rsid w:val="00CA1FD9"/>
    <w:rsid w:val="00CA73BF"/>
    <w:rsid w:val="00CB41E5"/>
    <w:rsid w:val="00CB45AD"/>
    <w:rsid w:val="00CD67AE"/>
    <w:rsid w:val="00CE4550"/>
    <w:rsid w:val="00CE6E50"/>
    <w:rsid w:val="00D15475"/>
    <w:rsid w:val="00D21E7F"/>
    <w:rsid w:val="00D36694"/>
    <w:rsid w:val="00D43E95"/>
    <w:rsid w:val="00D47679"/>
    <w:rsid w:val="00D50F08"/>
    <w:rsid w:val="00D51413"/>
    <w:rsid w:val="00D546C9"/>
    <w:rsid w:val="00D7206E"/>
    <w:rsid w:val="00D74A1D"/>
    <w:rsid w:val="00D84FE9"/>
    <w:rsid w:val="00D85653"/>
    <w:rsid w:val="00D91AD0"/>
    <w:rsid w:val="00D927F1"/>
    <w:rsid w:val="00D95755"/>
    <w:rsid w:val="00D97920"/>
    <w:rsid w:val="00DA3525"/>
    <w:rsid w:val="00DA4E56"/>
    <w:rsid w:val="00DB7F73"/>
    <w:rsid w:val="00DC23F7"/>
    <w:rsid w:val="00DC79D2"/>
    <w:rsid w:val="00DC7F0D"/>
    <w:rsid w:val="00DD5586"/>
    <w:rsid w:val="00DD6B82"/>
    <w:rsid w:val="00DD75BC"/>
    <w:rsid w:val="00DE2104"/>
    <w:rsid w:val="00DE26D7"/>
    <w:rsid w:val="00DE4CAE"/>
    <w:rsid w:val="00DE5AE5"/>
    <w:rsid w:val="00DE5B6B"/>
    <w:rsid w:val="00E016FB"/>
    <w:rsid w:val="00E11E30"/>
    <w:rsid w:val="00E12555"/>
    <w:rsid w:val="00E145F0"/>
    <w:rsid w:val="00E360DA"/>
    <w:rsid w:val="00E42F21"/>
    <w:rsid w:val="00E434F4"/>
    <w:rsid w:val="00E44DE7"/>
    <w:rsid w:val="00E47642"/>
    <w:rsid w:val="00E56163"/>
    <w:rsid w:val="00E704D4"/>
    <w:rsid w:val="00E84F4E"/>
    <w:rsid w:val="00E951D6"/>
    <w:rsid w:val="00E962D9"/>
    <w:rsid w:val="00EA3CDC"/>
    <w:rsid w:val="00EB1DCF"/>
    <w:rsid w:val="00EB425C"/>
    <w:rsid w:val="00EC1A0E"/>
    <w:rsid w:val="00EC22A1"/>
    <w:rsid w:val="00EC5C58"/>
    <w:rsid w:val="00ED2F18"/>
    <w:rsid w:val="00ED53A7"/>
    <w:rsid w:val="00EE4F1E"/>
    <w:rsid w:val="00F075A1"/>
    <w:rsid w:val="00F1129C"/>
    <w:rsid w:val="00F117A4"/>
    <w:rsid w:val="00F26BF5"/>
    <w:rsid w:val="00F55606"/>
    <w:rsid w:val="00F57DCE"/>
    <w:rsid w:val="00F60DCD"/>
    <w:rsid w:val="00F663B0"/>
    <w:rsid w:val="00F73673"/>
    <w:rsid w:val="00F84890"/>
    <w:rsid w:val="00FB4C19"/>
    <w:rsid w:val="00FB7562"/>
    <w:rsid w:val="00FC3C17"/>
    <w:rsid w:val="00FD24D3"/>
    <w:rsid w:val="00FD3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54DE9-F273-453F-AD24-346B23DC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555"/>
    <w:pPr>
      <w:spacing w:after="0" w:line="240" w:lineRule="auto"/>
    </w:pPr>
    <w:rPr>
      <w:rFonts w:ascii="Arial" w:eastAsia="Times New Roman" w:hAnsi="Arial" w:cs="Times New Roman"/>
      <w:sz w:val="20"/>
      <w:szCs w:val="20"/>
      <w:lang w:val="en-GB" w:eastAsia="ru-RU"/>
    </w:rPr>
  </w:style>
  <w:style w:type="paragraph" w:styleId="2">
    <w:name w:val="heading 2"/>
    <w:basedOn w:val="a"/>
    <w:next w:val="a"/>
    <w:link w:val="20"/>
    <w:uiPriority w:val="9"/>
    <w:semiHidden/>
    <w:unhideWhenUsed/>
    <w:qFormat/>
    <w:rsid w:val="00F556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16DDF"/>
    <w:pPr>
      <w:keepNext/>
      <w:widowControl w:val="0"/>
      <w:outlineLvl w:val="2"/>
    </w:pPr>
    <w:rPr>
      <w:rFonts w:ascii="Times New Roman" w:hAnsi="Times New Roman"/>
      <w:snapToGrid w:val="0"/>
      <w:color w:val="000000"/>
      <w:sz w:val="24"/>
      <w:u w:val="single"/>
      <w:lang w:val="uk-UA"/>
    </w:rPr>
  </w:style>
  <w:style w:type="paragraph" w:styleId="8">
    <w:name w:val="heading 8"/>
    <w:basedOn w:val="a"/>
    <w:next w:val="a"/>
    <w:link w:val="80"/>
    <w:uiPriority w:val="9"/>
    <w:semiHidden/>
    <w:unhideWhenUsed/>
    <w:qFormat/>
    <w:rsid w:val="00C53595"/>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12555"/>
    <w:rPr>
      <w:rFonts w:ascii="Times New Roman" w:hAnsi="Times New Roman"/>
      <w:sz w:val="24"/>
      <w:lang w:val="uk-UA"/>
    </w:rPr>
  </w:style>
  <w:style w:type="character" w:customStyle="1" w:styleId="a4">
    <w:name w:val="Основной текст Знак"/>
    <w:basedOn w:val="a0"/>
    <w:link w:val="a3"/>
    <w:rsid w:val="00E12555"/>
    <w:rPr>
      <w:rFonts w:ascii="Times New Roman" w:eastAsia="Times New Roman" w:hAnsi="Times New Roman" w:cs="Times New Roman"/>
      <w:sz w:val="24"/>
      <w:szCs w:val="20"/>
      <w:lang w:val="uk-UA" w:eastAsia="ru-RU"/>
    </w:rPr>
  </w:style>
  <w:style w:type="character" w:styleId="a5">
    <w:name w:val="Strong"/>
    <w:basedOn w:val="a0"/>
    <w:uiPriority w:val="22"/>
    <w:qFormat/>
    <w:rsid w:val="00E12555"/>
    <w:rPr>
      <w:b/>
      <w:bCs/>
    </w:rPr>
  </w:style>
  <w:style w:type="character" w:customStyle="1" w:styleId="30">
    <w:name w:val="Заголовок 3 Знак"/>
    <w:basedOn w:val="a0"/>
    <w:link w:val="3"/>
    <w:rsid w:val="00C16DDF"/>
    <w:rPr>
      <w:rFonts w:ascii="Times New Roman" w:eastAsia="Times New Roman" w:hAnsi="Times New Roman" w:cs="Times New Roman"/>
      <w:snapToGrid w:val="0"/>
      <w:color w:val="000000"/>
      <w:sz w:val="24"/>
      <w:szCs w:val="20"/>
      <w:u w:val="single"/>
      <w:lang w:val="uk-UA" w:eastAsia="ru-RU"/>
    </w:rPr>
  </w:style>
  <w:style w:type="paragraph" w:styleId="a6">
    <w:name w:val="List Paragraph"/>
    <w:basedOn w:val="a"/>
    <w:uiPriority w:val="34"/>
    <w:qFormat/>
    <w:rsid w:val="00F60DCD"/>
    <w:pPr>
      <w:ind w:left="720"/>
      <w:contextualSpacing/>
    </w:pPr>
  </w:style>
  <w:style w:type="character" w:styleId="a7">
    <w:name w:val="Hyperlink"/>
    <w:basedOn w:val="a0"/>
    <w:uiPriority w:val="99"/>
    <w:semiHidden/>
    <w:unhideWhenUsed/>
    <w:rsid w:val="00DC79D2"/>
    <w:rPr>
      <w:color w:val="2577D9"/>
      <w:u w:val="single"/>
    </w:rPr>
  </w:style>
  <w:style w:type="paragraph" w:styleId="21">
    <w:name w:val="Body Text 2"/>
    <w:basedOn w:val="a"/>
    <w:link w:val="22"/>
    <w:uiPriority w:val="99"/>
    <w:semiHidden/>
    <w:unhideWhenUsed/>
    <w:rsid w:val="000856DA"/>
    <w:pPr>
      <w:spacing w:after="120" w:line="480" w:lineRule="auto"/>
    </w:pPr>
  </w:style>
  <w:style w:type="character" w:customStyle="1" w:styleId="22">
    <w:name w:val="Основной текст 2 Знак"/>
    <w:basedOn w:val="a0"/>
    <w:link w:val="21"/>
    <w:uiPriority w:val="99"/>
    <w:semiHidden/>
    <w:rsid w:val="000856DA"/>
    <w:rPr>
      <w:rFonts w:ascii="Arial" w:eastAsia="Times New Roman" w:hAnsi="Arial" w:cs="Times New Roman"/>
      <w:sz w:val="20"/>
      <w:szCs w:val="20"/>
      <w:lang w:val="en-GB" w:eastAsia="ru-RU"/>
    </w:rPr>
  </w:style>
  <w:style w:type="character" w:customStyle="1" w:styleId="FontStyle31">
    <w:name w:val="Font Style31"/>
    <w:rsid w:val="00665797"/>
    <w:rPr>
      <w:rFonts w:ascii="Arial" w:hAnsi="Arial" w:cs="Arial"/>
      <w:b/>
      <w:bCs/>
      <w:i/>
      <w:iCs/>
      <w:sz w:val="26"/>
      <w:szCs w:val="26"/>
    </w:rPr>
  </w:style>
  <w:style w:type="character" w:customStyle="1" w:styleId="FontStyle47">
    <w:name w:val="Font Style47"/>
    <w:rsid w:val="00665797"/>
    <w:rPr>
      <w:rFonts w:ascii="Times New Roman" w:hAnsi="Times New Roman" w:cs="Times New Roman"/>
      <w:sz w:val="20"/>
      <w:szCs w:val="20"/>
    </w:rPr>
  </w:style>
  <w:style w:type="paragraph" w:customStyle="1" w:styleId="Style4">
    <w:name w:val="Style4"/>
    <w:basedOn w:val="a"/>
    <w:rsid w:val="00665797"/>
    <w:pPr>
      <w:widowControl w:val="0"/>
      <w:autoSpaceDE w:val="0"/>
      <w:autoSpaceDN w:val="0"/>
      <w:adjustRightInd w:val="0"/>
      <w:spacing w:line="252" w:lineRule="exact"/>
    </w:pPr>
    <w:rPr>
      <w:sz w:val="24"/>
      <w:szCs w:val="24"/>
      <w:lang w:val="ru-RU"/>
    </w:rPr>
  </w:style>
  <w:style w:type="paragraph" w:customStyle="1" w:styleId="Bodyofnote">
    <w:name w:val="Body of note"/>
    <w:basedOn w:val="a"/>
    <w:rsid w:val="00AF044A"/>
    <w:pPr>
      <w:spacing w:after="240" w:line="240" w:lineRule="exact"/>
    </w:pPr>
    <w:rPr>
      <w:color w:val="000000"/>
    </w:rPr>
  </w:style>
  <w:style w:type="character" w:customStyle="1" w:styleId="80">
    <w:name w:val="Заголовок 8 Знак"/>
    <w:basedOn w:val="a0"/>
    <w:link w:val="8"/>
    <w:uiPriority w:val="9"/>
    <w:semiHidden/>
    <w:rsid w:val="00C53595"/>
    <w:rPr>
      <w:rFonts w:asciiTheme="majorHAnsi" w:eastAsiaTheme="majorEastAsia" w:hAnsiTheme="majorHAnsi" w:cstheme="majorBidi"/>
      <w:color w:val="404040" w:themeColor="text1" w:themeTint="BF"/>
      <w:sz w:val="20"/>
      <w:szCs w:val="20"/>
      <w:lang w:val="en-GB" w:eastAsia="ru-RU"/>
    </w:rPr>
  </w:style>
  <w:style w:type="paragraph" w:styleId="a8">
    <w:name w:val="Body Text Indent"/>
    <w:basedOn w:val="a"/>
    <w:link w:val="a9"/>
    <w:uiPriority w:val="99"/>
    <w:semiHidden/>
    <w:unhideWhenUsed/>
    <w:rsid w:val="00C53595"/>
    <w:pPr>
      <w:spacing w:after="120"/>
      <w:ind w:left="283"/>
    </w:pPr>
  </w:style>
  <w:style w:type="character" w:customStyle="1" w:styleId="a9">
    <w:name w:val="Основной текст с отступом Знак"/>
    <w:basedOn w:val="a0"/>
    <w:link w:val="a8"/>
    <w:uiPriority w:val="99"/>
    <w:semiHidden/>
    <w:rsid w:val="00C53595"/>
    <w:rPr>
      <w:rFonts w:ascii="Arial" w:eastAsia="Times New Roman" w:hAnsi="Arial" w:cs="Times New Roman"/>
      <w:sz w:val="20"/>
      <w:szCs w:val="20"/>
      <w:lang w:val="en-GB" w:eastAsia="ru-RU"/>
    </w:rPr>
  </w:style>
  <w:style w:type="paragraph" w:customStyle="1" w:styleId="1">
    <w:name w:val="Обычный1"/>
    <w:rsid w:val="00B5646D"/>
    <w:pPr>
      <w:spacing w:after="0" w:line="240" w:lineRule="auto"/>
    </w:pPr>
    <w:rPr>
      <w:rFonts w:ascii="Arial" w:eastAsia="Times New Roman" w:hAnsi="Arial" w:cs="Times New Roman"/>
      <w:sz w:val="24"/>
      <w:szCs w:val="20"/>
    </w:rPr>
  </w:style>
  <w:style w:type="character" w:customStyle="1" w:styleId="20">
    <w:name w:val="Заголовок 2 Знак"/>
    <w:basedOn w:val="a0"/>
    <w:link w:val="2"/>
    <w:uiPriority w:val="9"/>
    <w:semiHidden/>
    <w:rsid w:val="00F55606"/>
    <w:rPr>
      <w:rFonts w:asciiTheme="majorHAnsi" w:eastAsiaTheme="majorEastAsia" w:hAnsiTheme="majorHAnsi" w:cstheme="majorBidi"/>
      <w:b/>
      <w:bCs/>
      <w:color w:val="4F81BD" w:themeColor="accent1"/>
      <w:sz w:val="26"/>
      <w:szCs w:val="26"/>
      <w:lang w:val="en-GB" w:eastAsia="ru-RU"/>
    </w:rPr>
  </w:style>
  <w:style w:type="paragraph" w:styleId="aa">
    <w:name w:val="Balloon Text"/>
    <w:basedOn w:val="a"/>
    <w:link w:val="ab"/>
    <w:uiPriority w:val="99"/>
    <w:semiHidden/>
    <w:unhideWhenUsed/>
    <w:rsid w:val="00D50F08"/>
    <w:rPr>
      <w:rFonts w:ascii="Tahoma" w:hAnsi="Tahoma" w:cs="Tahoma"/>
      <w:sz w:val="16"/>
      <w:szCs w:val="16"/>
    </w:rPr>
  </w:style>
  <w:style w:type="character" w:customStyle="1" w:styleId="ab">
    <w:name w:val="Текст выноски Знак"/>
    <w:basedOn w:val="a0"/>
    <w:link w:val="aa"/>
    <w:uiPriority w:val="99"/>
    <w:semiHidden/>
    <w:rsid w:val="00D50F08"/>
    <w:rPr>
      <w:rFonts w:ascii="Tahoma" w:eastAsia="Times New Roman" w:hAnsi="Tahoma" w:cs="Tahoma"/>
      <w:sz w:val="16"/>
      <w:szCs w:val="16"/>
      <w:lang w:val="en-GB" w:eastAsia="ru-RU"/>
    </w:rPr>
  </w:style>
  <w:style w:type="paragraph" w:styleId="ac">
    <w:name w:val="header"/>
    <w:basedOn w:val="a"/>
    <w:link w:val="ad"/>
    <w:uiPriority w:val="99"/>
    <w:unhideWhenUsed/>
    <w:rsid w:val="00356818"/>
    <w:pPr>
      <w:tabs>
        <w:tab w:val="center" w:pos="4677"/>
        <w:tab w:val="right" w:pos="9355"/>
      </w:tabs>
    </w:pPr>
  </w:style>
  <w:style w:type="character" w:customStyle="1" w:styleId="ad">
    <w:name w:val="Верхний колонтитул Знак"/>
    <w:basedOn w:val="a0"/>
    <w:link w:val="ac"/>
    <w:uiPriority w:val="99"/>
    <w:rsid w:val="00356818"/>
    <w:rPr>
      <w:rFonts w:ascii="Arial" w:eastAsia="Times New Roman" w:hAnsi="Arial" w:cs="Times New Roman"/>
      <w:sz w:val="20"/>
      <w:szCs w:val="20"/>
      <w:lang w:val="en-GB" w:eastAsia="ru-RU"/>
    </w:rPr>
  </w:style>
  <w:style w:type="paragraph" w:styleId="ae">
    <w:name w:val="footer"/>
    <w:basedOn w:val="a"/>
    <w:link w:val="af"/>
    <w:uiPriority w:val="99"/>
    <w:unhideWhenUsed/>
    <w:rsid w:val="00356818"/>
    <w:pPr>
      <w:tabs>
        <w:tab w:val="center" w:pos="4677"/>
        <w:tab w:val="right" w:pos="9355"/>
      </w:tabs>
    </w:pPr>
  </w:style>
  <w:style w:type="character" w:customStyle="1" w:styleId="af">
    <w:name w:val="Нижний колонтитул Знак"/>
    <w:basedOn w:val="a0"/>
    <w:link w:val="ae"/>
    <w:uiPriority w:val="99"/>
    <w:rsid w:val="00356818"/>
    <w:rPr>
      <w:rFonts w:ascii="Arial" w:eastAsia="Times New Roman" w:hAnsi="Arial" w:cs="Times New Roman"/>
      <w:sz w:val="20"/>
      <w:szCs w:val="20"/>
      <w:lang w:val="en-GB" w:eastAsia="ru-RU"/>
    </w:rPr>
  </w:style>
  <w:style w:type="table" w:customStyle="1" w:styleId="TableGrid1">
    <w:name w:val="Table Grid1"/>
    <w:basedOn w:val="a1"/>
    <w:next w:val="af0"/>
    <w:uiPriority w:val="59"/>
    <w:rsid w:val="00D7206E"/>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D72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22730">
      <w:bodyDiv w:val="1"/>
      <w:marLeft w:val="0"/>
      <w:marRight w:val="0"/>
      <w:marTop w:val="0"/>
      <w:marBottom w:val="0"/>
      <w:divBdr>
        <w:top w:val="none" w:sz="0" w:space="0" w:color="auto"/>
        <w:left w:val="none" w:sz="0" w:space="0" w:color="auto"/>
        <w:bottom w:val="none" w:sz="0" w:space="0" w:color="auto"/>
        <w:right w:val="none" w:sz="0" w:space="0" w:color="auto"/>
      </w:divBdr>
    </w:div>
    <w:div w:id="1654065136">
      <w:bodyDiv w:val="1"/>
      <w:marLeft w:val="0"/>
      <w:marRight w:val="0"/>
      <w:marTop w:val="0"/>
      <w:marBottom w:val="0"/>
      <w:divBdr>
        <w:top w:val="none" w:sz="0" w:space="0" w:color="auto"/>
        <w:left w:val="none" w:sz="0" w:space="0" w:color="auto"/>
        <w:bottom w:val="none" w:sz="0" w:space="0" w:color="auto"/>
        <w:right w:val="none" w:sz="0" w:space="0" w:color="auto"/>
      </w:divBdr>
    </w:div>
    <w:div w:id="1856260626">
      <w:bodyDiv w:val="1"/>
      <w:marLeft w:val="0"/>
      <w:marRight w:val="0"/>
      <w:marTop w:val="0"/>
      <w:marBottom w:val="0"/>
      <w:divBdr>
        <w:top w:val="none" w:sz="0" w:space="0" w:color="auto"/>
        <w:left w:val="none" w:sz="0" w:space="0" w:color="auto"/>
        <w:bottom w:val="none" w:sz="0" w:space="0" w:color="auto"/>
        <w:right w:val="none" w:sz="0" w:space="0" w:color="auto"/>
      </w:divBdr>
    </w:div>
    <w:div w:id="2061318330">
      <w:bodyDiv w:val="1"/>
      <w:marLeft w:val="0"/>
      <w:marRight w:val="0"/>
      <w:marTop w:val="0"/>
      <w:marBottom w:val="0"/>
      <w:divBdr>
        <w:top w:val="none" w:sz="0" w:space="0" w:color="auto"/>
        <w:left w:val="none" w:sz="0" w:space="0" w:color="auto"/>
        <w:bottom w:val="none" w:sz="0" w:space="0" w:color="auto"/>
        <w:right w:val="none" w:sz="0" w:space="0" w:color="auto"/>
      </w:divBdr>
      <w:divsChild>
        <w:div w:id="397830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a.europa.eu/docs/en_GB/document_library/EPAR_-_Product_Information/human/000129/WC50004424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icines.org.uk/emc/medicine/2867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ines.org.uk/emc/medicine/14555" TargetMode="External"/><Relationship Id="rId5" Type="http://schemas.openxmlformats.org/officeDocument/2006/relationships/webSettings" Target="webSettings.xml"/><Relationship Id="rId15" Type="http://schemas.openxmlformats.org/officeDocument/2006/relationships/hyperlink" Target="http://www.cdc.gov/vaccines/pubs/pinkbook/vac-admin.html" TargetMode="External"/><Relationship Id="rId10" Type="http://schemas.openxmlformats.org/officeDocument/2006/relationships/hyperlink" Target="mailto:oax70065@gs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edicines.org.uk/emc/medicine/9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C65C-2FFB-4AE8-92D4-364DA561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6443</Words>
  <Characters>3673</Characters>
  <Application>Microsoft Office Word</Application>
  <DocSecurity>0</DocSecurity>
  <Lines>30</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GlaxoSmithKline</Company>
  <LinksUpToDate>false</LinksUpToDate>
  <CharactersWithSpaces>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iil0093</dc:creator>
  <cp:lastModifiedBy>Льоринець Марина Юріївна</cp:lastModifiedBy>
  <cp:revision>2</cp:revision>
  <cp:lastPrinted>2018-05-22T10:02:00Z</cp:lastPrinted>
  <dcterms:created xsi:type="dcterms:W3CDTF">2018-05-22T10:15:00Z</dcterms:created>
  <dcterms:modified xsi:type="dcterms:W3CDTF">2018-05-22T10:15:00Z</dcterms:modified>
</cp:coreProperties>
</file>