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06E" w:rsidRPr="00D7206E" w:rsidRDefault="00D7206E" w:rsidP="00D7206E">
      <w:pPr>
        <w:autoSpaceDE w:val="0"/>
        <w:autoSpaceDN w:val="0"/>
        <w:adjustRightInd w:val="0"/>
        <w:ind w:firstLine="709"/>
        <w:jc w:val="both"/>
        <w:rPr>
          <w:rFonts w:ascii="Times New Roman" w:hAnsi="Times New Roman"/>
          <w:sz w:val="28"/>
          <w:lang w:val="uk-UA"/>
        </w:rPr>
      </w:pPr>
    </w:p>
    <w:p w:rsidR="00695214" w:rsidRDefault="00695214" w:rsidP="004259E9">
      <w:pPr>
        <w:spacing w:after="140"/>
        <w:ind w:firstLine="720"/>
        <w:jc w:val="center"/>
        <w:rPr>
          <w:rFonts w:ascii="Times New Roman" w:eastAsia="Verdana" w:hAnsi="Times New Roman"/>
          <w:b/>
          <w:bCs/>
          <w:noProof/>
          <w:kern w:val="32"/>
          <w:sz w:val="26"/>
          <w:szCs w:val="26"/>
          <w:lang w:val="uk-UA" w:eastAsia="en-GB"/>
        </w:rPr>
      </w:pPr>
      <w:r>
        <w:rPr>
          <w:rFonts w:ascii="Times New Roman" w:eastAsia="Verdana" w:hAnsi="Times New Roman"/>
          <w:b/>
          <w:bCs/>
          <w:noProof/>
          <w:kern w:val="32"/>
          <w:sz w:val="26"/>
          <w:szCs w:val="26"/>
          <w:lang w:val="uk-UA" w:eastAsia="en-GB"/>
        </w:rPr>
        <w:t>Інформація з безпеки дл</w:t>
      </w:r>
      <w:r w:rsidR="00D7206E" w:rsidRPr="00D7206E">
        <w:rPr>
          <w:rFonts w:ascii="Times New Roman" w:eastAsia="Verdana" w:hAnsi="Times New Roman"/>
          <w:b/>
          <w:bCs/>
          <w:noProof/>
          <w:kern w:val="32"/>
          <w:sz w:val="26"/>
          <w:szCs w:val="26"/>
          <w:lang w:val="uk-UA" w:eastAsia="en-GB"/>
        </w:rPr>
        <w:t>я безпосереднього ознайомлення спеціалістами системи охорони здоров’я</w:t>
      </w:r>
      <w:bookmarkStart w:id="0" w:name="_GoBack"/>
      <w:bookmarkEnd w:id="0"/>
    </w:p>
    <w:p w:rsidR="00D7206E" w:rsidRPr="00D7206E" w:rsidRDefault="00695214" w:rsidP="00695214">
      <w:pPr>
        <w:spacing w:after="140"/>
        <w:ind w:firstLine="720"/>
        <w:jc w:val="both"/>
        <w:rPr>
          <w:rFonts w:ascii="Times New Roman" w:hAnsi="Times New Roman"/>
          <w:b/>
          <w:kern w:val="32"/>
          <w:sz w:val="26"/>
          <w:szCs w:val="26"/>
          <w:lang w:val="uk-UA" w:eastAsia="en-GB"/>
        </w:rPr>
      </w:pPr>
      <w:r>
        <w:rPr>
          <w:rFonts w:ascii="Times New Roman" w:hAnsi="Times New Roman"/>
          <w:b/>
          <w:kern w:val="32"/>
          <w:sz w:val="26"/>
          <w:szCs w:val="26"/>
          <w:lang w:val="uk-UA" w:eastAsia="en-GB"/>
        </w:rPr>
        <w:t>В</w:t>
      </w:r>
      <w:r w:rsidR="00D7206E" w:rsidRPr="00D7206E">
        <w:rPr>
          <w:rFonts w:ascii="Times New Roman" w:hAnsi="Times New Roman"/>
          <w:b/>
          <w:kern w:val="32"/>
          <w:sz w:val="26"/>
          <w:szCs w:val="26"/>
          <w:lang w:val="uk-UA" w:eastAsia="en-GB"/>
        </w:rPr>
        <w:t>акцини</w:t>
      </w:r>
      <w:r>
        <w:rPr>
          <w:rFonts w:ascii="Times New Roman" w:hAnsi="Times New Roman"/>
          <w:b/>
          <w:kern w:val="32"/>
          <w:sz w:val="26"/>
          <w:szCs w:val="26"/>
          <w:lang w:val="uk-UA" w:eastAsia="en-GB"/>
        </w:rPr>
        <w:t xml:space="preserve"> «ГлаксоСмітКляйн»</w:t>
      </w:r>
      <w:r w:rsidR="00D7206E" w:rsidRPr="00D7206E">
        <w:rPr>
          <w:rFonts w:ascii="Times New Roman" w:hAnsi="Times New Roman"/>
          <w:b/>
          <w:kern w:val="32"/>
          <w:sz w:val="26"/>
          <w:szCs w:val="26"/>
          <w:lang w:val="uk-UA" w:eastAsia="en-GB"/>
        </w:rPr>
        <w:t>, що потенцій</w:t>
      </w:r>
      <w:r>
        <w:rPr>
          <w:rFonts w:ascii="Times New Roman" w:hAnsi="Times New Roman"/>
          <w:b/>
          <w:kern w:val="32"/>
          <w:sz w:val="26"/>
          <w:szCs w:val="26"/>
          <w:lang w:val="uk-UA" w:eastAsia="en-GB"/>
        </w:rPr>
        <w:t xml:space="preserve">но підлягають ризику протікання: </w:t>
      </w:r>
      <w:r w:rsidR="00D7206E" w:rsidRPr="00D7206E" w:rsidDel="00B27065">
        <w:rPr>
          <w:rFonts w:ascii="Times New Roman" w:hAnsi="Times New Roman"/>
          <w:b/>
          <w:kern w:val="32"/>
          <w:sz w:val="26"/>
          <w:szCs w:val="26"/>
          <w:lang w:val="uk-UA" w:eastAsia="en-GB"/>
        </w:rPr>
        <w:t xml:space="preserve"> </w:t>
      </w:r>
      <w:r w:rsidR="00D7206E" w:rsidRPr="00D7206E">
        <w:rPr>
          <w:rFonts w:ascii="Times New Roman" w:hAnsi="Times New Roman"/>
          <w:b/>
          <w:kern w:val="32"/>
          <w:sz w:val="26"/>
          <w:szCs w:val="26"/>
          <w:lang w:val="uk-UA" w:eastAsia="en-GB"/>
        </w:rPr>
        <w:t xml:space="preserve">Твінрикс (для дорослих та дітей), Бустрикс, Бустрикс ІПВ, Інфанрикс, Інфанрикс ІПВ, Інфанрикс ІПВ ХІБ, </w:t>
      </w:r>
      <w:r w:rsidR="007A0C24">
        <w:rPr>
          <w:rFonts w:ascii="Times New Roman" w:hAnsi="Times New Roman"/>
          <w:b/>
          <w:kern w:val="32"/>
          <w:sz w:val="26"/>
          <w:szCs w:val="26"/>
          <w:lang w:val="uk-UA" w:eastAsia="en-GB"/>
        </w:rPr>
        <w:t xml:space="preserve">Інфанрикс </w:t>
      </w:r>
      <w:r w:rsidR="007A0C24" w:rsidRPr="007A0C24">
        <w:rPr>
          <w:rFonts w:ascii="Times New Roman" w:hAnsi="Times New Roman"/>
          <w:b/>
          <w:kern w:val="32"/>
          <w:sz w:val="26"/>
          <w:szCs w:val="26"/>
          <w:lang w:val="uk-UA" w:eastAsia="en-GB"/>
        </w:rPr>
        <w:t>ГЕКСА</w:t>
      </w:r>
      <w:r w:rsidR="00D7206E" w:rsidRPr="00D7206E">
        <w:rPr>
          <w:rFonts w:ascii="Times New Roman" w:hAnsi="Times New Roman"/>
          <w:b/>
          <w:kern w:val="32"/>
          <w:sz w:val="26"/>
          <w:szCs w:val="26"/>
          <w:lang w:val="uk-UA" w:eastAsia="en-GB"/>
        </w:rPr>
        <w:t>, Варілрикс, Пріорикс, Пріорикс Тетра, Хаврикс, Енджерикс-В</w:t>
      </w:r>
      <w:r w:rsidR="00CE6E50">
        <w:rPr>
          <w:rFonts w:ascii="Times New Roman" w:hAnsi="Times New Roman"/>
          <w:b/>
          <w:kern w:val="32"/>
          <w:sz w:val="26"/>
          <w:szCs w:val="26"/>
          <w:lang w:val="uk-UA" w:eastAsia="en-GB"/>
        </w:rPr>
        <w:t>.</w:t>
      </w:r>
      <w:r w:rsidR="00D7206E" w:rsidRPr="00D7206E">
        <w:rPr>
          <w:rFonts w:ascii="Times New Roman" w:hAnsi="Times New Roman"/>
          <w:b/>
          <w:kern w:val="32"/>
          <w:sz w:val="26"/>
          <w:szCs w:val="26"/>
          <w:lang w:val="uk-UA" w:eastAsia="en-GB"/>
        </w:rPr>
        <w:t xml:space="preserve"> </w:t>
      </w:r>
    </w:p>
    <w:p w:rsidR="00695214" w:rsidRPr="00D7206E" w:rsidRDefault="00D7206E" w:rsidP="00695214">
      <w:pPr>
        <w:spacing w:after="140"/>
        <w:ind w:firstLine="720"/>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Вельмишановні спеціалісти у галузі охорони здоров’я!</w:t>
      </w:r>
    </w:p>
    <w:p w:rsidR="00D7206E" w:rsidRPr="00D7206E" w:rsidRDefault="00D7206E" w:rsidP="00D7206E">
      <w:pPr>
        <w:spacing w:after="140"/>
        <w:ind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GlaxoSmithKline Biologicals SA (GSK) за погодженням з Європейським агентством з лікарських засобів та Державним Експертним Центром МОЗ України  повідомляє Вам про наступне:</w:t>
      </w:r>
    </w:p>
    <w:p w:rsidR="00D7206E" w:rsidRPr="00D7206E" w:rsidRDefault="00695214" w:rsidP="00D7206E">
      <w:pPr>
        <w:spacing w:after="140"/>
        <w:ind w:firstLine="720"/>
        <w:rPr>
          <w:rFonts w:ascii="Times New Roman" w:eastAsia="Verdana" w:hAnsi="Times New Roman"/>
          <w:b/>
          <w:i/>
          <w:sz w:val="26"/>
          <w:szCs w:val="26"/>
          <w:lang w:val="uk-UA" w:eastAsia="en-GB"/>
        </w:rPr>
      </w:pPr>
      <w:r>
        <w:rPr>
          <w:rFonts w:ascii="Times New Roman" w:eastAsia="Verdana" w:hAnsi="Times New Roman"/>
          <w:b/>
          <w:i/>
          <w:sz w:val="26"/>
          <w:szCs w:val="26"/>
          <w:lang w:val="uk-UA" w:eastAsia="en-GB"/>
        </w:rPr>
        <w:t>Резюме</w:t>
      </w:r>
    </w:p>
    <w:p w:rsidR="00D7206E" w:rsidRPr="00D7206E" w:rsidRDefault="00D7206E" w:rsidP="00D7206E">
      <w:pPr>
        <w:numPr>
          <w:ilvl w:val="0"/>
          <w:numId w:val="12"/>
        </w:numPr>
        <w:ind w:left="357"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Протікання шприців при застосуванні ряду вакцин відбувалось під час підготовки вакцини або в момент її застосування (див. зображення 1).</w:t>
      </w:r>
    </w:p>
    <w:p w:rsidR="00D7206E" w:rsidRPr="00D7206E" w:rsidRDefault="00D7206E" w:rsidP="00D7206E">
      <w:pPr>
        <w:numPr>
          <w:ilvl w:val="0"/>
          <w:numId w:val="12"/>
        </w:numPr>
        <w:ind w:left="357"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У Європі відповідна частота становить 2,6 на 100 000 доз, розподілених з діапазоном від 2 до 10 на 100 000 доз для 5 країн, що звітують найчастіше, однак точна частота випадків протікання шприців невідома і може бути вищою.</w:t>
      </w:r>
    </w:p>
    <w:p w:rsidR="00D7206E" w:rsidRPr="00D7206E" w:rsidRDefault="00D7206E" w:rsidP="00D7206E">
      <w:pPr>
        <w:numPr>
          <w:ilvl w:val="0"/>
          <w:numId w:val="12"/>
        </w:numPr>
        <w:ind w:left="357"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Протікання не ставить під загрозу стерильність вакцини.</w:t>
      </w:r>
    </w:p>
    <w:p w:rsidR="00D7206E" w:rsidRPr="00D7206E" w:rsidRDefault="00D7206E" w:rsidP="00D7206E">
      <w:pPr>
        <w:ind w:left="357"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 xml:space="preserve">Потенційним ризиком, пов'язаним із протіканням шприців, може стати введення пацієнтам недостатньої дози та незадовільне забезпечення їх захистом від захворювання після імунізації. </w:t>
      </w:r>
    </w:p>
    <w:p w:rsidR="00D7206E" w:rsidRDefault="00D7206E" w:rsidP="00D7206E">
      <w:pPr>
        <w:ind w:left="357"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Проте, огляд даних фармаконагляду GSK станом на 14 грудня 2017 року не виявив доказів того, що виявлені протікання шприців призвели до зниження або відсутності ефективності вакцинації або будь-якої іншої проблеми для безпеки пацієнта.</w:t>
      </w:r>
    </w:p>
    <w:p w:rsidR="00D7206E" w:rsidRPr="00D7206E" w:rsidRDefault="00D7206E" w:rsidP="00D7206E">
      <w:pPr>
        <w:ind w:left="357" w:firstLine="720"/>
        <w:jc w:val="both"/>
        <w:rPr>
          <w:rFonts w:ascii="Times New Roman" w:eastAsia="Verdana" w:hAnsi="Times New Roman"/>
          <w:sz w:val="26"/>
          <w:szCs w:val="26"/>
          <w:lang w:val="uk-UA" w:eastAsia="en-GB"/>
        </w:rPr>
      </w:pPr>
    </w:p>
    <w:p w:rsidR="00D7206E" w:rsidRPr="00D7206E" w:rsidRDefault="00D7206E" w:rsidP="00D7206E">
      <w:pPr>
        <w:numPr>
          <w:ilvl w:val="0"/>
          <w:numId w:val="12"/>
        </w:numPr>
        <w:ind w:left="357" w:firstLine="720"/>
        <w:jc w:val="both"/>
        <w:rPr>
          <w:rFonts w:ascii="Times New Roman" w:eastAsia="Verdana" w:hAnsi="Times New Roman"/>
          <w:sz w:val="26"/>
          <w:szCs w:val="26"/>
          <w:lang w:val="uk-UA" w:eastAsia="en-GB"/>
        </w:rPr>
      </w:pPr>
      <w:r w:rsidRPr="00D7206E">
        <w:rPr>
          <w:rFonts w:ascii="Times New Roman" w:eastAsia="Verdana" w:hAnsi="Times New Roman"/>
          <w:b/>
          <w:sz w:val="26"/>
          <w:szCs w:val="26"/>
          <w:u w:val="single"/>
          <w:lang w:val="uk-UA" w:eastAsia="en-GB"/>
        </w:rPr>
        <w:t>Якщо протікання відбулось протягом відновлення</w:t>
      </w:r>
      <w:r w:rsidRPr="00D7206E">
        <w:rPr>
          <w:rFonts w:ascii="Times New Roman" w:eastAsia="Verdana" w:hAnsi="Times New Roman"/>
          <w:b/>
          <w:sz w:val="26"/>
          <w:szCs w:val="26"/>
          <w:lang w:val="uk-UA" w:eastAsia="en-GB"/>
        </w:rPr>
        <w:t xml:space="preserve"> ліофілізованої вакцини, шприц, що зазнав впливу, слід </w:t>
      </w:r>
      <w:r w:rsidR="007A0C24">
        <w:rPr>
          <w:rFonts w:ascii="Times New Roman" w:eastAsia="Verdana" w:hAnsi="Times New Roman"/>
          <w:b/>
          <w:sz w:val="26"/>
          <w:szCs w:val="26"/>
          <w:lang w:val="uk-UA" w:eastAsia="en-GB"/>
        </w:rPr>
        <w:t>знищити з вимогами</w:t>
      </w:r>
      <w:r w:rsidRPr="00D7206E">
        <w:rPr>
          <w:rFonts w:ascii="Times New Roman" w:eastAsia="Verdana" w:hAnsi="Times New Roman"/>
          <w:b/>
          <w:sz w:val="26"/>
          <w:szCs w:val="26"/>
          <w:lang w:val="uk-UA" w:eastAsia="en-GB"/>
        </w:rPr>
        <w:t>.</w:t>
      </w:r>
    </w:p>
    <w:p w:rsidR="00D7206E" w:rsidRPr="00D7206E" w:rsidRDefault="00D7206E" w:rsidP="00D7206E">
      <w:pPr>
        <w:numPr>
          <w:ilvl w:val="0"/>
          <w:numId w:val="12"/>
        </w:numPr>
        <w:ind w:left="357" w:firstLine="720"/>
        <w:jc w:val="both"/>
        <w:rPr>
          <w:rFonts w:ascii="Times New Roman" w:eastAsia="Verdana" w:hAnsi="Times New Roman"/>
          <w:sz w:val="26"/>
          <w:szCs w:val="26"/>
          <w:lang w:val="uk-UA" w:eastAsia="en-GB"/>
        </w:rPr>
      </w:pPr>
      <w:r w:rsidRPr="00D7206E">
        <w:rPr>
          <w:rFonts w:ascii="Times New Roman" w:eastAsia="Verdana" w:hAnsi="Times New Roman"/>
          <w:b/>
          <w:sz w:val="26"/>
          <w:szCs w:val="26"/>
          <w:u w:val="single"/>
          <w:lang w:val="uk-UA" w:eastAsia="en-GB"/>
        </w:rPr>
        <w:t xml:space="preserve">Якщо протікання відбулось протягом вакцинації, </w:t>
      </w:r>
      <w:r w:rsidRPr="00D7206E">
        <w:rPr>
          <w:rFonts w:ascii="Times New Roman" w:eastAsia="Verdana" w:hAnsi="Times New Roman"/>
          <w:b/>
          <w:bCs/>
          <w:noProof/>
          <w:kern w:val="32"/>
          <w:sz w:val="26"/>
          <w:szCs w:val="26"/>
          <w:lang w:val="uk-UA" w:eastAsia="en-GB"/>
        </w:rPr>
        <w:t xml:space="preserve">спеціаліст охорони здоров’я може оцінити необхідність введення повторної дози пацієнту, який отримав дозу менше ніж стандартна. Спеціалісти охорони здоров’я повинні враховувати потенційну користь від підвищення захисту від захворювання за допомогою введення повторної повної дози, потенційний ризик виникнення небажаних явищ від повторної дози та потенційний ризик незадовільного захисту від захворювання, якщо пацієнту не введена повторна доза. </w:t>
      </w:r>
    </w:p>
    <w:p w:rsidR="00D7206E" w:rsidRPr="00D7206E" w:rsidRDefault="00D7206E" w:rsidP="00D7206E">
      <w:pPr>
        <w:numPr>
          <w:ilvl w:val="0"/>
          <w:numId w:val="12"/>
        </w:numPr>
        <w:ind w:left="284" w:firstLine="720"/>
        <w:jc w:val="both"/>
        <w:rPr>
          <w:rFonts w:ascii="Times New Roman" w:hAnsi="Times New Roman"/>
          <w:b/>
          <w:sz w:val="26"/>
          <w:szCs w:val="26"/>
          <w:lang w:val="uk-UA"/>
        </w:rPr>
      </w:pPr>
      <w:r w:rsidRPr="00D7206E">
        <w:rPr>
          <w:rFonts w:ascii="Times New Roman" w:eastAsia="Verdana" w:hAnsi="Times New Roman"/>
          <w:sz w:val="26"/>
          <w:szCs w:val="26"/>
          <w:lang w:val="uk-UA" w:eastAsia="en-GB"/>
        </w:rPr>
        <w:t>Спеціалісти охорони здоров’я повинні дотримуватися місцевих рекомендацій щодо потенційного ризику введення недостатньої дози вакцини.</w:t>
      </w:r>
    </w:p>
    <w:p w:rsidR="00D7206E" w:rsidRPr="00D7206E" w:rsidRDefault="00D7206E" w:rsidP="00D7206E">
      <w:pPr>
        <w:numPr>
          <w:ilvl w:val="0"/>
          <w:numId w:val="12"/>
        </w:numPr>
        <w:ind w:left="284" w:firstLine="720"/>
        <w:jc w:val="both"/>
        <w:rPr>
          <w:rFonts w:ascii="Times New Roman" w:hAnsi="Times New Roman"/>
          <w:b/>
          <w:sz w:val="26"/>
          <w:szCs w:val="26"/>
          <w:lang w:val="uk-UA"/>
        </w:rPr>
      </w:pPr>
      <w:r w:rsidRPr="00D7206E">
        <w:rPr>
          <w:rFonts w:ascii="Times New Roman" w:eastAsia="Verdana" w:hAnsi="Times New Roman"/>
          <w:sz w:val="26"/>
          <w:szCs w:val="26"/>
          <w:lang w:val="uk-UA" w:eastAsia="en-GB"/>
        </w:rPr>
        <w:t>Спеціалістів охорони здоров’я закликають повідомляти про скарги щодо якості продукту, помилки в застосуванні лікарських засобів та підозрювані побічні реакції (див. “Закликаємо до повідомлення”).</w:t>
      </w:r>
    </w:p>
    <w:p w:rsidR="00D7206E" w:rsidRPr="00D7206E" w:rsidRDefault="00D7206E" w:rsidP="00D7206E">
      <w:pPr>
        <w:spacing w:after="140"/>
        <w:ind w:firstLine="720"/>
        <w:rPr>
          <w:rFonts w:ascii="Times New Roman" w:eastAsia="Verdana" w:hAnsi="Times New Roman"/>
          <w:sz w:val="26"/>
          <w:szCs w:val="26"/>
          <w:lang w:val="uk-UA" w:eastAsia="en-GB"/>
        </w:rPr>
      </w:pPr>
    </w:p>
    <w:p w:rsidR="00D7206E" w:rsidRPr="00D7206E" w:rsidRDefault="00D7206E" w:rsidP="00D7206E">
      <w:pPr>
        <w:spacing w:after="140"/>
        <w:ind w:firstLine="720"/>
        <w:rPr>
          <w:rFonts w:ascii="Times New Roman" w:eastAsia="Verdana" w:hAnsi="Times New Roman"/>
          <w:b/>
          <w:i/>
          <w:sz w:val="26"/>
          <w:szCs w:val="26"/>
          <w:lang w:val="uk-UA" w:eastAsia="en-GB"/>
        </w:rPr>
      </w:pPr>
      <w:r w:rsidRPr="00D7206E">
        <w:rPr>
          <w:rFonts w:ascii="Times New Roman" w:eastAsia="Verdana" w:hAnsi="Times New Roman"/>
          <w:b/>
          <w:i/>
          <w:sz w:val="26"/>
          <w:szCs w:val="26"/>
          <w:lang w:val="uk-UA" w:eastAsia="en-GB"/>
        </w:rPr>
        <w:t xml:space="preserve">Передумова інциденту протікання шприців </w:t>
      </w:r>
    </w:p>
    <w:p w:rsidR="00D7206E" w:rsidRPr="00D7206E" w:rsidRDefault="00D7206E" w:rsidP="00D7206E">
      <w:pPr>
        <w:spacing w:after="140"/>
        <w:ind w:firstLine="720"/>
        <w:contextualSpacing/>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 xml:space="preserve">Починаючи з липня 2015 року, GSK виявила зростання повідомлень з приводу протікання шприців із наконечниками з керамічним покриттям. Протікання </w:t>
      </w:r>
      <w:r w:rsidRPr="00D7206E">
        <w:rPr>
          <w:rFonts w:ascii="Times New Roman" w:eastAsia="Verdana" w:hAnsi="Times New Roman"/>
          <w:sz w:val="26"/>
          <w:szCs w:val="26"/>
          <w:lang w:val="uk-UA" w:eastAsia="en-GB"/>
        </w:rPr>
        <w:lastRenderedPageBreak/>
        <w:t>відмічалось на місці з’єднання наконечника шприца та втулки голки під час підготовки вакцини або в момент її застосування.</w:t>
      </w:r>
    </w:p>
    <w:p w:rsidR="00D7206E" w:rsidRPr="00D7206E" w:rsidRDefault="00D7206E" w:rsidP="00D7206E">
      <w:pPr>
        <w:spacing w:after="140"/>
        <w:ind w:firstLine="720"/>
        <w:contextualSpacing/>
        <w:jc w:val="both"/>
        <w:rPr>
          <w:rFonts w:ascii="Times New Roman" w:hAnsi="Times New Roman"/>
          <w:sz w:val="26"/>
          <w:szCs w:val="26"/>
          <w:lang w:val="uk-UA"/>
        </w:rPr>
      </w:pPr>
      <w:r w:rsidRPr="00D7206E">
        <w:rPr>
          <w:rFonts w:ascii="Times New Roman" w:hAnsi="Times New Roman"/>
          <w:sz w:val="26"/>
          <w:szCs w:val="26"/>
          <w:lang w:val="uk-UA"/>
        </w:rPr>
        <w:t>Протікання відбувалось на з’єднанні між голкою та шприцом під час використання (див. Зображення 1) та не було спричинене порушенням цілісності шприца перед використанням.</w:t>
      </w:r>
    </w:p>
    <w:p w:rsidR="00D7206E" w:rsidRPr="00D7206E" w:rsidRDefault="00D7206E" w:rsidP="00D7206E">
      <w:pPr>
        <w:spacing w:after="140"/>
        <w:ind w:firstLine="720"/>
        <w:rPr>
          <w:rFonts w:ascii="Times New Roman" w:eastAsia="Verdana" w:hAnsi="Times New Roman"/>
          <w:sz w:val="26"/>
          <w:szCs w:val="26"/>
          <w:lang w:val="uk-UA" w:eastAsia="en-GB"/>
        </w:rPr>
      </w:pPr>
    </w:p>
    <w:tbl>
      <w:tblPr>
        <w:tblStyle w:val="TableGrid1"/>
        <w:tblpPr w:leftFromText="180" w:rightFromText="180" w:vertAnchor="text" w:horzAnchor="margin" w:tblpY="-4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56"/>
        <w:gridCol w:w="3246"/>
      </w:tblGrid>
      <w:tr w:rsidR="00D7206E" w:rsidRPr="00D7206E" w:rsidTr="00CE1FDF">
        <w:trPr>
          <w:trHeight w:val="3784"/>
        </w:trPr>
        <w:tc>
          <w:tcPr>
            <w:tcW w:w="3084" w:type="dxa"/>
          </w:tcPr>
          <w:p w:rsidR="00D7206E" w:rsidRPr="00D7206E" w:rsidRDefault="00D7206E" w:rsidP="00CE1FDF">
            <w:pPr>
              <w:spacing w:before="120" w:after="120"/>
              <w:ind w:firstLine="720"/>
              <w:jc w:val="center"/>
              <w:rPr>
                <w:rFonts w:ascii="Times New Roman" w:hAnsi="Times New Roman"/>
                <w:noProof/>
                <w:sz w:val="26"/>
                <w:szCs w:val="26"/>
                <w:lang w:val="uk-UA"/>
              </w:rPr>
            </w:pPr>
            <w:r w:rsidRPr="00D7206E">
              <w:rPr>
                <w:rFonts w:ascii="Times New Roman" w:hAnsi="Times New Roman"/>
                <w:noProof/>
                <w:sz w:val="26"/>
                <w:szCs w:val="26"/>
                <w:lang w:val="uk-UA"/>
              </w:rPr>
              <w:t>A</w:t>
            </w:r>
          </w:p>
          <w:p w:rsidR="00D7206E" w:rsidRPr="00D7206E" w:rsidRDefault="00D7206E" w:rsidP="00CE1FDF">
            <w:pPr>
              <w:spacing w:before="120" w:after="120"/>
              <w:ind w:firstLine="720"/>
              <w:jc w:val="center"/>
              <w:rPr>
                <w:rFonts w:ascii="Times New Roman" w:hAnsi="Times New Roman"/>
                <w:sz w:val="26"/>
                <w:szCs w:val="26"/>
                <w:lang w:val="uk-UA"/>
              </w:rPr>
            </w:pPr>
            <w:r w:rsidRPr="00D7206E">
              <w:rPr>
                <w:rFonts w:ascii="Times New Roman" w:hAnsi="Times New Roman"/>
                <w:noProof/>
                <w:sz w:val="26"/>
                <w:szCs w:val="26"/>
                <w:lang w:val="uk-UA" w:eastAsia="uk-UA"/>
              </w:rPr>
              <w:drawing>
                <wp:inline distT="0" distB="0" distL="0" distR="0" wp14:anchorId="41BDA454" wp14:editId="23560C60">
                  <wp:extent cx="1782000" cy="155880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82000" cy="1558800"/>
                          </a:xfrm>
                          <a:prstGeom prst="rect">
                            <a:avLst/>
                          </a:prstGeom>
                        </pic:spPr>
                      </pic:pic>
                    </a:graphicData>
                  </a:graphic>
                </wp:inline>
              </w:drawing>
            </w:r>
          </w:p>
        </w:tc>
        <w:tc>
          <w:tcPr>
            <w:tcW w:w="3085" w:type="dxa"/>
          </w:tcPr>
          <w:p w:rsidR="00D7206E" w:rsidRPr="00D7206E" w:rsidRDefault="00D7206E" w:rsidP="00CE1FDF">
            <w:pPr>
              <w:spacing w:before="120" w:after="120"/>
              <w:ind w:firstLine="720"/>
              <w:jc w:val="center"/>
              <w:rPr>
                <w:rFonts w:ascii="Times New Roman" w:hAnsi="Times New Roman"/>
                <w:noProof/>
                <w:sz w:val="26"/>
                <w:szCs w:val="26"/>
                <w:lang w:val="uk-UA"/>
              </w:rPr>
            </w:pPr>
            <w:r w:rsidRPr="00D7206E">
              <w:rPr>
                <w:rFonts w:ascii="Times New Roman" w:hAnsi="Times New Roman"/>
                <w:noProof/>
                <w:sz w:val="26"/>
                <w:szCs w:val="26"/>
                <w:lang w:val="uk-UA"/>
              </w:rPr>
              <w:t>B</w:t>
            </w:r>
          </w:p>
          <w:p w:rsidR="00D7206E" w:rsidRPr="00D7206E" w:rsidRDefault="00D7206E" w:rsidP="00CE1FDF">
            <w:pPr>
              <w:spacing w:before="120" w:after="120"/>
              <w:ind w:firstLine="720"/>
              <w:jc w:val="center"/>
              <w:rPr>
                <w:rFonts w:ascii="Times New Roman" w:hAnsi="Times New Roman"/>
                <w:sz w:val="26"/>
                <w:szCs w:val="26"/>
                <w:lang w:val="uk-UA"/>
              </w:rPr>
            </w:pPr>
            <w:r w:rsidRPr="00D7206E">
              <w:rPr>
                <w:rFonts w:ascii="Times New Roman" w:hAnsi="Times New Roman"/>
                <w:noProof/>
                <w:sz w:val="26"/>
                <w:szCs w:val="26"/>
                <w:lang w:val="uk-UA" w:eastAsia="uk-UA"/>
              </w:rPr>
              <w:drawing>
                <wp:inline distT="0" distB="0" distL="0" distR="0" wp14:anchorId="37257AE5" wp14:editId="33E869A0">
                  <wp:extent cx="1461600" cy="155880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61600" cy="1558800"/>
                          </a:xfrm>
                          <a:prstGeom prst="rect">
                            <a:avLst/>
                          </a:prstGeom>
                        </pic:spPr>
                      </pic:pic>
                    </a:graphicData>
                  </a:graphic>
                </wp:inline>
              </w:drawing>
            </w:r>
          </w:p>
        </w:tc>
      </w:tr>
    </w:tbl>
    <w:p w:rsidR="00D7206E" w:rsidRPr="00D7206E" w:rsidRDefault="00D7206E" w:rsidP="00D7206E">
      <w:pPr>
        <w:spacing w:after="140"/>
        <w:rPr>
          <w:rFonts w:ascii="Times New Roman" w:eastAsia="Verdana" w:hAnsi="Times New Roman"/>
          <w:sz w:val="26"/>
          <w:szCs w:val="26"/>
          <w:u w:val="single"/>
          <w:lang w:val="uk-UA" w:eastAsia="en-GB"/>
        </w:rPr>
      </w:pPr>
      <w:r w:rsidRPr="00D7206E">
        <w:rPr>
          <w:rFonts w:ascii="Times New Roman" w:eastAsia="Verdana" w:hAnsi="Times New Roman"/>
          <w:sz w:val="26"/>
          <w:szCs w:val="26"/>
          <w:u w:val="single"/>
          <w:lang w:val="uk-UA" w:eastAsia="en-GB"/>
        </w:rPr>
        <w:t>Зображення 1: Приклади різних втрат об’єму (виділено синім кольором)</w:t>
      </w:r>
    </w:p>
    <w:p w:rsidR="00D7206E" w:rsidRPr="00D7206E" w:rsidRDefault="00D7206E" w:rsidP="00D7206E">
      <w:pPr>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На підставі даних літератури, дослідження постачальників шприців та практичного тестування, втрата об'єму може коливатися приблизно від 10 мкл (малюнок А) до 50 мкл (малюнок В). В крайньому випадку, протікання краплі може потенційно призвести до втрати об'єму в розмірі 100 мкл або вище.</w:t>
      </w:r>
    </w:p>
    <w:p w:rsidR="00D7206E" w:rsidRPr="00D7206E" w:rsidRDefault="00D7206E" w:rsidP="00D7206E">
      <w:pPr>
        <w:ind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 xml:space="preserve">GSK провела коригувальні дії зі своїми постачальниками шприців та впровадила поліпшені шприці з вдосконаленим процесом наповнення  з січня 2018 року. Як удосконалені, так і доступні зараз шприці будуть наявні на ринку до кінця 2019 року. Частка </w:t>
      </w:r>
      <w:r w:rsidR="00CA1FD9" w:rsidRPr="00D7206E">
        <w:rPr>
          <w:rFonts w:ascii="Times New Roman" w:eastAsia="Verdana" w:hAnsi="Times New Roman"/>
          <w:sz w:val="26"/>
          <w:szCs w:val="26"/>
          <w:lang w:val="uk-UA" w:eastAsia="en-GB"/>
        </w:rPr>
        <w:t>шприців</w:t>
      </w:r>
      <w:r w:rsidR="00CA1FD9">
        <w:rPr>
          <w:rFonts w:ascii="Times New Roman" w:eastAsia="Verdana" w:hAnsi="Times New Roman"/>
          <w:sz w:val="26"/>
          <w:szCs w:val="26"/>
          <w:lang w:val="uk-UA" w:eastAsia="en-GB"/>
        </w:rPr>
        <w:t xml:space="preserve">, що </w:t>
      </w:r>
      <w:r w:rsidRPr="00D7206E">
        <w:rPr>
          <w:rFonts w:ascii="Times New Roman" w:eastAsia="Verdana" w:hAnsi="Times New Roman"/>
          <w:sz w:val="26"/>
          <w:szCs w:val="26"/>
          <w:lang w:val="uk-UA" w:eastAsia="en-GB"/>
        </w:rPr>
        <w:t xml:space="preserve">потенційно </w:t>
      </w:r>
      <w:r w:rsidR="00CA1FD9">
        <w:rPr>
          <w:rFonts w:ascii="Times New Roman" w:eastAsia="Verdana" w:hAnsi="Times New Roman"/>
          <w:sz w:val="26"/>
          <w:szCs w:val="26"/>
          <w:lang w:val="uk-UA" w:eastAsia="en-GB"/>
        </w:rPr>
        <w:t xml:space="preserve">підлягають протіканню </w:t>
      </w:r>
      <w:r w:rsidRPr="00D7206E">
        <w:rPr>
          <w:rFonts w:ascii="Times New Roman" w:eastAsia="Verdana" w:hAnsi="Times New Roman"/>
          <w:sz w:val="26"/>
          <w:szCs w:val="26"/>
          <w:lang w:val="uk-UA" w:eastAsia="en-GB"/>
        </w:rPr>
        <w:t>буде поступово зменшуватися до кінця 2019 року, коли доступні зараз шприци, як очікується, будуть використані.</w:t>
      </w:r>
    </w:p>
    <w:p w:rsidR="00D7206E" w:rsidRPr="00D7206E" w:rsidRDefault="00D7206E" w:rsidP="00D7206E">
      <w:pPr>
        <w:spacing w:after="140"/>
        <w:ind w:firstLine="720"/>
        <w:rPr>
          <w:rFonts w:ascii="Times New Roman" w:eastAsia="Verdana" w:hAnsi="Times New Roman"/>
          <w:sz w:val="26"/>
          <w:szCs w:val="26"/>
          <w:lang w:val="uk-UA" w:eastAsia="en-GB"/>
        </w:rPr>
      </w:pPr>
    </w:p>
    <w:p w:rsidR="00D7206E" w:rsidRPr="00D7206E" w:rsidRDefault="00D7206E" w:rsidP="00D7206E">
      <w:pPr>
        <w:spacing w:after="140"/>
        <w:ind w:firstLine="720"/>
        <w:rPr>
          <w:rFonts w:ascii="Times New Roman" w:eastAsia="Verdana" w:hAnsi="Times New Roman"/>
          <w:sz w:val="26"/>
          <w:szCs w:val="26"/>
          <w:lang w:val="uk-UA" w:eastAsia="en-GB"/>
        </w:rPr>
      </w:pPr>
      <w:r w:rsidRPr="00D7206E">
        <w:rPr>
          <w:rFonts w:ascii="Times New Roman" w:eastAsia="Verdana" w:hAnsi="Times New Roman"/>
          <w:b/>
          <w:sz w:val="26"/>
          <w:szCs w:val="26"/>
          <w:lang w:val="uk-UA" w:eastAsia="en-GB"/>
        </w:rPr>
        <w:t>Інформація про потенційне введення недостатньої дози</w:t>
      </w:r>
    </w:p>
    <w:p w:rsidR="00D7206E" w:rsidRPr="00D7206E" w:rsidRDefault="00D7206E" w:rsidP="00D7206E">
      <w:pPr>
        <w:ind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Дані стосовно введення вакцин з меншим вмістом ант</w:t>
      </w:r>
      <w:r w:rsidR="00695214">
        <w:rPr>
          <w:rFonts w:ascii="Times New Roman" w:eastAsia="Verdana" w:hAnsi="Times New Roman"/>
          <w:sz w:val="26"/>
          <w:szCs w:val="26"/>
          <w:lang w:val="uk-UA" w:eastAsia="en-GB"/>
        </w:rPr>
        <w:t>игену наявні для вакцин Хаврикс та</w:t>
      </w:r>
      <w:r w:rsidRPr="00D7206E">
        <w:rPr>
          <w:rFonts w:ascii="Times New Roman" w:eastAsia="Verdana" w:hAnsi="Times New Roman"/>
          <w:sz w:val="26"/>
          <w:szCs w:val="26"/>
          <w:lang w:val="uk-UA" w:eastAsia="en-GB"/>
        </w:rPr>
        <w:t xml:space="preserve"> Енджерикс-В (1-2). За наявними даними, введення половини дози антигену в складі вакцин Хаврикс або Енджерикс-В не буде мати впливу на серопротекцію чи серопозитивність. Зважаючи на те, що ймовірність протікання, яка призводить до введення пацієнту вдвічі меншої дози, є дуже незначною, очікується, що будь-який випадок недостатнього дозування, пов’язаний з протіканням шприців, не буде мати впливу на серопротекцію/серопозитивність.</w:t>
      </w:r>
    </w:p>
    <w:p w:rsidR="00D7206E" w:rsidRPr="00D7206E" w:rsidRDefault="00D7206E" w:rsidP="00D7206E">
      <w:pPr>
        <w:ind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Для вакцин</w:t>
      </w:r>
      <w:r w:rsidR="00695214">
        <w:rPr>
          <w:rFonts w:ascii="Times New Roman" w:eastAsia="Verdana" w:hAnsi="Times New Roman"/>
          <w:sz w:val="26"/>
          <w:szCs w:val="26"/>
          <w:lang w:val="uk-UA" w:eastAsia="en-GB"/>
        </w:rPr>
        <w:t>и</w:t>
      </w:r>
      <w:r w:rsidRPr="00D7206E">
        <w:rPr>
          <w:rFonts w:ascii="Times New Roman" w:eastAsia="Verdana" w:hAnsi="Times New Roman"/>
          <w:sz w:val="26"/>
          <w:szCs w:val="26"/>
          <w:lang w:val="uk-UA" w:eastAsia="en-GB"/>
        </w:rPr>
        <w:t xml:space="preserve"> Твінрикс</w:t>
      </w:r>
      <w:r w:rsidR="00695214">
        <w:rPr>
          <w:rFonts w:ascii="Times New Roman" w:eastAsia="Verdana" w:hAnsi="Times New Roman"/>
          <w:sz w:val="26"/>
          <w:szCs w:val="26"/>
          <w:lang w:val="uk-UA" w:eastAsia="en-GB"/>
        </w:rPr>
        <w:t>,</w:t>
      </w:r>
      <w:r w:rsidRPr="00D7206E">
        <w:rPr>
          <w:rFonts w:ascii="Times New Roman" w:eastAsia="Verdana" w:hAnsi="Times New Roman"/>
          <w:sz w:val="26"/>
          <w:szCs w:val="26"/>
          <w:lang w:val="uk-UA" w:eastAsia="en-GB"/>
        </w:rPr>
        <w:t xml:space="preserve"> незважаючи на відсутність даних стосовно досліджень залежності ефекту від дози, було продемонстровано, що імунна відповідь на два антигени в складі вакцини Твінрикс була щонайменше такого ж рівня, як і відповідь після щеплення одновалентними вакцинами Хаврикс та Енджерикс-В (3), для яких наявні дані стосовно введення дози з меншим вмістом антигену.</w:t>
      </w:r>
    </w:p>
    <w:p w:rsidR="00D7206E" w:rsidRPr="00D7206E" w:rsidRDefault="00D7206E" w:rsidP="00D7206E">
      <w:pPr>
        <w:ind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 xml:space="preserve">Для інших вакцин, що потенційно підлягають ризику протікання, неможливо оцінити ймовірний вплив недостатнього дозування на серопротекцію/серопозитивність. Проте, для вакцин, що вводяться у вигляді кількох доз (2–3 початкові дози плюс ревакцинація), ймовірність того, що кожна доза буде введена з протіканням шприца є незначною. </w:t>
      </w:r>
    </w:p>
    <w:p w:rsidR="00D7206E" w:rsidRPr="00D7206E" w:rsidRDefault="00D7206E" w:rsidP="00D7206E">
      <w:pPr>
        <w:ind w:firstLine="720"/>
        <w:rPr>
          <w:rFonts w:ascii="Times New Roman" w:eastAsia="Verdana" w:hAnsi="Times New Roman"/>
          <w:sz w:val="26"/>
          <w:szCs w:val="26"/>
          <w:lang w:val="uk-UA" w:eastAsia="en-GB"/>
        </w:rPr>
      </w:pPr>
    </w:p>
    <w:p w:rsidR="00D7206E" w:rsidRPr="00D7206E" w:rsidRDefault="00D7206E" w:rsidP="00D7206E">
      <w:pPr>
        <w:ind w:firstLine="720"/>
        <w:rPr>
          <w:rFonts w:ascii="Times New Roman" w:eastAsia="Verdana" w:hAnsi="Times New Roman"/>
          <w:b/>
          <w:sz w:val="26"/>
          <w:szCs w:val="26"/>
          <w:lang w:val="uk-UA" w:eastAsia="en-GB"/>
        </w:rPr>
      </w:pPr>
      <w:r w:rsidRPr="00D7206E">
        <w:rPr>
          <w:rFonts w:ascii="Times New Roman" w:eastAsia="Verdana" w:hAnsi="Times New Roman"/>
          <w:b/>
          <w:sz w:val="26"/>
          <w:szCs w:val="26"/>
          <w:lang w:val="uk-UA" w:eastAsia="en-GB"/>
        </w:rPr>
        <w:t>Додаткова інформація про рекомендації стосовно недостатньої дози</w:t>
      </w:r>
    </w:p>
    <w:p w:rsidR="00D7206E" w:rsidRPr="00D7206E" w:rsidRDefault="00D7206E" w:rsidP="00D7206E">
      <w:pPr>
        <w:ind w:firstLine="720"/>
        <w:rPr>
          <w:rFonts w:ascii="Times New Roman" w:eastAsia="Verdana" w:hAnsi="Times New Roman"/>
          <w:b/>
          <w:sz w:val="26"/>
          <w:szCs w:val="26"/>
          <w:lang w:val="uk-UA" w:eastAsia="en-GB"/>
        </w:rPr>
      </w:pPr>
    </w:p>
    <w:p w:rsidR="00D7206E" w:rsidRPr="00D7206E" w:rsidRDefault="00D7206E" w:rsidP="00D7206E">
      <w:pPr>
        <w:ind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Якщо місцеві рекомендації не описують способу уникнення проблеми введення недостатньої дози, наступні рекомендації Центру контролю і профілактики захворювань США (CDC), міністерства охорони здоров’я Великобританії та Всесвітньої організації охорони здоров’я</w:t>
      </w:r>
      <w:r w:rsidR="00CA1FD9">
        <w:rPr>
          <w:rFonts w:ascii="Times New Roman" w:eastAsia="Verdana" w:hAnsi="Times New Roman"/>
          <w:sz w:val="26"/>
          <w:szCs w:val="26"/>
          <w:lang w:val="uk-UA" w:eastAsia="en-GB"/>
        </w:rPr>
        <w:t xml:space="preserve"> (ВООЗ)</w:t>
      </w:r>
      <w:r w:rsidRPr="00D7206E">
        <w:rPr>
          <w:rFonts w:ascii="Times New Roman" w:eastAsia="Verdana" w:hAnsi="Times New Roman"/>
          <w:sz w:val="26"/>
          <w:szCs w:val="26"/>
          <w:lang w:val="uk-UA" w:eastAsia="en-GB"/>
        </w:rPr>
        <w:t xml:space="preserve"> можуть бути доцільними:</w:t>
      </w:r>
    </w:p>
    <w:p w:rsidR="00D7206E" w:rsidRPr="00D7206E" w:rsidRDefault="00D7206E" w:rsidP="00D7206E">
      <w:pPr>
        <w:numPr>
          <w:ilvl w:val="1"/>
          <w:numId w:val="13"/>
        </w:numPr>
        <w:ind w:left="709" w:firstLine="720"/>
        <w:contextualSpacing/>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Згідно з рекомендацією Центру контролю і профілактики захворювань США (CDC): «Будь-яка вакцинація з використанням дози меншої ніж стандартна не повинна враховуватися, і необхідність повторної дози залежить від віку особи, за винятком тих випадків, коли серологічне дослідження вказує на формування адекватної імунної відповіді. Якщо доза парентеральної вакцини введена частково в зв’язку з протіканням шприца чи втулки голки, то введення дози необхідно повторити»</w:t>
      </w:r>
      <w:r w:rsidR="00CA1FD9">
        <w:rPr>
          <w:rFonts w:ascii="Times New Roman" w:eastAsia="Verdana" w:hAnsi="Times New Roman"/>
          <w:sz w:val="26"/>
          <w:szCs w:val="26"/>
          <w:lang w:val="uk-UA" w:eastAsia="en-GB"/>
        </w:rPr>
        <w:t xml:space="preserve"> </w:t>
      </w:r>
      <w:r w:rsidRPr="00D7206E">
        <w:rPr>
          <w:rFonts w:ascii="Times New Roman" w:eastAsia="Verdana" w:hAnsi="Times New Roman"/>
          <w:sz w:val="26"/>
          <w:szCs w:val="26"/>
          <w:lang w:val="uk-UA" w:eastAsia="en-GB"/>
        </w:rPr>
        <w:t>(12)</w:t>
      </w:r>
      <w:r w:rsidR="00CA1FD9">
        <w:rPr>
          <w:rFonts w:ascii="Times New Roman" w:eastAsia="Verdana" w:hAnsi="Times New Roman"/>
          <w:sz w:val="26"/>
          <w:szCs w:val="26"/>
          <w:lang w:val="uk-UA" w:eastAsia="en-GB"/>
        </w:rPr>
        <w:t>.</w:t>
      </w:r>
    </w:p>
    <w:p w:rsidR="00D7206E" w:rsidRPr="00D7206E" w:rsidRDefault="00D7206E" w:rsidP="00D7206E">
      <w:pPr>
        <w:pStyle w:val="a6"/>
        <w:numPr>
          <w:ilvl w:val="0"/>
          <w:numId w:val="15"/>
        </w:numPr>
        <w:ind w:firstLine="720"/>
        <w:contextualSpacing w:val="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Згідно з рекомендацією міністерства охорони здоров’я Великобританії: «У тих випадках, коли пацієнти отримують меншу дозу вакцини ніж рекомендована, вакцинацію необхідно повторити, оскільки кількість доз, які отримує пацієнт, може бути недостатньо для формування повної імунної відповіді. В оптимальному випадку, вакцинацію необхідно повторити в той же день. Якщо повторити введення вакцини в той же день неможливо, то введення живої вакцини необхідно повторити впродовж мінімального інтервалу в наступні чотири тижні після введення некоректної дози. Введення інактивованих вакцин необхідно повторити якомога швидше»</w:t>
      </w:r>
      <w:r w:rsidR="00CA1FD9">
        <w:rPr>
          <w:rFonts w:ascii="Times New Roman" w:eastAsia="Verdana" w:hAnsi="Times New Roman"/>
          <w:sz w:val="26"/>
          <w:szCs w:val="26"/>
          <w:lang w:val="uk-UA" w:eastAsia="en-GB"/>
        </w:rPr>
        <w:t xml:space="preserve"> </w:t>
      </w:r>
      <w:r w:rsidRPr="00D7206E">
        <w:rPr>
          <w:rFonts w:ascii="Times New Roman" w:eastAsia="Verdana" w:hAnsi="Times New Roman"/>
          <w:sz w:val="26"/>
          <w:szCs w:val="26"/>
          <w:lang w:val="uk-UA" w:eastAsia="en-GB"/>
        </w:rPr>
        <w:t>(13)</w:t>
      </w:r>
      <w:r w:rsidR="00CA1FD9">
        <w:rPr>
          <w:rFonts w:ascii="Times New Roman" w:eastAsia="Verdana" w:hAnsi="Times New Roman"/>
          <w:sz w:val="26"/>
          <w:szCs w:val="26"/>
          <w:lang w:val="uk-UA" w:eastAsia="en-GB"/>
        </w:rPr>
        <w:t>.</w:t>
      </w:r>
    </w:p>
    <w:p w:rsidR="00D7206E" w:rsidRPr="00D7206E" w:rsidRDefault="00D7206E" w:rsidP="00D7206E">
      <w:pPr>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Згідно з рекомендаціями В</w:t>
      </w:r>
      <w:r w:rsidR="00CA1FD9">
        <w:rPr>
          <w:rFonts w:ascii="Times New Roman" w:eastAsia="Verdana" w:hAnsi="Times New Roman"/>
          <w:sz w:val="26"/>
          <w:szCs w:val="26"/>
          <w:lang w:val="uk-UA" w:eastAsia="en-GB"/>
        </w:rPr>
        <w:t xml:space="preserve">ООЗ </w:t>
      </w:r>
      <w:r w:rsidRPr="00D7206E">
        <w:rPr>
          <w:rFonts w:ascii="Times New Roman" w:eastAsia="Verdana" w:hAnsi="Times New Roman"/>
          <w:sz w:val="26"/>
          <w:szCs w:val="26"/>
          <w:lang w:val="uk-UA" w:eastAsia="en-GB"/>
        </w:rPr>
        <w:t>від 2015 року стосовно перерваних чи відкладених схем вакцинації, для комбінованої вакцини АКДП, а також вакцин проти кору, сказу, епідемічного паротиту та вітряної віспи рекомендовано «повернутися до схеми вакцинації, не повторюючи попередню дозу, однак бустерна доза (ревакцинація) по</w:t>
      </w:r>
      <w:r w:rsidR="00CA1FD9">
        <w:rPr>
          <w:rFonts w:ascii="Times New Roman" w:eastAsia="Verdana" w:hAnsi="Times New Roman"/>
          <w:sz w:val="26"/>
          <w:szCs w:val="26"/>
          <w:lang w:val="uk-UA" w:eastAsia="en-GB"/>
        </w:rPr>
        <w:t xml:space="preserve">винна бути обов’язково введена» </w:t>
      </w:r>
      <w:r w:rsidRPr="00D7206E">
        <w:rPr>
          <w:rFonts w:ascii="Times New Roman" w:eastAsia="Verdana" w:hAnsi="Times New Roman"/>
          <w:sz w:val="26"/>
          <w:szCs w:val="26"/>
          <w:lang w:val="uk-UA" w:eastAsia="en-GB"/>
        </w:rPr>
        <w:t>(14)</w:t>
      </w:r>
      <w:r w:rsidR="00CA1FD9">
        <w:rPr>
          <w:rFonts w:ascii="Times New Roman" w:eastAsia="Verdana" w:hAnsi="Times New Roman"/>
          <w:sz w:val="26"/>
          <w:szCs w:val="26"/>
          <w:lang w:val="uk-UA" w:eastAsia="en-GB"/>
        </w:rPr>
        <w:t>.</w:t>
      </w:r>
    </w:p>
    <w:p w:rsidR="00D7206E" w:rsidRPr="00D7206E" w:rsidRDefault="00D7206E" w:rsidP="00D7206E">
      <w:pPr>
        <w:ind w:firstLine="720"/>
        <w:jc w:val="both"/>
        <w:rPr>
          <w:rFonts w:ascii="Times New Roman" w:eastAsia="Verdana" w:hAnsi="Times New Roman"/>
          <w:sz w:val="26"/>
          <w:szCs w:val="26"/>
          <w:lang w:val="uk-UA" w:eastAsia="en-GB"/>
        </w:rPr>
      </w:pPr>
    </w:p>
    <w:p w:rsidR="00D7206E" w:rsidRPr="00D7206E" w:rsidRDefault="00D7206E" w:rsidP="00D7206E">
      <w:pPr>
        <w:spacing w:after="140"/>
        <w:ind w:firstLine="720"/>
        <w:rPr>
          <w:rFonts w:ascii="Times New Roman" w:eastAsia="Verdana" w:hAnsi="Times New Roman"/>
          <w:b/>
          <w:sz w:val="26"/>
          <w:szCs w:val="26"/>
          <w:lang w:val="uk-UA" w:eastAsia="en-GB"/>
        </w:rPr>
      </w:pPr>
      <w:r w:rsidRPr="00D7206E">
        <w:rPr>
          <w:rFonts w:ascii="Times New Roman" w:eastAsia="Verdana" w:hAnsi="Times New Roman"/>
          <w:b/>
          <w:sz w:val="26"/>
          <w:szCs w:val="26"/>
          <w:lang w:val="uk-UA" w:eastAsia="en-GB"/>
        </w:rPr>
        <w:t>Інформація про потенційне передозування</w:t>
      </w:r>
    </w:p>
    <w:p w:rsidR="00D7206E" w:rsidRDefault="00D7206E" w:rsidP="00D7206E">
      <w:pPr>
        <w:ind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 xml:space="preserve">Що стосується потенційного ризику передозування у разі введення повторної дози, то згідно з наявними даними щодо передозування для </w:t>
      </w:r>
      <w:r w:rsidRPr="00D7206E">
        <w:rPr>
          <w:rFonts w:ascii="Times New Roman" w:eastAsia="Verdana" w:hAnsi="Times New Roman"/>
          <w:bCs/>
          <w:sz w:val="26"/>
          <w:szCs w:val="26"/>
          <w:lang w:val="uk-UA" w:eastAsia="en-GB"/>
        </w:rPr>
        <w:t>Інфанрикс, Інфанрикс ІПВ, Інфанрикс ІПВХІБ</w:t>
      </w:r>
      <w:r w:rsidRPr="00D7206E">
        <w:rPr>
          <w:rFonts w:ascii="Times New Roman" w:eastAsia="Verdana" w:hAnsi="Times New Roman"/>
          <w:sz w:val="26"/>
          <w:szCs w:val="26"/>
          <w:lang w:val="uk-UA" w:eastAsia="en-GB"/>
        </w:rPr>
        <w:t xml:space="preserve">, </w:t>
      </w:r>
      <w:r w:rsidRPr="00D7206E">
        <w:rPr>
          <w:rFonts w:ascii="Times New Roman" w:eastAsia="Verdana" w:hAnsi="Times New Roman"/>
          <w:bCs/>
          <w:sz w:val="26"/>
          <w:szCs w:val="26"/>
          <w:lang w:val="uk-UA" w:eastAsia="en-GB"/>
        </w:rPr>
        <w:t>Бустрикс, Бустрикс Поліо</w:t>
      </w:r>
      <w:r w:rsidRPr="00D7206E">
        <w:rPr>
          <w:rFonts w:ascii="Times New Roman" w:eastAsia="Verdana" w:hAnsi="Times New Roman"/>
          <w:sz w:val="26"/>
          <w:szCs w:val="26"/>
          <w:lang w:val="uk-UA" w:eastAsia="en-GB"/>
        </w:rPr>
        <w:t>, Твінрикс та Пріорикс (4-11), зареєстровані небажані явища були подібними до зареєстрованих при введенні стандартної дози.</w:t>
      </w:r>
    </w:p>
    <w:p w:rsidR="005C6ABA" w:rsidRPr="005C6ABA" w:rsidRDefault="005C6ABA" w:rsidP="00D7206E">
      <w:pPr>
        <w:ind w:firstLine="720"/>
        <w:jc w:val="both"/>
        <w:rPr>
          <w:rFonts w:ascii="Times New Roman" w:eastAsia="Verdana" w:hAnsi="Times New Roman"/>
          <w:b/>
          <w:sz w:val="26"/>
          <w:szCs w:val="26"/>
          <w:lang w:val="uk-UA" w:eastAsia="en-GB"/>
        </w:rPr>
      </w:pPr>
      <w:r w:rsidRPr="005C6ABA">
        <w:rPr>
          <w:rFonts w:ascii="Times New Roman" w:eastAsia="Verdana" w:hAnsi="Times New Roman"/>
          <w:b/>
          <w:sz w:val="26"/>
          <w:szCs w:val="26"/>
          <w:lang w:val="uk-UA" w:eastAsia="en-GB"/>
        </w:rPr>
        <w:t>Порядок повідомлення про побічні реакції</w:t>
      </w:r>
    </w:p>
    <w:p w:rsidR="00D7206E" w:rsidRPr="00695214" w:rsidRDefault="00695214" w:rsidP="00D7206E">
      <w:pPr>
        <w:ind w:firstLine="720"/>
        <w:jc w:val="both"/>
        <w:rPr>
          <w:rFonts w:ascii="Times New Roman" w:eastAsia="Verdana" w:hAnsi="Times New Roman"/>
          <w:sz w:val="26"/>
          <w:szCs w:val="26"/>
          <w:lang w:val="uk-UA" w:eastAsia="en-GB"/>
        </w:rPr>
      </w:pPr>
      <w:r>
        <w:rPr>
          <w:rFonts w:ascii="Times New Roman" w:eastAsia="Verdana" w:hAnsi="Times New Roman"/>
          <w:sz w:val="26"/>
          <w:szCs w:val="26"/>
          <w:lang w:val="uk-UA" w:eastAsia="en-GB"/>
        </w:rPr>
        <w:t>Про усі побічні реакції, що виникли у пацієнтів, необхідно повідомляти до Державного експертного ц</w:t>
      </w:r>
      <w:r w:rsidR="00CA1FD9">
        <w:rPr>
          <w:rFonts w:ascii="Times New Roman" w:eastAsia="Verdana" w:hAnsi="Times New Roman"/>
          <w:sz w:val="26"/>
          <w:szCs w:val="26"/>
          <w:lang w:val="uk-UA" w:eastAsia="en-GB"/>
        </w:rPr>
        <w:t xml:space="preserve">ентру МОЗ відповідно до вимог </w:t>
      </w:r>
      <w:r>
        <w:rPr>
          <w:rFonts w:ascii="Times New Roman" w:eastAsia="Verdana" w:hAnsi="Times New Roman"/>
          <w:sz w:val="26"/>
          <w:szCs w:val="26"/>
          <w:lang w:val="uk-UA" w:eastAsia="en-GB"/>
        </w:rPr>
        <w:t xml:space="preserve">пункту 8 розділу </w:t>
      </w:r>
      <w:r>
        <w:rPr>
          <w:rFonts w:ascii="Times New Roman" w:eastAsia="Verdana" w:hAnsi="Times New Roman"/>
          <w:sz w:val="26"/>
          <w:szCs w:val="26"/>
          <w:lang w:val="en-US" w:eastAsia="en-GB"/>
        </w:rPr>
        <w:t>IV</w:t>
      </w:r>
      <w:r w:rsidRPr="00695214">
        <w:rPr>
          <w:rFonts w:ascii="Times New Roman" w:eastAsia="Verdana" w:hAnsi="Times New Roman"/>
          <w:sz w:val="26"/>
          <w:szCs w:val="26"/>
          <w:lang w:val="uk-UA" w:eastAsia="en-GB"/>
        </w:rPr>
        <w:t xml:space="preserve"> Порядку здійснення фармаконагляду, затвердженого наказом Міністерства охорони здоров’я</w:t>
      </w:r>
      <w:r>
        <w:rPr>
          <w:rFonts w:ascii="Times New Roman" w:eastAsia="Verdana" w:hAnsi="Times New Roman"/>
          <w:sz w:val="26"/>
          <w:szCs w:val="26"/>
          <w:lang w:val="uk-UA" w:eastAsia="en-GB"/>
        </w:rPr>
        <w:t xml:space="preserve"> України від 27 грудня 2006 року №898, зареєстрований в Міністерстві юстиції України 19 грудня 2016 року за №1649/29779 (у редакції наказу Міністерства охорони здоров</w:t>
      </w:r>
      <w:r w:rsidRPr="00695214">
        <w:rPr>
          <w:rFonts w:ascii="Times New Roman" w:eastAsia="Verdana" w:hAnsi="Times New Roman"/>
          <w:sz w:val="26"/>
          <w:szCs w:val="26"/>
          <w:lang w:val="uk-UA" w:eastAsia="en-GB"/>
        </w:rPr>
        <w:t>’я Укра</w:t>
      </w:r>
      <w:r>
        <w:rPr>
          <w:rFonts w:ascii="Times New Roman" w:eastAsia="Verdana" w:hAnsi="Times New Roman"/>
          <w:sz w:val="26"/>
          <w:szCs w:val="26"/>
          <w:lang w:val="uk-UA" w:eastAsia="en-GB"/>
        </w:rPr>
        <w:t>їни від 26 вересня 2016 року №996).</w:t>
      </w:r>
      <w:r w:rsidRPr="00695214">
        <w:rPr>
          <w:rFonts w:ascii="Times New Roman" w:eastAsia="Verdana" w:hAnsi="Times New Roman"/>
          <w:sz w:val="26"/>
          <w:szCs w:val="26"/>
          <w:lang w:val="uk-UA" w:eastAsia="en-GB"/>
        </w:rPr>
        <w:t xml:space="preserve"> </w:t>
      </w:r>
    </w:p>
    <w:p w:rsidR="00D7206E" w:rsidRPr="00D7206E" w:rsidRDefault="00D7206E" w:rsidP="00D7206E">
      <w:pPr>
        <w:ind w:firstLine="720"/>
        <w:jc w:val="both"/>
        <w:rPr>
          <w:rFonts w:ascii="Times New Roman" w:eastAsia="Verdana" w:hAnsi="Times New Roman"/>
          <w:sz w:val="26"/>
          <w:szCs w:val="26"/>
          <w:lang w:val="uk-UA" w:eastAsia="en-GB"/>
        </w:rPr>
      </w:pPr>
      <w:r w:rsidRPr="00D7206E">
        <w:rPr>
          <w:rFonts w:ascii="Times New Roman" w:eastAsia="Verdana" w:hAnsi="Times New Roman"/>
          <w:sz w:val="26"/>
          <w:szCs w:val="26"/>
          <w:lang w:val="uk-UA" w:eastAsia="en-GB"/>
        </w:rPr>
        <w:t xml:space="preserve">GSK наголошує на важливості подання всіх скарг на </w:t>
      </w:r>
      <w:r w:rsidR="00CA1FD9">
        <w:rPr>
          <w:rFonts w:ascii="Times New Roman" w:eastAsia="Verdana" w:hAnsi="Times New Roman"/>
          <w:sz w:val="26"/>
          <w:szCs w:val="26"/>
          <w:lang w:val="uk-UA" w:eastAsia="en-GB"/>
        </w:rPr>
        <w:t>лікарські засоби та вакцини</w:t>
      </w:r>
      <w:r w:rsidRPr="00D7206E">
        <w:rPr>
          <w:rFonts w:ascii="Times New Roman" w:eastAsia="Verdana" w:hAnsi="Times New Roman"/>
          <w:sz w:val="26"/>
          <w:szCs w:val="26"/>
          <w:lang w:val="uk-UA" w:eastAsia="en-GB"/>
        </w:rPr>
        <w:t>, включаючи протікання шприців, як важливого елементу подальшої перевірки безпеки вакцин.</w:t>
      </w:r>
    </w:p>
    <w:p w:rsidR="00E962D9" w:rsidRPr="003239A5" w:rsidRDefault="00E962D9" w:rsidP="00E962D9">
      <w:pPr>
        <w:ind w:firstLine="720"/>
        <w:jc w:val="both"/>
        <w:rPr>
          <w:rFonts w:ascii="Times New Roman" w:eastAsia="Verdana" w:hAnsi="Times New Roman"/>
          <w:sz w:val="26"/>
          <w:szCs w:val="26"/>
          <w:lang w:val="uk-UA" w:eastAsia="en-GB"/>
        </w:rPr>
      </w:pPr>
      <w:r w:rsidRPr="00CE6E50">
        <w:rPr>
          <w:rFonts w:ascii="Times New Roman" w:eastAsia="Verdana" w:hAnsi="Times New Roman"/>
          <w:sz w:val="26"/>
          <w:szCs w:val="26"/>
          <w:lang w:val="uk-UA" w:eastAsia="en-GB"/>
        </w:rPr>
        <w:t>З питаннями щодо якості</w:t>
      </w:r>
      <w:r w:rsidR="00522CB2">
        <w:rPr>
          <w:rFonts w:ascii="Times New Roman" w:eastAsia="Verdana" w:hAnsi="Times New Roman"/>
          <w:sz w:val="26"/>
          <w:szCs w:val="26"/>
          <w:lang w:val="uk-UA" w:eastAsia="en-GB"/>
        </w:rPr>
        <w:t xml:space="preserve"> та </w:t>
      </w:r>
      <w:r w:rsidR="0076020A">
        <w:rPr>
          <w:rFonts w:ascii="Times New Roman" w:eastAsia="Verdana" w:hAnsi="Times New Roman"/>
          <w:sz w:val="26"/>
          <w:szCs w:val="26"/>
          <w:lang w:val="uk-UA" w:eastAsia="en-GB"/>
        </w:rPr>
        <w:t xml:space="preserve"> </w:t>
      </w:r>
      <w:r w:rsidRPr="00CE6E50">
        <w:rPr>
          <w:rFonts w:ascii="Times New Roman" w:eastAsia="Verdana" w:hAnsi="Times New Roman"/>
          <w:sz w:val="26"/>
          <w:szCs w:val="26"/>
          <w:lang w:val="uk-UA" w:eastAsia="en-GB"/>
        </w:rPr>
        <w:t>помил</w:t>
      </w:r>
      <w:r w:rsidR="00B36BCD" w:rsidRPr="00CE6E50">
        <w:rPr>
          <w:rFonts w:ascii="Times New Roman" w:eastAsia="Verdana" w:hAnsi="Times New Roman"/>
          <w:sz w:val="26"/>
          <w:szCs w:val="26"/>
          <w:lang w:val="uk-UA" w:eastAsia="en-GB"/>
        </w:rPr>
        <w:t>о</w:t>
      </w:r>
      <w:r w:rsidRPr="00CE6E50">
        <w:rPr>
          <w:rFonts w:ascii="Times New Roman" w:eastAsia="Verdana" w:hAnsi="Times New Roman"/>
          <w:sz w:val="26"/>
          <w:szCs w:val="26"/>
          <w:lang w:val="uk-UA" w:eastAsia="en-GB"/>
        </w:rPr>
        <w:t xml:space="preserve">к </w:t>
      </w:r>
      <w:r w:rsidR="00CE6E50" w:rsidRPr="00CE6E50">
        <w:rPr>
          <w:rFonts w:ascii="Times New Roman" w:eastAsia="Verdana" w:hAnsi="Times New Roman"/>
          <w:sz w:val="26"/>
          <w:szCs w:val="26"/>
          <w:lang w:val="uk-UA" w:eastAsia="en-GB"/>
        </w:rPr>
        <w:t>при</w:t>
      </w:r>
      <w:r w:rsidRPr="00CE6E50">
        <w:rPr>
          <w:rFonts w:ascii="Times New Roman" w:eastAsia="Verdana" w:hAnsi="Times New Roman"/>
          <w:sz w:val="26"/>
          <w:szCs w:val="26"/>
          <w:lang w:val="uk-UA" w:eastAsia="en-GB"/>
        </w:rPr>
        <w:t xml:space="preserve"> застосуванні</w:t>
      </w:r>
      <w:r w:rsidR="00522CB2" w:rsidRPr="00522CB2">
        <w:rPr>
          <w:rFonts w:ascii="Times New Roman" w:eastAsia="Verdana" w:hAnsi="Times New Roman"/>
          <w:sz w:val="26"/>
          <w:szCs w:val="26"/>
          <w:lang w:val="uk-UA" w:eastAsia="en-GB"/>
        </w:rPr>
        <w:t xml:space="preserve"> вакцин </w:t>
      </w:r>
      <w:r w:rsidR="00522CB2" w:rsidRPr="00522CB2">
        <w:rPr>
          <w:rFonts w:ascii="Times New Roman" w:eastAsia="Verdana" w:hAnsi="Times New Roman"/>
          <w:sz w:val="26"/>
          <w:szCs w:val="26"/>
          <w:lang w:val="en-US" w:eastAsia="en-GB"/>
        </w:rPr>
        <w:t>GSK</w:t>
      </w:r>
      <w:r w:rsidR="00522CB2">
        <w:rPr>
          <w:rFonts w:ascii="Times New Roman" w:eastAsia="Verdana" w:hAnsi="Times New Roman"/>
          <w:sz w:val="26"/>
          <w:szCs w:val="26"/>
          <w:lang w:val="uk-UA" w:eastAsia="en-GB"/>
        </w:rPr>
        <w:t xml:space="preserve">, а також </w:t>
      </w:r>
      <w:r w:rsidR="0076020A">
        <w:rPr>
          <w:rFonts w:ascii="Times New Roman" w:eastAsia="Verdana" w:hAnsi="Times New Roman"/>
          <w:sz w:val="26"/>
          <w:szCs w:val="26"/>
          <w:lang w:val="uk-UA" w:eastAsia="en-GB"/>
        </w:rPr>
        <w:t xml:space="preserve"> підозри на </w:t>
      </w:r>
      <w:r w:rsidR="00CE6E50" w:rsidRPr="00CE6E50">
        <w:rPr>
          <w:rFonts w:ascii="Times New Roman" w:eastAsia="Verdana" w:hAnsi="Times New Roman"/>
          <w:sz w:val="26"/>
          <w:szCs w:val="26"/>
          <w:lang w:val="uk-UA" w:eastAsia="en-GB"/>
        </w:rPr>
        <w:t>побічн</w:t>
      </w:r>
      <w:r w:rsidR="0076020A">
        <w:rPr>
          <w:rFonts w:ascii="Times New Roman" w:eastAsia="Verdana" w:hAnsi="Times New Roman"/>
          <w:sz w:val="26"/>
          <w:szCs w:val="26"/>
          <w:lang w:val="uk-UA" w:eastAsia="en-GB"/>
        </w:rPr>
        <w:t>і</w:t>
      </w:r>
      <w:r w:rsidR="00CE6E50" w:rsidRPr="00CE6E50">
        <w:rPr>
          <w:rFonts w:ascii="Times New Roman" w:eastAsia="Verdana" w:hAnsi="Times New Roman"/>
          <w:sz w:val="26"/>
          <w:szCs w:val="26"/>
          <w:lang w:val="uk-UA" w:eastAsia="en-GB"/>
        </w:rPr>
        <w:t xml:space="preserve"> реакці</w:t>
      </w:r>
      <w:r w:rsidR="0076020A">
        <w:rPr>
          <w:rFonts w:ascii="Times New Roman" w:eastAsia="Verdana" w:hAnsi="Times New Roman"/>
          <w:sz w:val="26"/>
          <w:szCs w:val="26"/>
          <w:lang w:val="uk-UA" w:eastAsia="en-GB"/>
        </w:rPr>
        <w:t>ї</w:t>
      </w:r>
      <w:r w:rsidR="00CE6E50" w:rsidRPr="00CE6E50">
        <w:rPr>
          <w:rFonts w:ascii="Times New Roman" w:eastAsia="Verdana" w:hAnsi="Times New Roman"/>
          <w:sz w:val="26"/>
          <w:szCs w:val="26"/>
          <w:lang w:val="uk-UA" w:eastAsia="en-GB"/>
        </w:rPr>
        <w:t xml:space="preserve"> </w:t>
      </w:r>
      <w:r w:rsidR="0076020A">
        <w:rPr>
          <w:rFonts w:ascii="Times New Roman" w:eastAsia="Verdana" w:hAnsi="Times New Roman"/>
          <w:sz w:val="26"/>
          <w:szCs w:val="26"/>
          <w:lang w:val="uk-UA" w:eastAsia="en-GB"/>
        </w:rPr>
        <w:t xml:space="preserve">та медичної інформації, що має відношення до </w:t>
      </w:r>
      <w:r w:rsidR="0076020A">
        <w:rPr>
          <w:rFonts w:ascii="Times New Roman" w:eastAsia="Verdana" w:hAnsi="Times New Roman"/>
          <w:sz w:val="26"/>
          <w:szCs w:val="26"/>
          <w:lang w:val="uk-UA" w:eastAsia="en-GB"/>
        </w:rPr>
        <w:lastRenderedPageBreak/>
        <w:t xml:space="preserve">викладеного вище, </w:t>
      </w:r>
      <w:r w:rsidRPr="00CE6E50">
        <w:rPr>
          <w:rFonts w:ascii="Times New Roman" w:eastAsia="Verdana" w:hAnsi="Times New Roman"/>
          <w:sz w:val="26"/>
          <w:szCs w:val="26"/>
          <w:lang w:val="uk-UA" w:eastAsia="en-GB"/>
        </w:rPr>
        <w:t xml:space="preserve">слід звертатися за телефоном +38 044 585-51-85, факсом +38(044)-585-51-92, або електронною поштою </w:t>
      </w:r>
      <w:hyperlink r:id="rId10" w:history="1">
        <w:r w:rsidRPr="00CE6E50">
          <w:rPr>
            <w:rFonts w:ascii="Times New Roman" w:eastAsia="Verdana" w:hAnsi="Times New Roman"/>
            <w:sz w:val="26"/>
            <w:szCs w:val="26"/>
            <w:lang w:val="uk-UA" w:eastAsia="en-GB"/>
          </w:rPr>
          <w:t>oax70065@gsk.com</w:t>
        </w:r>
      </w:hyperlink>
      <w:r w:rsidRPr="00CE6E50">
        <w:rPr>
          <w:rFonts w:ascii="Times New Roman" w:eastAsia="Verdana" w:hAnsi="Times New Roman"/>
          <w:sz w:val="26"/>
          <w:szCs w:val="26"/>
          <w:lang w:val="uk-UA" w:eastAsia="en-GB"/>
        </w:rPr>
        <w:t>).</w:t>
      </w:r>
    </w:p>
    <w:p w:rsidR="00E962D9" w:rsidRDefault="00E962D9" w:rsidP="00D7206E">
      <w:pPr>
        <w:ind w:firstLine="720"/>
        <w:jc w:val="both"/>
        <w:rPr>
          <w:rFonts w:ascii="Times New Roman" w:eastAsia="Verdana" w:hAnsi="Times New Roman"/>
          <w:sz w:val="26"/>
          <w:szCs w:val="26"/>
          <w:lang w:val="uk-UA" w:eastAsia="en-GB"/>
        </w:rPr>
      </w:pPr>
    </w:p>
    <w:p w:rsidR="00D7206E" w:rsidRPr="00D7206E" w:rsidRDefault="00D7206E" w:rsidP="00D7206E">
      <w:pPr>
        <w:ind w:firstLine="720"/>
        <w:rPr>
          <w:rFonts w:ascii="Times New Roman" w:eastAsia="Verdana" w:hAnsi="Times New Roman"/>
          <w:i/>
          <w:sz w:val="24"/>
          <w:szCs w:val="24"/>
          <w:lang w:val="uk-UA" w:eastAsia="en-GB"/>
        </w:rPr>
      </w:pPr>
    </w:p>
    <w:p w:rsidR="00D7206E" w:rsidRPr="00D7206E" w:rsidRDefault="00D7206E" w:rsidP="00D7206E">
      <w:pPr>
        <w:ind w:firstLine="720"/>
        <w:jc w:val="both"/>
        <w:rPr>
          <w:rFonts w:ascii="Times New Roman" w:hAnsi="Times New Roman"/>
          <w:b/>
          <w:i/>
          <w:color w:val="000000"/>
          <w:lang w:val="uk-UA" w:eastAsia="en-US"/>
        </w:rPr>
      </w:pPr>
      <w:r w:rsidRPr="00D7206E">
        <w:rPr>
          <w:rFonts w:ascii="Times New Roman" w:hAnsi="Times New Roman"/>
          <w:b/>
          <w:i/>
          <w:color w:val="000000"/>
          <w:lang w:val="uk-UA" w:eastAsia="en-US"/>
        </w:rPr>
        <w:t>Посилання:</w:t>
      </w:r>
    </w:p>
    <w:p w:rsidR="00D7206E" w:rsidRPr="00D7206E" w:rsidRDefault="00D7206E" w:rsidP="00D7206E">
      <w:pPr>
        <w:numPr>
          <w:ilvl w:val="0"/>
          <w:numId w:val="14"/>
        </w:numPr>
        <w:ind w:hanging="294"/>
        <w:contextualSpacing/>
        <w:jc w:val="both"/>
        <w:rPr>
          <w:rFonts w:ascii="Times New Roman" w:hAnsi="Times New Roman"/>
          <w:color w:val="000000"/>
          <w:lang w:val="uk-UA" w:eastAsia="en-US"/>
        </w:rPr>
      </w:pPr>
      <w:r w:rsidRPr="00D7206E">
        <w:rPr>
          <w:rFonts w:ascii="Times New Roman" w:hAnsi="Times New Roman"/>
          <w:color w:val="000000"/>
          <w:lang w:val="uk-UA" w:eastAsia="en-US"/>
        </w:rPr>
        <w:t>DoFs 2016N286147_00, 2016N286148_00  and 2016N286149_00 GSK data on file.</w:t>
      </w:r>
    </w:p>
    <w:p w:rsidR="00D7206E" w:rsidRPr="00D7206E" w:rsidRDefault="00D7206E" w:rsidP="00D7206E">
      <w:pPr>
        <w:numPr>
          <w:ilvl w:val="0"/>
          <w:numId w:val="14"/>
        </w:numPr>
        <w:ind w:hanging="294"/>
        <w:contextualSpacing/>
        <w:jc w:val="both"/>
        <w:rPr>
          <w:rFonts w:ascii="Times New Roman" w:hAnsi="Times New Roman"/>
          <w:color w:val="000000"/>
          <w:lang w:val="uk-UA" w:eastAsia="en-US"/>
        </w:rPr>
      </w:pPr>
      <w:r w:rsidRPr="00D7206E">
        <w:rPr>
          <w:rFonts w:ascii="Times New Roman" w:hAnsi="Times New Roman"/>
          <w:color w:val="000000"/>
          <w:lang w:val="uk-UA" w:eastAsia="en-US"/>
        </w:rPr>
        <w:t>Innis B, Snitbhan R, Kunasol P et al., J. Protection Against Hepatitis A by an Inactivated Vaccine JAMA. 1994;271(17):1328-1334.</w:t>
      </w:r>
    </w:p>
    <w:p w:rsidR="00D7206E" w:rsidRPr="00D7206E" w:rsidRDefault="00D7206E" w:rsidP="00D7206E">
      <w:pPr>
        <w:numPr>
          <w:ilvl w:val="0"/>
          <w:numId w:val="14"/>
        </w:numPr>
        <w:ind w:hanging="294"/>
        <w:contextualSpacing/>
        <w:jc w:val="both"/>
        <w:rPr>
          <w:rFonts w:ascii="Times New Roman" w:hAnsi="Times New Roman"/>
          <w:color w:val="000000"/>
          <w:lang w:val="uk-UA" w:eastAsia="en-US"/>
        </w:rPr>
      </w:pPr>
      <w:r w:rsidRPr="00D7206E">
        <w:rPr>
          <w:rFonts w:ascii="Times New Roman" w:hAnsi="Times New Roman"/>
          <w:color w:val="000000"/>
          <w:lang w:val="uk-UA" w:eastAsia="en-US"/>
        </w:rPr>
        <w:t>Van Damme P, Van Herck K. A review of the efficacy, immunogenicity and tolerability of a combined hepatitis A and B vaccine, Expert Rev.</w:t>
      </w:r>
    </w:p>
    <w:p w:rsidR="00D7206E" w:rsidRPr="00D7206E" w:rsidRDefault="00D7206E" w:rsidP="00D7206E">
      <w:pPr>
        <w:numPr>
          <w:ilvl w:val="0"/>
          <w:numId w:val="14"/>
        </w:numPr>
        <w:spacing w:after="240"/>
        <w:ind w:hanging="294"/>
        <w:contextualSpacing/>
        <w:jc w:val="both"/>
        <w:rPr>
          <w:rFonts w:ascii="Times New Roman" w:hAnsi="Times New Roman"/>
          <w:color w:val="000000"/>
          <w:lang w:val="uk-UA" w:eastAsia="en-US"/>
        </w:rPr>
      </w:pPr>
      <w:r w:rsidRPr="00D7206E">
        <w:rPr>
          <w:rFonts w:ascii="Times New Roman" w:hAnsi="Times New Roman"/>
          <w:lang w:val="uk-UA" w:eastAsia="en-US"/>
        </w:rPr>
        <w:t>GDS Infanrix™-IPV+Hib version 012.</w:t>
      </w:r>
    </w:p>
    <w:p w:rsidR="00D7206E" w:rsidRPr="00D7206E" w:rsidRDefault="00D7206E" w:rsidP="00D7206E">
      <w:pPr>
        <w:numPr>
          <w:ilvl w:val="0"/>
          <w:numId w:val="14"/>
        </w:numPr>
        <w:spacing w:after="240"/>
        <w:ind w:hanging="294"/>
        <w:contextualSpacing/>
        <w:jc w:val="both"/>
        <w:rPr>
          <w:rFonts w:ascii="Times New Roman" w:hAnsi="Times New Roman"/>
          <w:color w:val="000000"/>
          <w:lang w:val="uk-UA" w:eastAsia="en-US"/>
        </w:rPr>
      </w:pPr>
      <w:r w:rsidRPr="00D7206E">
        <w:rPr>
          <w:rFonts w:ascii="Times New Roman" w:hAnsi="Times New Roman"/>
          <w:lang w:val="uk-UA" w:eastAsia="en-US"/>
        </w:rPr>
        <w:t>GDS Infanrix™ HB-IPV + Hib version 015</w:t>
      </w:r>
    </w:p>
    <w:p w:rsidR="00D7206E" w:rsidRPr="00D7206E" w:rsidRDefault="00D7206E" w:rsidP="00D7206E">
      <w:pPr>
        <w:numPr>
          <w:ilvl w:val="0"/>
          <w:numId w:val="14"/>
        </w:numPr>
        <w:spacing w:after="240"/>
        <w:ind w:hanging="294"/>
        <w:contextualSpacing/>
        <w:jc w:val="both"/>
        <w:rPr>
          <w:rFonts w:ascii="Times New Roman" w:hAnsi="Times New Roman"/>
          <w:color w:val="000000"/>
          <w:u w:val="single"/>
          <w:lang w:val="uk-UA" w:eastAsia="en-US"/>
        </w:rPr>
      </w:pPr>
      <w:r w:rsidRPr="00D7206E">
        <w:rPr>
          <w:rFonts w:ascii="Times New Roman" w:hAnsi="Times New Roman"/>
          <w:color w:val="0000FF"/>
          <w:u w:val="single"/>
          <w:lang w:val="uk-UA" w:eastAsia="en-US"/>
        </w:rPr>
        <w:t>(</w:t>
      </w:r>
      <w:hyperlink r:id="rId11" w:history="1">
        <w:r w:rsidRPr="00D7206E">
          <w:rPr>
            <w:rFonts w:ascii="Times New Roman" w:hAnsi="Times New Roman"/>
            <w:color w:val="0000FF"/>
            <w:u w:val="single"/>
            <w:lang w:val="uk-UA" w:eastAsia="en-US"/>
          </w:rPr>
          <w:t>https://www.medicines.org.uk/emc/medicine/14555</w:t>
        </w:r>
      </w:hyperlink>
      <w:r w:rsidRPr="00D7206E">
        <w:rPr>
          <w:rFonts w:ascii="Times New Roman" w:hAnsi="Times New Roman"/>
          <w:color w:val="0000FF"/>
          <w:u w:val="single"/>
          <w:lang w:val="uk-UA" w:eastAsia="en-US"/>
        </w:rPr>
        <w:t>)</w:t>
      </w:r>
    </w:p>
    <w:p w:rsidR="00D7206E" w:rsidRPr="00D7206E" w:rsidRDefault="00D7206E" w:rsidP="00D7206E">
      <w:pPr>
        <w:numPr>
          <w:ilvl w:val="0"/>
          <w:numId w:val="14"/>
        </w:numPr>
        <w:spacing w:after="240"/>
        <w:ind w:hanging="294"/>
        <w:contextualSpacing/>
        <w:jc w:val="both"/>
        <w:rPr>
          <w:rFonts w:ascii="Times New Roman" w:hAnsi="Times New Roman"/>
          <w:color w:val="000000"/>
          <w:lang w:val="uk-UA" w:eastAsia="en-US"/>
        </w:rPr>
      </w:pPr>
      <w:r w:rsidRPr="00D7206E">
        <w:rPr>
          <w:rFonts w:ascii="Times New Roman" w:hAnsi="Times New Roman"/>
          <w:lang w:val="uk-UA" w:eastAsia="en-US"/>
        </w:rPr>
        <w:t>GDS Boostrix™ Version 009.</w:t>
      </w:r>
    </w:p>
    <w:p w:rsidR="00D7206E" w:rsidRPr="00D7206E" w:rsidRDefault="00D7206E" w:rsidP="00D7206E">
      <w:pPr>
        <w:numPr>
          <w:ilvl w:val="0"/>
          <w:numId w:val="14"/>
        </w:numPr>
        <w:spacing w:after="240"/>
        <w:ind w:hanging="294"/>
        <w:contextualSpacing/>
        <w:jc w:val="both"/>
        <w:rPr>
          <w:rFonts w:ascii="Times New Roman" w:hAnsi="Times New Roman"/>
          <w:color w:val="000000"/>
          <w:lang w:val="uk-UA" w:eastAsia="en-US"/>
        </w:rPr>
      </w:pPr>
      <w:r w:rsidRPr="00D7206E">
        <w:rPr>
          <w:rFonts w:ascii="Times New Roman" w:hAnsi="Times New Roman"/>
          <w:lang w:val="uk-UA" w:eastAsia="en-US"/>
        </w:rPr>
        <w:t xml:space="preserve">Boostrix-IPV SmPC- </w:t>
      </w:r>
      <w:hyperlink r:id="rId12" w:history="1">
        <w:r w:rsidRPr="00D7206E">
          <w:rPr>
            <w:rFonts w:ascii="Times New Roman" w:hAnsi="Times New Roman"/>
            <w:color w:val="0000FF"/>
            <w:u w:val="single"/>
            <w:lang w:val="uk-UA" w:eastAsia="en-US"/>
          </w:rPr>
          <w:t>https://www.medicines.org.uk/emc/medicine/28679</w:t>
        </w:r>
      </w:hyperlink>
    </w:p>
    <w:p w:rsidR="00D7206E" w:rsidRPr="00D7206E" w:rsidRDefault="00D7206E" w:rsidP="00D7206E">
      <w:pPr>
        <w:numPr>
          <w:ilvl w:val="0"/>
          <w:numId w:val="14"/>
        </w:numPr>
        <w:spacing w:after="240"/>
        <w:ind w:hanging="294"/>
        <w:contextualSpacing/>
        <w:jc w:val="both"/>
        <w:rPr>
          <w:rFonts w:ascii="Times New Roman" w:hAnsi="Times New Roman"/>
          <w:color w:val="000000"/>
          <w:lang w:val="uk-UA" w:eastAsia="en-US"/>
        </w:rPr>
      </w:pPr>
      <w:r w:rsidRPr="00D7206E">
        <w:rPr>
          <w:rFonts w:ascii="Times New Roman" w:hAnsi="Times New Roman"/>
          <w:lang w:val="uk-UA" w:eastAsia="en-US"/>
        </w:rPr>
        <w:t xml:space="preserve"> </w:t>
      </w:r>
      <w:hyperlink r:id="rId13" w:history="1">
        <w:r w:rsidRPr="00D7206E">
          <w:rPr>
            <w:rFonts w:ascii="Times New Roman" w:hAnsi="Times New Roman"/>
            <w:color w:val="0000FF"/>
            <w:u w:val="single"/>
            <w:lang w:val="uk-UA" w:eastAsia="en-US"/>
          </w:rPr>
          <w:t>http://www.ema.europa.eu/docs/en_GB/document_library/EPAR_-_Product_Information/human/000129/WC500044248.pdf</w:t>
        </w:r>
      </w:hyperlink>
      <w:r w:rsidRPr="00D7206E">
        <w:rPr>
          <w:rFonts w:ascii="Times New Roman" w:hAnsi="Times New Roman"/>
          <w:lang w:val="uk-UA" w:eastAsia="en-US"/>
        </w:rPr>
        <w:t xml:space="preserve">   Twinrix European SPC, Last accessed 06/Feb/2017</w:t>
      </w:r>
    </w:p>
    <w:p w:rsidR="00D7206E" w:rsidRPr="00D7206E" w:rsidRDefault="00D7206E" w:rsidP="00D7206E">
      <w:pPr>
        <w:numPr>
          <w:ilvl w:val="0"/>
          <w:numId w:val="14"/>
        </w:numPr>
        <w:spacing w:after="240"/>
        <w:ind w:hanging="294"/>
        <w:contextualSpacing/>
        <w:jc w:val="both"/>
        <w:rPr>
          <w:rFonts w:ascii="Times New Roman" w:hAnsi="Times New Roman"/>
          <w:color w:val="000000"/>
          <w:lang w:val="uk-UA" w:eastAsia="en-US"/>
        </w:rPr>
      </w:pPr>
      <w:r w:rsidRPr="00D7206E">
        <w:rPr>
          <w:rFonts w:ascii="Times New Roman" w:hAnsi="Times New Roman"/>
          <w:lang w:val="uk-UA" w:eastAsia="en-US"/>
        </w:rPr>
        <w:t>Priorix™ GDS version 013</w:t>
      </w:r>
    </w:p>
    <w:p w:rsidR="00D7206E" w:rsidRPr="00D7206E" w:rsidRDefault="0058454B" w:rsidP="00D7206E">
      <w:pPr>
        <w:numPr>
          <w:ilvl w:val="0"/>
          <w:numId w:val="14"/>
        </w:numPr>
        <w:spacing w:after="240"/>
        <w:ind w:left="709" w:hanging="283"/>
        <w:contextualSpacing/>
        <w:jc w:val="both"/>
        <w:rPr>
          <w:rFonts w:ascii="Times New Roman" w:hAnsi="Times New Roman"/>
          <w:color w:val="000000"/>
          <w:lang w:val="uk-UA" w:eastAsia="en-US"/>
        </w:rPr>
      </w:pPr>
      <w:hyperlink r:id="rId14" w:history="1">
        <w:r w:rsidR="00D7206E" w:rsidRPr="00D7206E">
          <w:rPr>
            <w:rFonts w:ascii="Times New Roman" w:hAnsi="Times New Roman"/>
            <w:color w:val="0000FF"/>
            <w:lang w:val="uk-UA" w:eastAsia="en-US"/>
          </w:rPr>
          <w:t>https://www.medicines.org.uk/emc/medicine/9787</w:t>
        </w:r>
      </w:hyperlink>
    </w:p>
    <w:p w:rsidR="00D7206E" w:rsidRPr="00D7206E" w:rsidRDefault="00D7206E" w:rsidP="00D7206E">
      <w:pPr>
        <w:numPr>
          <w:ilvl w:val="0"/>
          <w:numId w:val="14"/>
        </w:numPr>
        <w:spacing w:after="240"/>
        <w:ind w:left="709" w:hanging="283"/>
        <w:contextualSpacing/>
        <w:jc w:val="both"/>
        <w:rPr>
          <w:rFonts w:ascii="Times New Roman" w:hAnsi="Times New Roman"/>
          <w:color w:val="000000"/>
          <w:lang w:val="uk-UA" w:eastAsia="en-US"/>
        </w:rPr>
      </w:pPr>
      <w:r w:rsidRPr="00D7206E">
        <w:rPr>
          <w:rFonts w:ascii="Times New Roman" w:hAnsi="Times New Roman"/>
          <w:lang w:val="uk-UA" w:eastAsia="en-US"/>
        </w:rPr>
        <w:t xml:space="preserve">CDC, accessible at: </w:t>
      </w:r>
      <w:hyperlink r:id="rId15" w:anchor="nonstandard" w:history="1">
        <w:r w:rsidRPr="00D7206E">
          <w:rPr>
            <w:rFonts w:ascii="Times New Roman" w:hAnsi="Times New Roman"/>
            <w:color w:val="0000FF"/>
            <w:lang w:val="uk-UA" w:eastAsia="en-US"/>
          </w:rPr>
          <w:t>http://www.cdc.gov/vaccines/pubs/pinkbook/vac-admin.html#nonstandard</w:t>
        </w:r>
      </w:hyperlink>
      <w:r w:rsidRPr="00D7206E">
        <w:rPr>
          <w:rFonts w:ascii="Times New Roman" w:hAnsi="Times New Roman"/>
          <w:color w:val="0000FF"/>
          <w:lang w:val="uk-UA" w:eastAsia="en-US"/>
        </w:rPr>
        <w:t xml:space="preserve">  </w:t>
      </w:r>
      <w:r w:rsidRPr="00D7206E">
        <w:rPr>
          <w:rFonts w:ascii="Times New Roman" w:hAnsi="Times New Roman"/>
          <w:lang w:val="uk-UA" w:eastAsia="en-US"/>
        </w:rPr>
        <w:t>Last accessed: 06/Feb/2017.</w:t>
      </w:r>
    </w:p>
    <w:p w:rsidR="00D7206E" w:rsidRPr="00D7206E" w:rsidRDefault="00D7206E" w:rsidP="00D7206E">
      <w:pPr>
        <w:numPr>
          <w:ilvl w:val="0"/>
          <w:numId w:val="14"/>
        </w:numPr>
        <w:spacing w:after="240"/>
        <w:ind w:left="709" w:hanging="283"/>
        <w:contextualSpacing/>
        <w:jc w:val="both"/>
        <w:rPr>
          <w:rFonts w:ascii="Times New Roman" w:hAnsi="Times New Roman"/>
          <w:color w:val="000000"/>
          <w:lang w:val="uk-UA" w:eastAsia="en-US"/>
        </w:rPr>
      </w:pPr>
      <w:r w:rsidRPr="00D7206E">
        <w:rPr>
          <w:rFonts w:ascii="Times New Roman" w:hAnsi="Times New Roman"/>
          <w:color w:val="000000"/>
          <w:lang w:val="uk-UA" w:eastAsia="en-US"/>
        </w:rPr>
        <w:t xml:space="preserve">UK Public Health England: Vaccine incident guidance : Actions to take in response to vaccine errors. March 2012  </w:t>
      </w:r>
      <w:r w:rsidRPr="00D7206E">
        <w:rPr>
          <w:rFonts w:ascii="Times New Roman" w:hAnsi="Times New Roman"/>
          <w:color w:val="0000FF"/>
          <w:lang w:val="uk-UA" w:eastAsia="en-US"/>
        </w:rPr>
        <w:t>https://www.gov.uk/government/uploads/system/uploads/attachment_data/file/326417/Vaccine_Incident_Guidance.pdf</w:t>
      </w:r>
      <w:r w:rsidRPr="00D7206E">
        <w:rPr>
          <w:rFonts w:ascii="Times New Roman" w:hAnsi="Times New Roman"/>
          <w:color w:val="000000"/>
          <w:lang w:val="uk-UA" w:eastAsia="en-US"/>
        </w:rPr>
        <w:t xml:space="preserve"> Last accessed: 06/Feb/2017.</w:t>
      </w:r>
    </w:p>
    <w:p w:rsidR="007A0C24" w:rsidRDefault="00D7206E" w:rsidP="00356818">
      <w:pPr>
        <w:numPr>
          <w:ilvl w:val="0"/>
          <w:numId w:val="14"/>
        </w:numPr>
        <w:spacing w:after="240"/>
        <w:ind w:hanging="294"/>
        <w:contextualSpacing/>
        <w:jc w:val="both"/>
        <w:rPr>
          <w:rFonts w:ascii="Times New Roman" w:hAnsi="Times New Roman"/>
          <w:color w:val="000000"/>
          <w:lang w:val="uk-UA" w:eastAsia="en-US"/>
        </w:rPr>
      </w:pPr>
      <w:r w:rsidRPr="00D7206E">
        <w:rPr>
          <w:rFonts w:ascii="Times New Roman" w:hAnsi="Times New Roman"/>
          <w:color w:val="000000"/>
          <w:lang w:val="uk-UA" w:eastAsia="en-US"/>
        </w:rPr>
        <w:t xml:space="preserve">WHO recommendations for interrupted or delayed immunization schedules – summary of WHO position papers, update 27 February 2015 accessible: </w:t>
      </w:r>
      <w:r w:rsidRPr="00D7206E">
        <w:rPr>
          <w:rFonts w:ascii="Times New Roman" w:hAnsi="Times New Roman"/>
          <w:color w:val="0000FF"/>
          <w:lang w:val="uk-UA" w:eastAsia="en-US"/>
        </w:rPr>
        <w:t>http://www.who.int/immunization/policy/Immunization_routine_table3.pdf?ua=1 Last accessed:</w:t>
      </w:r>
      <w:r w:rsidRPr="00D7206E">
        <w:rPr>
          <w:rFonts w:ascii="Times New Roman" w:hAnsi="Times New Roman"/>
          <w:color w:val="000000"/>
          <w:lang w:val="uk-UA" w:eastAsia="en-US"/>
        </w:rPr>
        <w:t xml:space="preserve"> 06/Feb/2017</w:t>
      </w:r>
    </w:p>
    <w:p w:rsidR="007A0C24" w:rsidRDefault="007A0C24" w:rsidP="007A0C24">
      <w:pPr>
        <w:spacing w:after="240"/>
        <w:ind w:left="426"/>
        <w:contextualSpacing/>
        <w:jc w:val="both"/>
        <w:rPr>
          <w:rFonts w:ascii="Times New Roman" w:hAnsi="Times New Roman"/>
          <w:color w:val="000000"/>
          <w:lang w:val="uk-UA" w:eastAsia="en-US"/>
        </w:rPr>
      </w:pPr>
    </w:p>
    <w:p w:rsidR="007A0C24" w:rsidRDefault="007A0C24" w:rsidP="007A0C24">
      <w:pPr>
        <w:spacing w:after="240"/>
        <w:ind w:left="426"/>
        <w:contextualSpacing/>
        <w:jc w:val="both"/>
        <w:rPr>
          <w:rFonts w:ascii="Times New Roman" w:hAnsi="Times New Roman"/>
          <w:color w:val="000000"/>
          <w:lang w:val="uk-UA" w:eastAsia="en-US"/>
        </w:rPr>
      </w:pPr>
    </w:p>
    <w:p w:rsidR="00356818" w:rsidRPr="007A0C24" w:rsidRDefault="007A0C24" w:rsidP="007A0C24">
      <w:pPr>
        <w:spacing w:after="240"/>
        <w:contextualSpacing/>
        <w:jc w:val="both"/>
        <w:rPr>
          <w:rFonts w:ascii="Times New Roman" w:hAnsi="Times New Roman"/>
          <w:color w:val="000000"/>
          <w:lang w:val="uk-UA" w:eastAsia="en-US"/>
        </w:rPr>
      </w:pPr>
      <w:r>
        <w:rPr>
          <w:rFonts w:ascii="Times New Roman" w:hAnsi="Times New Roman"/>
          <w:b/>
          <w:sz w:val="28"/>
          <w:lang w:val="uk-UA"/>
        </w:rPr>
        <w:t>З п</w:t>
      </w:r>
      <w:r w:rsidR="00356818" w:rsidRPr="00695214">
        <w:rPr>
          <w:rFonts w:ascii="Times New Roman" w:hAnsi="Times New Roman"/>
          <w:b/>
          <w:sz w:val="28"/>
          <w:lang w:val="ru-RU"/>
        </w:rPr>
        <w:t>овагою,</w:t>
      </w:r>
    </w:p>
    <w:p w:rsidR="00356818" w:rsidRPr="00D7206E" w:rsidRDefault="00356818" w:rsidP="00356818">
      <w:pPr>
        <w:pStyle w:val="a3"/>
        <w:rPr>
          <w:b/>
          <w:sz w:val="28"/>
        </w:rPr>
      </w:pPr>
      <w:r w:rsidRPr="00D7206E">
        <w:rPr>
          <w:b/>
          <w:sz w:val="28"/>
        </w:rPr>
        <w:t xml:space="preserve">Регіональний менеджер з фармаконагляду </w:t>
      </w:r>
    </w:p>
    <w:p w:rsidR="00356818" w:rsidRPr="00D7206E" w:rsidRDefault="00356818" w:rsidP="00356818">
      <w:pPr>
        <w:pStyle w:val="a3"/>
        <w:rPr>
          <w:b/>
          <w:sz w:val="28"/>
        </w:rPr>
      </w:pPr>
      <w:r w:rsidRPr="00D7206E">
        <w:rPr>
          <w:b/>
          <w:sz w:val="28"/>
        </w:rPr>
        <w:t>ГСК Фармасьютікалс Україна                                 ______________________</w:t>
      </w:r>
    </w:p>
    <w:p w:rsidR="00356818" w:rsidRPr="00D7206E" w:rsidRDefault="00356818" w:rsidP="00356818">
      <w:pPr>
        <w:pStyle w:val="a3"/>
        <w:jc w:val="center"/>
        <w:rPr>
          <w:b/>
          <w:sz w:val="28"/>
        </w:rPr>
      </w:pPr>
      <w:r w:rsidRPr="00D7206E">
        <w:rPr>
          <w:b/>
          <w:sz w:val="28"/>
        </w:rPr>
        <w:t xml:space="preserve">                                                                                         Інна Лапчинська                                    </w:t>
      </w:r>
    </w:p>
    <w:sectPr w:rsidR="00356818" w:rsidRPr="00D7206E" w:rsidSect="007A0C24">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54B" w:rsidRDefault="0058454B" w:rsidP="00356818">
      <w:r>
        <w:separator/>
      </w:r>
    </w:p>
  </w:endnote>
  <w:endnote w:type="continuationSeparator" w:id="0">
    <w:p w:rsidR="0058454B" w:rsidRDefault="0058454B" w:rsidP="0035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54B" w:rsidRDefault="0058454B" w:rsidP="00356818">
      <w:r>
        <w:separator/>
      </w:r>
    </w:p>
  </w:footnote>
  <w:footnote w:type="continuationSeparator" w:id="0">
    <w:p w:rsidR="0058454B" w:rsidRDefault="0058454B" w:rsidP="00356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4DBD"/>
    <w:multiLevelType w:val="singleLevel"/>
    <w:tmpl w:val="2398F2A6"/>
    <w:lvl w:ilvl="0">
      <w:start w:val="35"/>
      <w:numFmt w:val="bullet"/>
      <w:lvlText w:val="-"/>
      <w:lvlJc w:val="left"/>
      <w:pPr>
        <w:tabs>
          <w:tab w:val="num" w:pos="360"/>
        </w:tabs>
        <w:ind w:left="360" w:hanging="360"/>
      </w:pPr>
      <w:rPr>
        <w:rFonts w:hint="default"/>
      </w:rPr>
    </w:lvl>
  </w:abstractNum>
  <w:abstractNum w:abstractNumId="1">
    <w:nsid w:val="0AFF1113"/>
    <w:multiLevelType w:val="hybridMultilevel"/>
    <w:tmpl w:val="5CCA0B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F406C8"/>
    <w:multiLevelType w:val="hybridMultilevel"/>
    <w:tmpl w:val="94C6D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563B37"/>
    <w:multiLevelType w:val="hybridMultilevel"/>
    <w:tmpl w:val="2BD03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316C6D"/>
    <w:multiLevelType w:val="hybridMultilevel"/>
    <w:tmpl w:val="6666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70E0E"/>
    <w:multiLevelType w:val="hybridMultilevel"/>
    <w:tmpl w:val="AFBE84A8"/>
    <w:lvl w:ilvl="0" w:tplc="505A00B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28DA61E0"/>
    <w:multiLevelType w:val="hybridMultilevel"/>
    <w:tmpl w:val="1CB4A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2A29B0"/>
    <w:multiLevelType w:val="singleLevel"/>
    <w:tmpl w:val="05C6F80A"/>
    <w:lvl w:ilvl="0">
      <w:numFmt w:val="bullet"/>
      <w:lvlText w:val="-"/>
      <w:lvlJc w:val="left"/>
      <w:pPr>
        <w:tabs>
          <w:tab w:val="num" w:pos="444"/>
        </w:tabs>
        <w:ind w:left="444" w:hanging="444"/>
      </w:pPr>
      <w:rPr>
        <w:rFonts w:hint="default"/>
      </w:rPr>
    </w:lvl>
  </w:abstractNum>
  <w:abstractNum w:abstractNumId="8">
    <w:nsid w:val="33D53904"/>
    <w:multiLevelType w:val="hybridMultilevel"/>
    <w:tmpl w:val="1E9495EA"/>
    <w:lvl w:ilvl="0" w:tplc="578E5F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C64C92"/>
    <w:multiLevelType w:val="hybridMultilevel"/>
    <w:tmpl w:val="F914FAF8"/>
    <w:lvl w:ilvl="0" w:tplc="99B40322">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680A67"/>
    <w:multiLevelType w:val="hybridMultilevel"/>
    <w:tmpl w:val="1B18AF8E"/>
    <w:lvl w:ilvl="0" w:tplc="3E04963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4ABE1364"/>
    <w:multiLevelType w:val="hybridMultilevel"/>
    <w:tmpl w:val="09CE6B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0E4416"/>
    <w:multiLevelType w:val="hybridMultilevel"/>
    <w:tmpl w:val="61D472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9610573"/>
    <w:multiLevelType w:val="hybridMultilevel"/>
    <w:tmpl w:val="7ECE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07417E"/>
    <w:multiLevelType w:val="hybridMultilevel"/>
    <w:tmpl w:val="414E9FD6"/>
    <w:lvl w:ilvl="0" w:tplc="3BDE2CF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2"/>
  </w:num>
  <w:num w:numId="4">
    <w:abstractNumId w:val="14"/>
  </w:num>
  <w:num w:numId="5">
    <w:abstractNumId w:val="10"/>
  </w:num>
  <w:num w:numId="6">
    <w:abstractNumId w:val="9"/>
  </w:num>
  <w:num w:numId="7">
    <w:abstractNumId w:val="7"/>
  </w:num>
  <w:num w:numId="8">
    <w:abstractNumId w:val="8"/>
  </w:num>
  <w:num w:numId="9">
    <w:abstractNumId w:val="0"/>
  </w:num>
  <w:num w:numId="10">
    <w:abstractNumId w:val="13"/>
  </w:num>
  <w:num w:numId="11">
    <w:abstractNumId w:val="2"/>
  </w:num>
  <w:num w:numId="12">
    <w:abstractNumId w:val="3"/>
  </w:num>
  <w:num w:numId="13">
    <w:abstractNumId w:val="4"/>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55"/>
    <w:rsid w:val="00000676"/>
    <w:rsid w:val="00025235"/>
    <w:rsid w:val="000256E4"/>
    <w:rsid w:val="00025FCC"/>
    <w:rsid w:val="00034BB7"/>
    <w:rsid w:val="00036C54"/>
    <w:rsid w:val="00036C7B"/>
    <w:rsid w:val="000432F8"/>
    <w:rsid w:val="00060941"/>
    <w:rsid w:val="00066DE8"/>
    <w:rsid w:val="0007276D"/>
    <w:rsid w:val="00072ED0"/>
    <w:rsid w:val="0007504C"/>
    <w:rsid w:val="00077510"/>
    <w:rsid w:val="000856DA"/>
    <w:rsid w:val="00086D50"/>
    <w:rsid w:val="000A230E"/>
    <w:rsid w:val="000A26B1"/>
    <w:rsid w:val="000B2D63"/>
    <w:rsid w:val="000C482C"/>
    <w:rsid w:val="000D6AA5"/>
    <w:rsid w:val="000E4F1F"/>
    <w:rsid w:val="000F05FE"/>
    <w:rsid w:val="000F6DB3"/>
    <w:rsid w:val="00114A2D"/>
    <w:rsid w:val="001213E6"/>
    <w:rsid w:val="00125C24"/>
    <w:rsid w:val="0013660B"/>
    <w:rsid w:val="00142B89"/>
    <w:rsid w:val="00144405"/>
    <w:rsid w:val="00144AD0"/>
    <w:rsid w:val="00160103"/>
    <w:rsid w:val="001613C6"/>
    <w:rsid w:val="00164C2C"/>
    <w:rsid w:val="0016687B"/>
    <w:rsid w:val="00177215"/>
    <w:rsid w:val="0019290B"/>
    <w:rsid w:val="0019311C"/>
    <w:rsid w:val="001A6401"/>
    <w:rsid w:val="001B384A"/>
    <w:rsid w:val="001B483A"/>
    <w:rsid w:val="001C535B"/>
    <w:rsid w:val="001D03B6"/>
    <w:rsid w:val="001E5076"/>
    <w:rsid w:val="001E683C"/>
    <w:rsid w:val="001F2AE7"/>
    <w:rsid w:val="001F3120"/>
    <w:rsid w:val="00214282"/>
    <w:rsid w:val="0021646F"/>
    <w:rsid w:val="00224F85"/>
    <w:rsid w:val="00233378"/>
    <w:rsid w:val="002366D8"/>
    <w:rsid w:val="0023789F"/>
    <w:rsid w:val="00240851"/>
    <w:rsid w:val="002409DD"/>
    <w:rsid w:val="00256226"/>
    <w:rsid w:val="002643BB"/>
    <w:rsid w:val="00276D9A"/>
    <w:rsid w:val="002815C3"/>
    <w:rsid w:val="002A44E3"/>
    <w:rsid w:val="002B4552"/>
    <w:rsid w:val="002B5FF8"/>
    <w:rsid w:val="002C0883"/>
    <w:rsid w:val="002D53AF"/>
    <w:rsid w:val="002D56B3"/>
    <w:rsid w:val="002E3658"/>
    <w:rsid w:val="002F0765"/>
    <w:rsid w:val="002F1FC4"/>
    <w:rsid w:val="00302803"/>
    <w:rsid w:val="00312F31"/>
    <w:rsid w:val="003139F4"/>
    <w:rsid w:val="00317C1D"/>
    <w:rsid w:val="00320834"/>
    <w:rsid w:val="00321724"/>
    <w:rsid w:val="003239A5"/>
    <w:rsid w:val="00332F77"/>
    <w:rsid w:val="00353917"/>
    <w:rsid w:val="00356818"/>
    <w:rsid w:val="00360BE1"/>
    <w:rsid w:val="0037090F"/>
    <w:rsid w:val="00377814"/>
    <w:rsid w:val="00383184"/>
    <w:rsid w:val="003A160B"/>
    <w:rsid w:val="003A2E6E"/>
    <w:rsid w:val="003A4FEA"/>
    <w:rsid w:val="003A7CF6"/>
    <w:rsid w:val="003B0689"/>
    <w:rsid w:val="003E5164"/>
    <w:rsid w:val="003F0852"/>
    <w:rsid w:val="003F0DDF"/>
    <w:rsid w:val="00401037"/>
    <w:rsid w:val="00404C08"/>
    <w:rsid w:val="0042524C"/>
    <w:rsid w:val="004259E9"/>
    <w:rsid w:val="00426D0C"/>
    <w:rsid w:val="00426FAE"/>
    <w:rsid w:val="00447CF3"/>
    <w:rsid w:val="00460009"/>
    <w:rsid w:val="00462D24"/>
    <w:rsid w:val="0047466A"/>
    <w:rsid w:val="00476048"/>
    <w:rsid w:val="00477086"/>
    <w:rsid w:val="00480706"/>
    <w:rsid w:val="00482A6A"/>
    <w:rsid w:val="00482FB5"/>
    <w:rsid w:val="004B2D12"/>
    <w:rsid w:val="004B316E"/>
    <w:rsid w:val="004C0D60"/>
    <w:rsid w:val="004C434E"/>
    <w:rsid w:val="004C7C6A"/>
    <w:rsid w:val="004D214A"/>
    <w:rsid w:val="004F3303"/>
    <w:rsid w:val="00504DAC"/>
    <w:rsid w:val="005178D9"/>
    <w:rsid w:val="00522CB2"/>
    <w:rsid w:val="00531872"/>
    <w:rsid w:val="005337FB"/>
    <w:rsid w:val="00535AA2"/>
    <w:rsid w:val="0058454B"/>
    <w:rsid w:val="00592161"/>
    <w:rsid w:val="00595498"/>
    <w:rsid w:val="005A5FA5"/>
    <w:rsid w:val="005B49A3"/>
    <w:rsid w:val="005C0766"/>
    <w:rsid w:val="005C32DB"/>
    <w:rsid w:val="005C3AA7"/>
    <w:rsid w:val="005C6ABA"/>
    <w:rsid w:val="005C7203"/>
    <w:rsid w:val="005D2C2D"/>
    <w:rsid w:val="005D2E9A"/>
    <w:rsid w:val="005F4E15"/>
    <w:rsid w:val="005F72EB"/>
    <w:rsid w:val="00601CA3"/>
    <w:rsid w:val="00602B46"/>
    <w:rsid w:val="00613222"/>
    <w:rsid w:val="006155B5"/>
    <w:rsid w:val="00625414"/>
    <w:rsid w:val="00632C4F"/>
    <w:rsid w:val="00636CEC"/>
    <w:rsid w:val="0064455E"/>
    <w:rsid w:val="00665797"/>
    <w:rsid w:val="00666B2A"/>
    <w:rsid w:val="00675A6E"/>
    <w:rsid w:val="00684331"/>
    <w:rsid w:val="006869DF"/>
    <w:rsid w:val="00694CD4"/>
    <w:rsid w:val="00695214"/>
    <w:rsid w:val="00696366"/>
    <w:rsid w:val="006A5264"/>
    <w:rsid w:val="006B4B1E"/>
    <w:rsid w:val="006C7B05"/>
    <w:rsid w:val="006D40CF"/>
    <w:rsid w:val="006E54ED"/>
    <w:rsid w:val="006E5C4D"/>
    <w:rsid w:val="006F196C"/>
    <w:rsid w:val="006F5DA3"/>
    <w:rsid w:val="00704CE3"/>
    <w:rsid w:val="007066E8"/>
    <w:rsid w:val="00706ED5"/>
    <w:rsid w:val="007238FF"/>
    <w:rsid w:val="00731245"/>
    <w:rsid w:val="00737A49"/>
    <w:rsid w:val="007419AD"/>
    <w:rsid w:val="007442B4"/>
    <w:rsid w:val="007563D2"/>
    <w:rsid w:val="0076020A"/>
    <w:rsid w:val="00765B6C"/>
    <w:rsid w:val="007663F3"/>
    <w:rsid w:val="00795EF8"/>
    <w:rsid w:val="00796FED"/>
    <w:rsid w:val="007A0C24"/>
    <w:rsid w:val="007B2240"/>
    <w:rsid w:val="007C611C"/>
    <w:rsid w:val="007D0633"/>
    <w:rsid w:val="007E4921"/>
    <w:rsid w:val="007E6284"/>
    <w:rsid w:val="007F6EB2"/>
    <w:rsid w:val="00800D18"/>
    <w:rsid w:val="0081153D"/>
    <w:rsid w:val="00812181"/>
    <w:rsid w:val="00832633"/>
    <w:rsid w:val="0083292B"/>
    <w:rsid w:val="00834BE9"/>
    <w:rsid w:val="008357CA"/>
    <w:rsid w:val="00890CFA"/>
    <w:rsid w:val="008925C9"/>
    <w:rsid w:val="00893CBE"/>
    <w:rsid w:val="008A4E30"/>
    <w:rsid w:val="008A4F39"/>
    <w:rsid w:val="008A63D5"/>
    <w:rsid w:val="008B6B7D"/>
    <w:rsid w:val="008C016E"/>
    <w:rsid w:val="008C3242"/>
    <w:rsid w:val="008E4615"/>
    <w:rsid w:val="008F24E2"/>
    <w:rsid w:val="008F3333"/>
    <w:rsid w:val="008F5122"/>
    <w:rsid w:val="008F6FC8"/>
    <w:rsid w:val="008F7E01"/>
    <w:rsid w:val="00903F3C"/>
    <w:rsid w:val="00904CF5"/>
    <w:rsid w:val="00930CE2"/>
    <w:rsid w:val="009332E7"/>
    <w:rsid w:val="00941F19"/>
    <w:rsid w:val="00952601"/>
    <w:rsid w:val="00952703"/>
    <w:rsid w:val="00963509"/>
    <w:rsid w:val="00966B6E"/>
    <w:rsid w:val="00985CC7"/>
    <w:rsid w:val="0099472A"/>
    <w:rsid w:val="009A000C"/>
    <w:rsid w:val="009B0850"/>
    <w:rsid w:val="009B252A"/>
    <w:rsid w:val="009C38ED"/>
    <w:rsid w:val="009D3D59"/>
    <w:rsid w:val="009D4E83"/>
    <w:rsid w:val="009D6BB3"/>
    <w:rsid w:val="009D7C4C"/>
    <w:rsid w:val="009D7EA3"/>
    <w:rsid w:val="009E3E34"/>
    <w:rsid w:val="009F30FA"/>
    <w:rsid w:val="009F3169"/>
    <w:rsid w:val="009F546E"/>
    <w:rsid w:val="009F604E"/>
    <w:rsid w:val="00A0066A"/>
    <w:rsid w:val="00A24B6A"/>
    <w:rsid w:val="00A26220"/>
    <w:rsid w:val="00A30CD9"/>
    <w:rsid w:val="00A35B73"/>
    <w:rsid w:val="00A35BFC"/>
    <w:rsid w:val="00A44584"/>
    <w:rsid w:val="00A45191"/>
    <w:rsid w:val="00A5776A"/>
    <w:rsid w:val="00A71C0E"/>
    <w:rsid w:val="00A771DE"/>
    <w:rsid w:val="00A81EE7"/>
    <w:rsid w:val="00A822D2"/>
    <w:rsid w:val="00A824C7"/>
    <w:rsid w:val="00A84F5C"/>
    <w:rsid w:val="00A87FE7"/>
    <w:rsid w:val="00A916B0"/>
    <w:rsid w:val="00A92FD7"/>
    <w:rsid w:val="00A934FB"/>
    <w:rsid w:val="00A96B41"/>
    <w:rsid w:val="00AA020E"/>
    <w:rsid w:val="00AA4975"/>
    <w:rsid w:val="00AB363A"/>
    <w:rsid w:val="00AB4FB0"/>
    <w:rsid w:val="00AC164D"/>
    <w:rsid w:val="00AD4CBA"/>
    <w:rsid w:val="00AD5F54"/>
    <w:rsid w:val="00AD7200"/>
    <w:rsid w:val="00AD7620"/>
    <w:rsid w:val="00AE0DF1"/>
    <w:rsid w:val="00AE22E0"/>
    <w:rsid w:val="00AE43FD"/>
    <w:rsid w:val="00AF044A"/>
    <w:rsid w:val="00AF142C"/>
    <w:rsid w:val="00AF6DC4"/>
    <w:rsid w:val="00B030ED"/>
    <w:rsid w:val="00B0328E"/>
    <w:rsid w:val="00B03C35"/>
    <w:rsid w:val="00B10407"/>
    <w:rsid w:val="00B11D89"/>
    <w:rsid w:val="00B12A5D"/>
    <w:rsid w:val="00B13A7C"/>
    <w:rsid w:val="00B20FA0"/>
    <w:rsid w:val="00B24DF9"/>
    <w:rsid w:val="00B26671"/>
    <w:rsid w:val="00B36BCD"/>
    <w:rsid w:val="00B37128"/>
    <w:rsid w:val="00B46E6A"/>
    <w:rsid w:val="00B53BEE"/>
    <w:rsid w:val="00B5552D"/>
    <w:rsid w:val="00B5646D"/>
    <w:rsid w:val="00B6653D"/>
    <w:rsid w:val="00B66AF3"/>
    <w:rsid w:val="00B720FE"/>
    <w:rsid w:val="00B80D11"/>
    <w:rsid w:val="00B8340C"/>
    <w:rsid w:val="00BA627B"/>
    <w:rsid w:val="00BB27BF"/>
    <w:rsid w:val="00BC2523"/>
    <w:rsid w:val="00BC3D1E"/>
    <w:rsid w:val="00BC7B00"/>
    <w:rsid w:val="00BD516D"/>
    <w:rsid w:val="00BD7B56"/>
    <w:rsid w:val="00BF10F2"/>
    <w:rsid w:val="00BF4E71"/>
    <w:rsid w:val="00BF55E9"/>
    <w:rsid w:val="00BF6D4A"/>
    <w:rsid w:val="00C07D6B"/>
    <w:rsid w:val="00C13383"/>
    <w:rsid w:val="00C16B20"/>
    <w:rsid w:val="00C16DDF"/>
    <w:rsid w:val="00C22F75"/>
    <w:rsid w:val="00C322C3"/>
    <w:rsid w:val="00C4257D"/>
    <w:rsid w:val="00C47D30"/>
    <w:rsid w:val="00C52535"/>
    <w:rsid w:val="00C53595"/>
    <w:rsid w:val="00C66FA6"/>
    <w:rsid w:val="00C70EFA"/>
    <w:rsid w:val="00C80ECD"/>
    <w:rsid w:val="00C8478C"/>
    <w:rsid w:val="00C84BBB"/>
    <w:rsid w:val="00C85206"/>
    <w:rsid w:val="00C938E4"/>
    <w:rsid w:val="00CA1FD9"/>
    <w:rsid w:val="00CA73BF"/>
    <w:rsid w:val="00CB41E5"/>
    <w:rsid w:val="00CB45AD"/>
    <w:rsid w:val="00CD67AE"/>
    <w:rsid w:val="00CE4550"/>
    <w:rsid w:val="00CE6E50"/>
    <w:rsid w:val="00D15475"/>
    <w:rsid w:val="00D21E7F"/>
    <w:rsid w:val="00D36694"/>
    <w:rsid w:val="00D43E95"/>
    <w:rsid w:val="00D47679"/>
    <w:rsid w:val="00D50F08"/>
    <w:rsid w:val="00D51413"/>
    <w:rsid w:val="00D546C9"/>
    <w:rsid w:val="00D7206E"/>
    <w:rsid w:val="00D74A1D"/>
    <w:rsid w:val="00D84FE9"/>
    <w:rsid w:val="00D85653"/>
    <w:rsid w:val="00D91AD0"/>
    <w:rsid w:val="00D927F1"/>
    <w:rsid w:val="00D95755"/>
    <w:rsid w:val="00D97920"/>
    <w:rsid w:val="00DA3525"/>
    <w:rsid w:val="00DA4E56"/>
    <w:rsid w:val="00DB7F73"/>
    <w:rsid w:val="00DC23F7"/>
    <w:rsid w:val="00DC79D2"/>
    <w:rsid w:val="00DC7F0D"/>
    <w:rsid w:val="00DD5586"/>
    <w:rsid w:val="00DD6B82"/>
    <w:rsid w:val="00DD75BC"/>
    <w:rsid w:val="00DE2104"/>
    <w:rsid w:val="00DE26D7"/>
    <w:rsid w:val="00DE4CAE"/>
    <w:rsid w:val="00DE5AE5"/>
    <w:rsid w:val="00DE5B6B"/>
    <w:rsid w:val="00E016FB"/>
    <w:rsid w:val="00E11E30"/>
    <w:rsid w:val="00E12555"/>
    <w:rsid w:val="00E145F0"/>
    <w:rsid w:val="00E360DA"/>
    <w:rsid w:val="00E42F21"/>
    <w:rsid w:val="00E434F4"/>
    <w:rsid w:val="00E44DE7"/>
    <w:rsid w:val="00E47642"/>
    <w:rsid w:val="00E56163"/>
    <w:rsid w:val="00E704D4"/>
    <w:rsid w:val="00E84F4E"/>
    <w:rsid w:val="00E951D6"/>
    <w:rsid w:val="00E962D9"/>
    <w:rsid w:val="00EA3CDC"/>
    <w:rsid w:val="00EB1DCF"/>
    <w:rsid w:val="00EB425C"/>
    <w:rsid w:val="00EC1A0E"/>
    <w:rsid w:val="00EC22A1"/>
    <w:rsid w:val="00EC5C58"/>
    <w:rsid w:val="00ED2F18"/>
    <w:rsid w:val="00ED53A7"/>
    <w:rsid w:val="00EE4F1E"/>
    <w:rsid w:val="00F075A1"/>
    <w:rsid w:val="00F1129C"/>
    <w:rsid w:val="00F117A4"/>
    <w:rsid w:val="00F26BF5"/>
    <w:rsid w:val="00F55606"/>
    <w:rsid w:val="00F57DCE"/>
    <w:rsid w:val="00F60DCD"/>
    <w:rsid w:val="00F663B0"/>
    <w:rsid w:val="00F73673"/>
    <w:rsid w:val="00F84890"/>
    <w:rsid w:val="00FB4C19"/>
    <w:rsid w:val="00FB7562"/>
    <w:rsid w:val="00FC3C17"/>
    <w:rsid w:val="00FD24D3"/>
    <w:rsid w:val="00FD3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54DE9-F273-453F-AD24-346B23DC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555"/>
    <w:pPr>
      <w:spacing w:after="0" w:line="240" w:lineRule="auto"/>
    </w:pPr>
    <w:rPr>
      <w:rFonts w:ascii="Arial" w:eastAsia="Times New Roman" w:hAnsi="Arial" w:cs="Times New Roman"/>
      <w:sz w:val="20"/>
      <w:szCs w:val="20"/>
      <w:lang w:val="en-GB" w:eastAsia="ru-RU"/>
    </w:rPr>
  </w:style>
  <w:style w:type="paragraph" w:styleId="2">
    <w:name w:val="heading 2"/>
    <w:basedOn w:val="a"/>
    <w:next w:val="a"/>
    <w:link w:val="20"/>
    <w:uiPriority w:val="9"/>
    <w:semiHidden/>
    <w:unhideWhenUsed/>
    <w:qFormat/>
    <w:rsid w:val="00F55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C16DDF"/>
    <w:pPr>
      <w:keepNext/>
      <w:widowControl w:val="0"/>
      <w:outlineLvl w:val="2"/>
    </w:pPr>
    <w:rPr>
      <w:rFonts w:ascii="Times New Roman" w:hAnsi="Times New Roman"/>
      <w:snapToGrid w:val="0"/>
      <w:color w:val="000000"/>
      <w:sz w:val="24"/>
      <w:u w:val="single"/>
      <w:lang w:val="uk-UA"/>
    </w:rPr>
  </w:style>
  <w:style w:type="paragraph" w:styleId="8">
    <w:name w:val="heading 8"/>
    <w:basedOn w:val="a"/>
    <w:next w:val="a"/>
    <w:link w:val="80"/>
    <w:uiPriority w:val="9"/>
    <w:semiHidden/>
    <w:unhideWhenUsed/>
    <w:qFormat/>
    <w:rsid w:val="00C53595"/>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2555"/>
    <w:rPr>
      <w:rFonts w:ascii="Times New Roman" w:hAnsi="Times New Roman"/>
      <w:sz w:val="24"/>
      <w:lang w:val="uk-UA"/>
    </w:rPr>
  </w:style>
  <w:style w:type="character" w:customStyle="1" w:styleId="a4">
    <w:name w:val="Основной текст Знак"/>
    <w:basedOn w:val="a0"/>
    <w:link w:val="a3"/>
    <w:rsid w:val="00E12555"/>
    <w:rPr>
      <w:rFonts w:ascii="Times New Roman" w:eastAsia="Times New Roman" w:hAnsi="Times New Roman" w:cs="Times New Roman"/>
      <w:sz w:val="24"/>
      <w:szCs w:val="20"/>
      <w:lang w:val="uk-UA" w:eastAsia="ru-RU"/>
    </w:rPr>
  </w:style>
  <w:style w:type="character" w:styleId="a5">
    <w:name w:val="Strong"/>
    <w:basedOn w:val="a0"/>
    <w:uiPriority w:val="22"/>
    <w:qFormat/>
    <w:rsid w:val="00E12555"/>
    <w:rPr>
      <w:b/>
      <w:bCs/>
    </w:rPr>
  </w:style>
  <w:style w:type="character" w:customStyle="1" w:styleId="30">
    <w:name w:val="Заголовок 3 Знак"/>
    <w:basedOn w:val="a0"/>
    <w:link w:val="3"/>
    <w:rsid w:val="00C16DDF"/>
    <w:rPr>
      <w:rFonts w:ascii="Times New Roman" w:eastAsia="Times New Roman" w:hAnsi="Times New Roman" w:cs="Times New Roman"/>
      <w:snapToGrid w:val="0"/>
      <w:color w:val="000000"/>
      <w:sz w:val="24"/>
      <w:szCs w:val="20"/>
      <w:u w:val="single"/>
      <w:lang w:val="uk-UA" w:eastAsia="ru-RU"/>
    </w:rPr>
  </w:style>
  <w:style w:type="paragraph" w:styleId="a6">
    <w:name w:val="List Paragraph"/>
    <w:basedOn w:val="a"/>
    <w:uiPriority w:val="34"/>
    <w:qFormat/>
    <w:rsid w:val="00F60DCD"/>
    <w:pPr>
      <w:ind w:left="720"/>
      <w:contextualSpacing/>
    </w:pPr>
  </w:style>
  <w:style w:type="character" w:styleId="a7">
    <w:name w:val="Hyperlink"/>
    <w:basedOn w:val="a0"/>
    <w:uiPriority w:val="99"/>
    <w:semiHidden/>
    <w:unhideWhenUsed/>
    <w:rsid w:val="00DC79D2"/>
    <w:rPr>
      <w:color w:val="2577D9"/>
      <w:u w:val="single"/>
    </w:rPr>
  </w:style>
  <w:style w:type="paragraph" w:styleId="21">
    <w:name w:val="Body Text 2"/>
    <w:basedOn w:val="a"/>
    <w:link w:val="22"/>
    <w:uiPriority w:val="99"/>
    <w:semiHidden/>
    <w:unhideWhenUsed/>
    <w:rsid w:val="000856DA"/>
    <w:pPr>
      <w:spacing w:after="120" w:line="480" w:lineRule="auto"/>
    </w:pPr>
  </w:style>
  <w:style w:type="character" w:customStyle="1" w:styleId="22">
    <w:name w:val="Основной текст 2 Знак"/>
    <w:basedOn w:val="a0"/>
    <w:link w:val="21"/>
    <w:uiPriority w:val="99"/>
    <w:semiHidden/>
    <w:rsid w:val="000856DA"/>
    <w:rPr>
      <w:rFonts w:ascii="Arial" w:eastAsia="Times New Roman" w:hAnsi="Arial" w:cs="Times New Roman"/>
      <w:sz w:val="20"/>
      <w:szCs w:val="20"/>
      <w:lang w:val="en-GB" w:eastAsia="ru-RU"/>
    </w:rPr>
  </w:style>
  <w:style w:type="character" w:customStyle="1" w:styleId="FontStyle31">
    <w:name w:val="Font Style31"/>
    <w:rsid w:val="00665797"/>
    <w:rPr>
      <w:rFonts w:ascii="Arial" w:hAnsi="Arial" w:cs="Arial"/>
      <w:b/>
      <w:bCs/>
      <w:i/>
      <w:iCs/>
      <w:sz w:val="26"/>
      <w:szCs w:val="26"/>
    </w:rPr>
  </w:style>
  <w:style w:type="character" w:customStyle="1" w:styleId="FontStyle47">
    <w:name w:val="Font Style47"/>
    <w:rsid w:val="00665797"/>
    <w:rPr>
      <w:rFonts w:ascii="Times New Roman" w:hAnsi="Times New Roman" w:cs="Times New Roman"/>
      <w:sz w:val="20"/>
      <w:szCs w:val="20"/>
    </w:rPr>
  </w:style>
  <w:style w:type="paragraph" w:customStyle="1" w:styleId="Style4">
    <w:name w:val="Style4"/>
    <w:basedOn w:val="a"/>
    <w:rsid w:val="00665797"/>
    <w:pPr>
      <w:widowControl w:val="0"/>
      <w:autoSpaceDE w:val="0"/>
      <w:autoSpaceDN w:val="0"/>
      <w:adjustRightInd w:val="0"/>
      <w:spacing w:line="252" w:lineRule="exact"/>
    </w:pPr>
    <w:rPr>
      <w:sz w:val="24"/>
      <w:szCs w:val="24"/>
      <w:lang w:val="ru-RU"/>
    </w:rPr>
  </w:style>
  <w:style w:type="paragraph" w:customStyle="1" w:styleId="Bodyofnote">
    <w:name w:val="Body of note"/>
    <w:basedOn w:val="a"/>
    <w:rsid w:val="00AF044A"/>
    <w:pPr>
      <w:spacing w:after="240" w:line="240" w:lineRule="exact"/>
    </w:pPr>
    <w:rPr>
      <w:color w:val="000000"/>
    </w:rPr>
  </w:style>
  <w:style w:type="character" w:customStyle="1" w:styleId="80">
    <w:name w:val="Заголовок 8 Знак"/>
    <w:basedOn w:val="a0"/>
    <w:link w:val="8"/>
    <w:uiPriority w:val="9"/>
    <w:semiHidden/>
    <w:rsid w:val="00C53595"/>
    <w:rPr>
      <w:rFonts w:asciiTheme="majorHAnsi" w:eastAsiaTheme="majorEastAsia" w:hAnsiTheme="majorHAnsi" w:cstheme="majorBidi"/>
      <w:color w:val="404040" w:themeColor="text1" w:themeTint="BF"/>
      <w:sz w:val="20"/>
      <w:szCs w:val="20"/>
      <w:lang w:val="en-GB" w:eastAsia="ru-RU"/>
    </w:rPr>
  </w:style>
  <w:style w:type="paragraph" w:styleId="a8">
    <w:name w:val="Body Text Indent"/>
    <w:basedOn w:val="a"/>
    <w:link w:val="a9"/>
    <w:uiPriority w:val="99"/>
    <w:semiHidden/>
    <w:unhideWhenUsed/>
    <w:rsid w:val="00C53595"/>
    <w:pPr>
      <w:spacing w:after="120"/>
      <w:ind w:left="283"/>
    </w:pPr>
  </w:style>
  <w:style w:type="character" w:customStyle="1" w:styleId="a9">
    <w:name w:val="Основной текст с отступом Знак"/>
    <w:basedOn w:val="a0"/>
    <w:link w:val="a8"/>
    <w:uiPriority w:val="99"/>
    <w:semiHidden/>
    <w:rsid w:val="00C53595"/>
    <w:rPr>
      <w:rFonts w:ascii="Arial" w:eastAsia="Times New Roman" w:hAnsi="Arial" w:cs="Times New Roman"/>
      <w:sz w:val="20"/>
      <w:szCs w:val="20"/>
      <w:lang w:val="en-GB" w:eastAsia="ru-RU"/>
    </w:rPr>
  </w:style>
  <w:style w:type="paragraph" w:customStyle="1" w:styleId="1">
    <w:name w:val="Обычный1"/>
    <w:rsid w:val="00B5646D"/>
    <w:pPr>
      <w:spacing w:after="0" w:line="240" w:lineRule="auto"/>
    </w:pPr>
    <w:rPr>
      <w:rFonts w:ascii="Arial" w:eastAsia="Times New Roman" w:hAnsi="Arial" w:cs="Times New Roman"/>
      <w:sz w:val="24"/>
      <w:szCs w:val="20"/>
    </w:rPr>
  </w:style>
  <w:style w:type="character" w:customStyle="1" w:styleId="20">
    <w:name w:val="Заголовок 2 Знак"/>
    <w:basedOn w:val="a0"/>
    <w:link w:val="2"/>
    <w:uiPriority w:val="9"/>
    <w:semiHidden/>
    <w:rsid w:val="00F55606"/>
    <w:rPr>
      <w:rFonts w:asciiTheme="majorHAnsi" w:eastAsiaTheme="majorEastAsia" w:hAnsiTheme="majorHAnsi" w:cstheme="majorBidi"/>
      <w:b/>
      <w:bCs/>
      <w:color w:val="4F81BD" w:themeColor="accent1"/>
      <w:sz w:val="26"/>
      <w:szCs w:val="26"/>
      <w:lang w:val="en-GB" w:eastAsia="ru-RU"/>
    </w:rPr>
  </w:style>
  <w:style w:type="paragraph" w:styleId="aa">
    <w:name w:val="Balloon Text"/>
    <w:basedOn w:val="a"/>
    <w:link w:val="ab"/>
    <w:uiPriority w:val="99"/>
    <w:semiHidden/>
    <w:unhideWhenUsed/>
    <w:rsid w:val="00D50F08"/>
    <w:rPr>
      <w:rFonts w:ascii="Tahoma" w:hAnsi="Tahoma" w:cs="Tahoma"/>
      <w:sz w:val="16"/>
      <w:szCs w:val="16"/>
    </w:rPr>
  </w:style>
  <w:style w:type="character" w:customStyle="1" w:styleId="ab">
    <w:name w:val="Текст выноски Знак"/>
    <w:basedOn w:val="a0"/>
    <w:link w:val="aa"/>
    <w:uiPriority w:val="99"/>
    <w:semiHidden/>
    <w:rsid w:val="00D50F08"/>
    <w:rPr>
      <w:rFonts w:ascii="Tahoma" w:eastAsia="Times New Roman" w:hAnsi="Tahoma" w:cs="Tahoma"/>
      <w:sz w:val="16"/>
      <w:szCs w:val="16"/>
      <w:lang w:val="en-GB" w:eastAsia="ru-RU"/>
    </w:rPr>
  </w:style>
  <w:style w:type="paragraph" w:styleId="ac">
    <w:name w:val="header"/>
    <w:basedOn w:val="a"/>
    <w:link w:val="ad"/>
    <w:uiPriority w:val="99"/>
    <w:unhideWhenUsed/>
    <w:rsid w:val="00356818"/>
    <w:pPr>
      <w:tabs>
        <w:tab w:val="center" w:pos="4677"/>
        <w:tab w:val="right" w:pos="9355"/>
      </w:tabs>
    </w:pPr>
  </w:style>
  <w:style w:type="character" w:customStyle="1" w:styleId="ad">
    <w:name w:val="Верхний колонтитул Знак"/>
    <w:basedOn w:val="a0"/>
    <w:link w:val="ac"/>
    <w:uiPriority w:val="99"/>
    <w:rsid w:val="00356818"/>
    <w:rPr>
      <w:rFonts w:ascii="Arial" w:eastAsia="Times New Roman" w:hAnsi="Arial" w:cs="Times New Roman"/>
      <w:sz w:val="20"/>
      <w:szCs w:val="20"/>
      <w:lang w:val="en-GB" w:eastAsia="ru-RU"/>
    </w:rPr>
  </w:style>
  <w:style w:type="paragraph" w:styleId="ae">
    <w:name w:val="footer"/>
    <w:basedOn w:val="a"/>
    <w:link w:val="af"/>
    <w:uiPriority w:val="99"/>
    <w:unhideWhenUsed/>
    <w:rsid w:val="00356818"/>
    <w:pPr>
      <w:tabs>
        <w:tab w:val="center" w:pos="4677"/>
        <w:tab w:val="right" w:pos="9355"/>
      </w:tabs>
    </w:pPr>
  </w:style>
  <w:style w:type="character" w:customStyle="1" w:styleId="af">
    <w:name w:val="Нижний колонтитул Знак"/>
    <w:basedOn w:val="a0"/>
    <w:link w:val="ae"/>
    <w:uiPriority w:val="99"/>
    <w:rsid w:val="00356818"/>
    <w:rPr>
      <w:rFonts w:ascii="Arial" w:eastAsia="Times New Roman" w:hAnsi="Arial" w:cs="Times New Roman"/>
      <w:sz w:val="20"/>
      <w:szCs w:val="20"/>
      <w:lang w:val="en-GB" w:eastAsia="ru-RU"/>
    </w:rPr>
  </w:style>
  <w:style w:type="table" w:customStyle="1" w:styleId="TableGrid1">
    <w:name w:val="Table Grid1"/>
    <w:basedOn w:val="a1"/>
    <w:next w:val="af0"/>
    <w:uiPriority w:val="59"/>
    <w:rsid w:val="00D7206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basedOn w:val="a1"/>
    <w:uiPriority w:val="59"/>
    <w:rsid w:val="00D72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22730">
      <w:bodyDiv w:val="1"/>
      <w:marLeft w:val="0"/>
      <w:marRight w:val="0"/>
      <w:marTop w:val="0"/>
      <w:marBottom w:val="0"/>
      <w:divBdr>
        <w:top w:val="none" w:sz="0" w:space="0" w:color="auto"/>
        <w:left w:val="none" w:sz="0" w:space="0" w:color="auto"/>
        <w:bottom w:val="none" w:sz="0" w:space="0" w:color="auto"/>
        <w:right w:val="none" w:sz="0" w:space="0" w:color="auto"/>
      </w:divBdr>
    </w:div>
    <w:div w:id="1654065136">
      <w:bodyDiv w:val="1"/>
      <w:marLeft w:val="0"/>
      <w:marRight w:val="0"/>
      <w:marTop w:val="0"/>
      <w:marBottom w:val="0"/>
      <w:divBdr>
        <w:top w:val="none" w:sz="0" w:space="0" w:color="auto"/>
        <w:left w:val="none" w:sz="0" w:space="0" w:color="auto"/>
        <w:bottom w:val="none" w:sz="0" w:space="0" w:color="auto"/>
        <w:right w:val="none" w:sz="0" w:space="0" w:color="auto"/>
      </w:divBdr>
    </w:div>
    <w:div w:id="1856260626">
      <w:bodyDiv w:val="1"/>
      <w:marLeft w:val="0"/>
      <w:marRight w:val="0"/>
      <w:marTop w:val="0"/>
      <w:marBottom w:val="0"/>
      <w:divBdr>
        <w:top w:val="none" w:sz="0" w:space="0" w:color="auto"/>
        <w:left w:val="none" w:sz="0" w:space="0" w:color="auto"/>
        <w:bottom w:val="none" w:sz="0" w:space="0" w:color="auto"/>
        <w:right w:val="none" w:sz="0" w:space="0" w:color="auto"/>
      </w:divBdr>
    </w:div>
    <w:div w:id="2061318330">
      <w:bodyDiv w:val="1"/>
      <w:marLeft w:val="0"/>
      <w:marRight w:val="0"/>
      <w:marTop w:val="0"/>
      <w:marBottom w:val="0"/>
      <w:divBdr>
        <w:top w:val="none" w:sz="0" w:space="0" w:color="auto"/>
        <w:left w:val="none" w:sz="0" w:space="0" w:color="auto"/>
        <w:bottom w:val="none" w:sz="0" w:space="0" w:color="auto"/>
        <w:right w:val="none" w:sz="0" w:space="0" w:color="auto"/>
      </w:divBdr>
      <w:divsChild>
        <w:div w:id="397830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docs/en_GB/document_library/EPAR_-_Product_Information/human/000129/WC50004424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dicines.org.uk/emc/medicine/2867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es.org.uk/emc/medicine/14555" TargetMode="External"/><Relationship Id="rId5" Type="http://schemas.openxmlformats.org/officeDocument/2006/relationships/webSettings" Target="webSettings.xml"/><Relationship Id="rId15" Type="http://schemas.openxmlformats.org/officeDocument/2006/relationships/hyperlink" Target="http://www.cdc.gov/vaccines/pubs/pinkbook/vac-admin.html" TargetMode="External"/><Relationship Id="rId10" Type="http://schemas.openxmlformats.org/officeDocument/2006/relationships/hyperlink" Target="mailto:oax70065@gs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edicines.org.uk/emc/medicine/9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C65C-2FFB-4AE8-92D4-364DA561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6443</Words>
  <Characters>3673</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iil0093</dc:creator>
  <cp:lastModifiedBy>Льоринець Марина Юріївна</cp:lastModifiedBy>
  <cp:revision>2</cp:revision>
  <cp:lastPrinted>2018-05-22T10:02:00Z</cp:lastPrinted>
  <dcterms:created xsi:type="dcterms:W3CDTF">2018-05-22T10:15:00Z</dcterms:created>
  <dcterms:modified xsi:type="dcterms:W3CDTF">2018-05-22T10:15:00Z</dcterms:modified>
</cp:coreProperties>
</file>