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4" w:rsidRPr="001646C8" w:rsidRDefault="001B4D54" w:rsidP="008F11E8">
      <w:pPr>
        <w:spacing w:after="0"/>
        <w:rPr>
          <w:rFonts w:ascii="Times New Roman" w:hAnsi="Times New Roman" w:cs="Times New Roman"/>
          <w:sz w:val="24"/>
          <w:szCs w:val="24"/>
          <w:lang w:val="ru-RU"/>
        </w:rPr>
      </w:pPr>
      <w:r w:rsidRPr="001646C8">
        <w:rPr>
          <w:rFonts w:ascii="Times New Roman" w:hAnsi="Times New Roman" w:cs="Times New Roman"/>
          <w:sz w:val="24"/>
          <w:szCs w:val="24"/>
          <w:lang w:val="ru-RU"/>
        </w:rPr>
        <w:t>[</w:t>
      </w:r>
      <w:r w:rsidR="00494D70" w:rsidRPr="002749B4">
        <w:rPr>
          <w:rFonts w:ascii="Times New Roman" w:hAnsi="Times New Roman" w:cs="Times New Roman"/>
          <w:sz w:val="24"/>
          <w:szCs w:val="24"/>
          <w:lang w:val="uk-UA"/>
        </w:rPr>
        <w:t>ТИТУЛ</w:t>
      </w:r>
      <w:r w:rsidRPr="001646C8">
        <w:rPr>
          <w:rFonts w:ascii="Times New Roman" w:hAnsi="Times New Roman" w:cs="Times New Roman"/>
          <w:sz w:val="24"/>
          <w:szCs w:val="24"/>
          <w:lang w:val="ru-RU"/>
        </w:rPr>
        <w:t>]</w:t>
      </w:r>
    </w:p>
    <w:p w:rsidR="008F11E8" w:rsidRPr="001646C8" w:rsidRDefault="008F11E8" w:rsidP="008F11E8">
      <w:pPr>
        <w:spacing w:after="0"/>
        <w:rPr>
          <w:rFonts w:ascii="Times New Roman" w:hAnsi="Times New Roman" w:cs="Times New Roman"/>
          <w:sz w:val="24"/>
          <w:szCs w:val="24"/>
          <w:lang w:val="ru-RU"/>
        </w:rPr>
      </w:pPr>
    </w:p>
    <w:p w:rsidR="00494D70" w:rsidRPr="002749B4" w:rsidRDefault="00494D70" w:rsidP="00494D70">
      <w:pPr>
        <w:pStyle w:val="Default"/>
        <w:rPr>
          <w:rStyle w:val="A0"/>
          <w:rFonts w:ascii="Times New Roman" w:hAnsi="Times New Roman" w:cs="Times New Roman"/>
          <w:color w:val="auto"/>
          <w:sz w:val="24"/>
          <w:szCs w:val="24"/>
          <w:lang w:val="ru-RU"/>
        </w:rPr>
      </w:pPr>
      <w:r w:rsidRPr="002749B4">
        <w:rPr>
          <w:rStyle w:val="A0"/>
          <w:rFonts w:ascii="Times New Roman" w:hAnsi="Times New Roman" w:cs="Times New Roman"/>
          <w:b/>
          <w:color w:val="auto"/>
          <w:sz w:val="24"/>
          <w:szCs w:val="24"/>
          <w:lang w:val="uk-UA"/>
        </w:rPr>
        <w:t>ПРАДАКСА</w:t>
      </w:r>
      <w:r w:rsidR="00B74AD4" w:rsidRPr="002749B4">
        <w:rPr>
          <w:rStyle w:val="A0"/>
          <w:rFonts w:ascii="Times New Roman" w:hAnsi="Times New Roman" w:cs="Times New Roman"/>
          <w:color w:val="auto"/>
          <w:sz w:val="24"/>
          <w:szCs w:val="24"/>
          <w:lang w:val="ru-RU"/>
        </w:rPr>
        <w:t>®</w:t>
      </w:r>
      <w:r w:rsidR="001B4D54" w:rsidRPr="002749B4">
        <w:rPr>
          <w:rStyle w:val="A0"/>
          <w:rFonts w:ascii="Times New Roman" w:hAnsi="Times New Roman" w:cs="Times New Roman"/>
          <w:color w:val="auto"/>
          <w:sz w:val="24"/>
          <w:szCs w:val="24"/>
          <w:lang w:val="ru-RU"/>
        </w:rPr>
        <w:t xml:space="preserve"> </w:t>
      </w:r>
      <w:r w:rsidRPr="002749B4">
        <w:rPr>
          <w:rStyle w:val="A0"/>
          <w:rFonts w:ascii="Times New Roman" w:hAnsi="Times New Roman" w:cs="Times New Roman"/>
          <w:color w:val="auto"/>
          <w:sz w:val="24"/>
          <w:szCs w:val="24"/>
          <w:lang w:val="ru-RU"/>
        </w:rPr>
        <w:t>(дабігатрану етексилат)</w:t>
      </w:r>
    </w:p>
    <w:p w:rsidR="004835DF" w:rsidRPr="003C4A73" w:rsidRDefault="00494D70" w:rsidP="00494D70">
      <w:pPr>
        <w:spacing w:after="0"/>
        <w:contextualSpacing/>
        <w:rPr>
          <w:rStyle w:val="A0"/>
          <w:rFonts w:ascii="Times New Roman" w:hAnsi="Times New Roman" w:cs="Times New Roman"/>
          <w:color w:val="auto"/>
          <w:sz w:val="24"/>
          <w:szCs w:val="24"/>
          <w:lang w:val="ru-RU"/>
        </w:rPr>
      </w:pPr>
      <w:r w:rsidRPr="002749B4">
        <w:rPr>
          <w:rStyle w:val="A0"/>
          <w:rFonts w:ascii="Times New Roman" w:hAnsi="Times New Roman" w:cs="Times New Roman"/>
          <w:color w:val="auto"/>
          <w:sz w:val="24"/>
          <w:szCs w:val="24"/>
          <w:lang w:val="ru-RU"/>
        </w:rPr>
        <w:t xml:space="preserve">КЕРІВНИЦТВО </w:t>
      </w:r>
      <w:r w:rsidR="001646C8">
        <w:rPr>
          <w:rStyle w:val="A0"/>
          <w:rFonts w:ascii="Times New Roman" w:hAnsi="Times New Roman" w:cs="Times New Roman"/>
          <w:color w:val="auto"/>
          <w:sz w:val="24"/>
          <w:szCs w:val="24"/>
          <w:lang w:val="uk-UA"/>
        </w:rPr>
        <w:t xml:space="preserve">ДЛЯ </w:t>
      </w:r>
      <w:r w:rsidRPr="002749B4">
        <w:rPr>
          <w:rStyle w:val="A0"/>
          <w:rFonts w:ascii="Times New Roman" w:hAnsi="Times New Roman" w:cs="Times New Roman"/>
          <w:color w:val="auto"/>
          <w:sz w:val="24"/>
          <w:szCs w:val="24"/>
          <w:lang w:val="ru-RU"/>
        </w:rPr>
        <w:t xml:space="preserve">МЕДИЧНОГО ПРАЦІВНИКА </w:t>
      </w:r>
    </w:p>
    <w:p w:rsidR="003C4A73" w:rsidRPr="00A146EE" w:rsidRDefault="003C4A73" w:rsidP="00494D70">
      <w:pPr>
        <w:spacing w:after="0"/>
        <w:contextualSpacing/>
        <w:rPr>
          <w:rStyle w:val="A0"/>
          <w:rFonts w:ascii="Times New Roman" w:hAnsi="Times New Roman" w:cs="Times New Roman"/>
          <w:color w:val="auto"/>
          <w:sz w:val="24"/>
          <w:szCs w:val="24"/>
          <w:lang w:val="ru-RU"/>
        </w:rPr>
      </w:pPr>
    </w:p>
    <w:p w:rsidR="003C4A73" w:rsidRPr="00A1665B" w:rsidRDefault="003C4A73" w:rsidP="00494D70">
      <w:pPr>
        <w:spacing w:after="0"/>
        <w:contextualSpacing/>
        <w:rPr>
          <w:rStyle w:val="A0"/>
          <w:rFonts w:ascii="Times New Roman" w:hAnsi="Times New Roman" w:cs="Times New Roman"/>
          <w:color w:val="000000" w:themeColor="text1"/>
          <w:sz w:val="24"/>
          <w:szCs w:val="24"/>
          <w:lang w:val="uk-UA"/>
        </w:rPr>
      </w:pPr>
      <w:r w:rsidRPr="00A1665B">
        <w:rPr>
          <w:rStyle w:val="A0"/>
          <w:rFonts w:ascii="Times New Roman" w:hAnsi="Times New Roman" w:cs="Times New Roman"/>
          <w:color w:val="000000" w:themeColor="text1"/>
          <w:sz w:val="24"/>
          <w:szCs w:val="24"/>
          <w:lang w:val="uk-UA"/>
        </w:rPr>
        <w:t xml:space="preserve">Оновлено </w:t>
      </w:r>
      <w:r w:rsidR="00A1665B" w:rsidRPr="00A1665B">
        <w:rPr>
          <w:rStyle w:val="A0"/>
          <w:rFonts w:ascii="Times New Roman" w:hAnsi="Times New Roman" w:cs="Times New Roman"/>
          <w:color w:val="000000" w:themeColor="text1"/>
          <w:sz w:val="24"/>
          <w:szCs w:val="24"/>
          <w:lang w:val="ru-RU"/>
        </w:rPr>
        <w:t>Січень</w:t>
      </w:r>
      <w:r w:rsidRPr="00A1665B">
        <w:rPr>
          <w:rStyle w:val="A0"/>
          <w:rFonts w:ascii="Times New Roman" w:hAnsi="Times New Roman" w:cs="Times New Roman"/>
          <w:color w:val="000000" w:themeColor="text1"/>
          <w:sz w:val="24"/>
          <w:szCs w:val="24"/>
          <w:lang w:val="uk-UA"/>
        </w:rPr>
        <w:t xml:space="preserve"> 2016</w:t>
      </w:r>
    </w:p>
    <w:p w:rsidR="00494D70" w:rsidRPr="00A1665B" w:rsidRDefault="00494D70" w:rsidP="00494D70">
      <w:pPr>
        <w:autoSpaceDE w:val="0"/>
        <w:autoSpaceDN w:val="0"/>
        <w:adjustRightInd w:val="0"/>
        <w:spacing w:after="0"/>
        <w:rPr>
          <w:rFonts w:ascii="Times New Roman" w:hAnsi="Times New Roman" w:cs="Times New Roman"/>
          <w:color w:val="000000" w:themeColor="text1"/>
          <w:sz w:val="24"/>
          <w:szCs w:val="24"/>
          <w:lang w:val="ru-RU"/>
        </w:rPr>
      </w:pPr>
    </w:p>
    <w:p w:rsidR="004835DF" w:rsidRPr="00A1665B" w:rsidRDefault="00494D70" w:rsidP="00494D70">
      <w:pPr>
        <w:autoSpaceDE w:val="0"/>
        <w:autoSpaceDN w:val="0"/>
        <w:adjustRightInd w:val="0"/>
        <w:spacing w:after="0"/>
        <w:rPr>
          <w:rFonts w:ascii="Times New Roman" w:hAnsi="Times New Roman" w:cs="Times New Roman"/>
          <w:color w:val="000000" w:themeColor="text1"/>
          <w:sz w:val="24"/>
          <w:szCs w:val="24"/>
          <w:lang w:val="ru-RU"/>
        </w:rPr>
      </w:pPr>
      <w:r w:rsidRPr="00A1665B">
        <w:rPr>
          <w:rFonts w:ascii="Times New Roman" w:hAnsi="Times New Roman" w:cs="Times New Roman"/>
          <w:color w:val="000000" w:themeColor="text1"/>
          <w:sz w:val="24"/>
          <w:szCs w:val="24"/>
          <w:lang w:val="ru-RU"/>
        </w:rPr>
        <w:t>Рекомендації у цьому керівництві стосуються тільки показан</w:t>
      </w:r>
      <w:r w:rsidR="0071352A" w:rsidRPr="00A1665B">
        <w:rPr>
          <w:rFonts w:ascii="Times New Roman" w:hAnsi="Times New Roman" w:cs="Times New Roman"/>
          <w:color w:val="000000" w:themeColor="text1"/>
          <w:sz w:val="24"/>
          <w:szCs w:val="24"/>
          <w:lang w:val="uk-UA"/>
        </w:rPr>
        <w:t>ь</w:t>
      </w:r>
      <w:r w:rsidR="004835DF" w:rsidRPr="00A1665B">
        <w:rPr>
          <w:rFonts w:ascii="Times New Roman" w:hAnsi="Times New Roman" w:cs="Times New Roman"/>
          <w:color w:val="000000" w:themeColor="text1"/>
          <w:sz w:val="24"/>
          <w:szCs w:val="24"/>
          <w:lang w:val="ru-RU"/>
        </w:rPr>
        <w:t>:</w:t>
      </w:r>
    </w:p>
    <w:p w:rsidR="0071352A" w:rsidRPr="00A1665B" w:rsidRDefault="004835DF" w:rsidP="004835DF">
      <w:pPr>
        <w:pStyle w:val="ListParagraph"/>
        <w:numPr>
          <w:ilvl w:val="0"/>
          <w:numId w:val="32"/>
        </w:numPr>
        <w:autoSpaceDE w:val="0"/>
        <w:autoSpaceDN w:val="0"/>
        <w:adjustRightInd w:val="0"/>
        <w:spacing w:after="0"/>
        <w:rPr>
          <w:rFonts w:ascii="Times New Roman" w:hAnsi="Times New Roman" w:cs="Times New Roman"/>
          <w:color w:val="000000" w:themeColor="text1"/>
          <w:sz w:val="24"/>
          <w:szCs w:val="24"/>
          <w:lang w:val="ru-RU"/>
        </w:rPr>
      </w:pPr>
      <w:r w:rsidRPr="00A1665B">
        <w:rPr>
          <w:rFonts w:ascii="Times New Roman" w:hAnsi="Times New Roman" w:cs="Times New Roman"/>
          <w:color w:val="000000" w:themeColor="text1"/>
          <w:sz w:val="24"/>
          <w:szCs w:val="24"/>
          <w:lang w:val="ru-RU"/>
        </w:rPr>
        <w:t>Запобігання інсульту та системній емболії у дорослих пацієнтів з неклапанною фібриляцією передсердь</w:t>
      </w:r>
      <w:r w:rsidR="004E0C5C" w:rsidRPr="00A1665B">
        <w:rPr>
          <w:rFonts w:ascii="Times New Roman" w:hAnsi="Times New Roman" w:cs="Times New Roman"/>
          <w:color w:val="000000" w:themeColor="text1"/>
          <w:sz w:val="24"/>
          <w:szCs w:val="24"/>
          <w:lang w:val="ru-RU"/>
        </w:rPr>
        <w:t xml:space="preserve"> з одним або більше факторів ризику</w:t>
      </w:r>
    </w:p>
    <w:p w:rsidR="00494D70" w:rsidRPr="00A1665B" w:rsidRDefault="0071352A">
      <w:pPr>
        <w:pStyle w:val="ListParagraph"/>
        <w:numPr>
          <w:ilvl w:val="0"/>
          <w:numId w:val="32"/>
        </w:numPr>
        <w:autoSpaceDE w:val="0"/>
        <w:autoSpaceDN w:val="0"/>
        <w:adjustRightInd w:val="0"/>
        <w:spacing w:after="0"/>
        <w:rPr>
          <w:rFonts w:ascii="Times New Roman" w:hAnsi="Times New Roman" w:cs="Times New Roman"/>
          <w:color w:val="000000" w:themeColor="text1"/>
          <w:sz w:val="24"/>
          <w:szCs w:val="24"/>
          <w:lang w:val="ru-RU"/>
        </w:rPr>
      </w:pPr>
      <w:r w:rsidRPr="00A1665B">
        <w:rPr>
          <w:rFonts w:ascii="Times New Roman" w:hAnsi="Times New Roman" w:cs="Times New Roman"/>
          <w:color w:val="000000" w:themeColor="text1"/>
          <w:sz w:val="24"/>
          <w:szCs w:val="24"/>
          <w:lang w:val="ru-RU"/>
        </w:rPr>
        <w:t>Лікування тромбозу глибоких вен (ТГВ) і легеневої емболії (ЛЕ) та запобігання рецидивуючому ТГВ і ЛЕ у дорослих.</w:t>
      </w:r>
    </w:p>
    <w:p w:rsidR="004835DF" w:rsidRPr="00A1665B" w:rsidRDefault="004835DF" w:rsidP="00435BCB">
      <w:pPr>
        <w:pStyle w:val="ListParagraph"/>
        <w:autoSpaceDE w:val="0"/>
        <w:autoSpaceDN w:val="0"/>
        <w:adjustRightInd w:val="0"/>
        <w:spacing w:after="0"/>
        <w:rPr>
          <w:color w:val="000000" w:themeColor="text1"/>
          <w:lang w:val="ru-RU"/>
        </w:rPr>
      </w:pPr>
    </w:p>
    <w:p w:rsidR="004E0C5C" w:rsidRPr="00A1665B" w:rsidRDefault="00494D70" w:rsidP="00494D70">
      <w:pPr>
        <w:spacing w:after="0"/>
        <w:rPr>
          <w:rFonts w:ascii="Times New Roman" w:hAnsi="Times New Roman" w:cs="Times New Roman"/>
          <w:b/>
          <w:color w:val="000000" w:themeColor="text1"/>
          <w:sz w:val="24"/>
          <w:szCs w:val="24"/>
          <w:lang w:val="ru-RU"/>
        </w:rPr>
      </w:pPr>
      <w:r w:rsidRPr="00A1665B">
        <w:rPr>
          <w:rFonts w:ascii="Times New Roman" w:hAnsi="Times New Roman" w:cs="Times New Roman"/>
          <w:b/>
          <w:color w:val="000000" w:themeColor="text1"/>
          <w:sz w:val="24"/>
          <w:szCs w:val="24"/>
          <w:lang w:val="ru-RU"/>
        </w:rPr>
        <w:t xml:space="preserve">Це керівництво містить рекомендації щодо використання препарату </w:t>
      </w:r>
      <w:r w:rsidRPr="00A1665B">
        <w:rPr>
          <w:rFonts w:ascii="Times New Roman" w:hAnsi="Times New Roman" w:cs="Times New Roman"/>
          <w:b/>
          <w:color w:val="000000" w:themeColor="text1"/>
          <w:sz w:val="24"/>
          <w:szCs w:val="24"/>
          <w:lang w:val="uk-UA"/>
        </w:rPr>
        <w:t>Прадакса</w:t>
      </w:r>
      <w:r w:rsidRPr="00A1665B">
        <w:rPr>
          <w:rFonts w:ascii="Times New Roman" w:hAnsi="Times New Roman" w:cs="Times New Roman"/>
          <w:b/>
          <w:color w:val="000000" w:themeColor="text1"/>
          <w:sz w:val="24"/>
          <w:szCs w:val="24"/>
          <w:lang w:val="ru-RU"/>
        </w:rPr>
        <w:t>® (дабігатрану етексилат) з метою зменшення ризику кровотеч</w:t>
      </w:r>
      <w:r w:rsidR="003C4A73" w:rsidRPr="00A1665B">
        <w:rPr>
          <w:rFonts w:ascii="Times New Roman" w:hAnsi="Times New Roman" w:cs="Times New Roman"/>
          <w:b/>
          <w:color w:val="000000" w:themeColor="text1"/>
          <w:sz w:val="24"/>
          <w:szCs w:val="24"/>
          <w:lang w:val="ru-RU"/>
        </w:rPr>
        <w:t>, включаючи:</w:t>
      </w:r>
    </w:p>
    <w:p w:rsidR="003C4A73" w:rsidRPr="00A1665B" w:rsidRDefault="003C4A73" w:rsidP="00494D70">
      <w:pPr>
        <w:spacing w:after="0"/>
        <w:rPr>
          <w:rFonts w:ascii="Times New Roman" w:hAnsi="Times New Roman" w:cs="Times New Roman"/>
          <w:color w:val="000000" w:themeColor="text1"/>
          <w:sz w:val="24"/>
          <w:szCs w:val="24"/>
          <w:lang w:val="ru-RU"/>
        </w:rPr>
      </w:pPr>
    </w:p>
    <w:p w:rsidR="003C4A73" w:rsidRPr="00A1665B" w:rsidRDefault="003C4A73" w:rsidP="00202FCB">
      <w:pPr>
        <w:pStyle w:val="ListParagraph"/>
        <w:numPr>
          <w:ilvl w:val="0"/>
          <w:numId w:val="36"/>
        </w:numPr>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 xml:space="preserve">Показання </w:t>
      </w:r>
    </w:p>
    <w:p w:rsidR="003C4A73" w:rsidRPr="00A1665B" w:rsidRDefault="003C4A73" w:rsidP="00202FCB">
      <w:pPr>
        <w:pStyle w:val="ListParagraph"/>
        <w:numPr>
          <w:ilvl w:val="0"/>
          <w:numId w:val="36"/>
        </w:numPr>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Протипоказання</w:t>
      </w:r>
    </w:p>
    <w:p w:rsidR="003C4A73" w:rsidRPr="00A1665B" w:rsidRDefault="003C4A73" w:rsidP="00202FCB">
      <w:pPr>
        <w:pStyle w:val="ListParagraph"/>
        <w:numPr>
          <w:ilvl w:val="0"/>
          <w:numId w:val="36"/>
        </w:numPr>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Дозування</w:t>
      </w:r>
    </w:p>
    <w:p w:rsidR="003C4A73" w:rsidRPr="00A1665B" w:rsidRDefault="003C4A73" w:rsidP="00202FCB">
      <w:pPr>
        <w:pStyle w:val="ListParagraph"/>
        <w:numPr>
          <w:ilvl w:val="0"/>
          <w:numId w:val="36"/>
        </w:numPr>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Спеціальні групи пацієнтів</w:t>
      </w:r>
    </w:p>
    <w:p w:rsidR="003C4A73" w:rsidRPr="00A1665B" w:rsidRDefault="003C4A73" w:rsidP="00202FCB">
      <w:pPr>
        <w:pStyle w:val="ListParagraph"/>
        <w:numPr>
          <w:ilvl w:val="0"/>
          <w:numId w:val="36"/>
        </w:numPr>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Ко</w:t>
      </w:r>
      <w:r w:rsidR="00202FCB" w:rsidRPr="00A1665B">
        <w:rPr>
          <w:rFonts w:ascii="Times New Roman" w:hAnsi="Times New Roman" w:cs="Times New Roman"/>
          <w:color w:val="000000" w:themeColor="text1"/>
          <w:sz w:val="24"/>
          <w:szCs w:val="24"/>
          <w:lang w:val="uk-UA"/>
        </w:rPr>
        <w:t>а</w:t>
      </w:r>
      <w:r w:rsidRPr="00A1665B">
        <w:rPr>
          <w:rFonts w:ascii="Times New Roman" w:hAnsi="Times New Roman" w:cs="Times New Roman"/>
          <w:color w:val="000000" w:themeColor="text1"/>
          <w:sz w:val="24"/>
          <w:szCs w:val="24"/>
          <w:lang w:val="uk-UA"/>
        </w:rPr>
        <w:t xml:space="preserve">гуляційні тести та їх інтерпретація </w:t>
      </w:r>
    </w:p>
    <w:p w:rsidR="00202FCB" w:rsidRPr="00A1665B" w:rsidRDefault="00202FCB" w:rsidP="00202FCB">
      <w:pPr>
        <w:pStyle w:val="ListParagraph"/>
        <w:numPr>
          <w:ilvl w:val="0"/>
          <w:numId w:val="36"/>
        </w:numPr>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Рекомендації у випадку передозування</w:t>
      </w:r>
    </w:p>
    <w:p w:rsidR="005A1433" w:rsidRPr="00A1665B" w:rsidRDefault="005A1433">
      <w:pPr>
        <w:spacing w:line="276" w:lineRule="auto"/>
        <w:rPr>
          <w:rFonts w:ascii="Times New Roman" w:hAnsi="Times New Roman" w:cs="Times New Roman"/>
          <w:color w:val="000000" w:themeColor="text1"/>
          <w:sz w:val="24"/>
          <w:szCs w:val="24"/>
          <w:lang w:val="uk-UA"/>
        </w:rPr>
      </w:pPr>
    </w:p>
    <w:p w:rsidR="00854E5C" w:rsidRPr="00A1665B" w:rsidRDefault="00854E5C" w:rsidP="00854E5C">
      <w:pPr>
        <w:spacing w:after="0"/>
        <w:contextualSpacing/>
        <w:rPr>
          <w:rFonts w:ascii="Times New Roman" w:hAnsi="Times New Roman" w:cs="Times New Roman"/>
          <w:color w:val="000000" w:themeColor="text1"/>
          <w:sz w:val="24"/>
          <w:szCs w:val="24"/>
          <w:vertAlign w:val="superscript"/>
          <w:lang w:val="ru-RU"/>
        </w:rPr>
      </w:pPr>
      <w:r w:rsidRPr="00A1665B">
        <w:rPr>
          <w:rFonts w:ascii="Times New Roman" w:hAnsi="Times New Roman" w:cs="Times New Roman"/>
          <w:color w:val="000000" w:themeColor="text1"/>
          <w:sz w:val="24"/>
          <w:szCs w:val="24"/>
          <w:lang w:val="uk-UA"/>
        </w:rPr>
        <w:t>Дане керівництво не замінює Інструкцію для медичного застосування лікарського засобу Прадакса</w:t>
      </w:r>
      <w:r w:rsidR="00576944" w:rsidRPr="00A1665B">
        <w:rPr>
          <w:rFonts w:ascii="Times New Roman" w:hAnsi="Times New Roman" w:cs="Times New Roman"/>
          <w:color w:val="000000" w:themeColor="text1"/>
          <w:sz w:val="24"/>
          <w:szCs w:val="24"/>
          <w:vertAlign w:val="superscript"/>
          <w:lang w:val="ru-RU"/>
        </w:rPr>
        <w:t>1</w:t>
      </w:r>
    </w:p>
    <w:p w:rsidR="00854E5C" w:rsidRPr="005A1433" w:rsidRDefault="00854E5C" w:rsidP="00854E5C">
      <w:pPr>
        <w:spacing w:after="0"/>
        <w:contextualSpacing/>
        <w:rPr>
          <w:rFonts w:ascii="Times New Roman" w:hAnsi="Times New Roman" w:cs="Times New Roman"/>
          <w:strike/>
          <w:sz w:val="24"/>
          <w:szCs w:val="24"/>
          <w:lang w:val="uk-UA"/>
        </w:rPr>
      </w:pPr>
    </w:p>
    <w:p w:rsidR="004C4D93" w:rsidRPr="002749B4" w:rsidRDefault="00A02371" w:rsidP="008F11E8">
      <w:pPr>
        <w:spacing w:after="0"/>
        <w:contextualSpacing/>
        <w:rPr>
          <w:rFonts w:ascii="Times New Roman" w:hAnsi="Times New Roman" w:cs="Times New Roman"/>
          <w:sz w:val="24"/>
          <w:szCs w:val="24"/>
          <w:lang w:val="uk-UA"/>
        </w:rPr>
      </w:pPr>
      <w:r w:rsidRPr="002749B4">
        <w:rPr>
          <w:rFonts w:ascii="Times New Roman" w:hAnsi="Times New Roman" w:cs="Times New Roman"/>
          <w:b/>
          <w:sz w:val="24"/>
          <w:szCs w:val="24"/>
          <w:lang w:val="uk-UA"/>
        </w:rPr>
        <w:t>Показання</w:t>
      </w:r>
    </w:p>
    <w:p w:rsidR="002172DA" w:rsidRPr="002749B4" w:rsidRDefault="002172DA" w:rsidP="008F11E8">
      <w:pPr>
        <w:spacing w:after="0"/>
        <w:contextualSpacing/>
        <w:rPr>
          <w:rFonts w:ascii="Times New Roman" w:hAnsi="Times New Roman" w:cs="Times New Roman"/>
          <w:b/>
          <w:sz w:val="24"/>
          <w:szCs w:val="24"/>
          <w:lang w:val="da-DK"/>
        </w:rPr>
      </w:pPr>
    </w:p>
    <w:p w:rsidR="00432D60" w:rsidRPr="00432D60" w:rsidRDefault="00432D60" w:rsidP="00432D60">
      <w:pPr>
        <w:pStyle w:val="ListParagraph"/>
        <w:numPr>
          <w:ilvl w:val="0"/>
          <w:numId w:val="33"/>
        </w:numPr>
        <w:spacing w:after="0"/>
        <w:rPr>
          <w:rFonts w:ascii="Times New Roman" w:hAnsi="Times New Roman" w:cs="Times New Roman"/>
          <w:sz w:val="24"/>
          <w:szCs w:val="24"/>
          <w:lang w:val="da-DK"/>
        </w:rPr>
      </w:pPr>
      <w:r w:rsidRPr="00432D60">
        <w:rPr>
          <w:rFonts w:ascii="Times New Roman" w:hAnsi="Times New Roman" w:cs="Times New Roman"/>
          <w:sz w:val="24"/>
          <w:szCs w:val="24"/>
          <w:lang w:val="ru-RU"/>
        </w:rPr>
        <w:t>Запобігання</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інсульту</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та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системній</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емболії</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у</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дорослих</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пацієнтів</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з</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неклапанною</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фібриляцією</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передсердь</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НФП</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з</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одним</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або</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більше</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факторів</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ризику</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таких</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як</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перенесений</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інсульт</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або</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транзиторна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ішемічна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атака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ТІА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вік</w:t>
      </w:r>
      <w:r w:rsidRPr="00432D60">
        <w:rPr>
          <w:rFonts w:ascii="Times New Roman" w:hAnsi="Times New Roman" w:cs="Times New Roman"/>
          <w:sz w:val="24"/>
          <w:szCs w:val="24"/>
          <w:lang w:val="da-DK"/>
        </w:rPr>
        <w:t xml:space="preserve"> ≥ 75 </w:t>
      </w:r>
      <w:r w:rsidRPr="00432D60">
        <w:rPr>
          <w:rFonts w:ascii="Times New Roman" w:hAnsi="Times New Roman" w:cs="Times New Roman"/>
          <w:sz w:val="24"/>
          <w:szCs w:val="24"/>
          <w:lang w:val="ru-RU"/>
        </w:rPr>
        <w:t>років</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серцева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недостатність</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Нью</w:t>
      </w:r>
      <w:r w:rsidRPr="00432D60">
        <w:rPr>
          <w:rFonts w:ascii="Times New Roman" w:hAnsi="Times New Roman" w:cs="Times New Roman"/>
          <w:sz w:val="24"/>
          <w:szCs w:val="24"/>
          <w:lang w:val="da-DK"/>
        </w:rPr>
        <w:t>-</w:t>
      </w:r>
      <w:r w:rsidRPr="00432D60">
        <w:rPr>
          <w:rFonts w:ascii="Times New Roman" w:hAnsi="Times New Roman" w:cs="Times New Roman"/>
          <w:sz w:val="24"/>
          <w:szCs w:val="24"/>
          <w:lang w:val="ru-RU"/>
        </w:rPr>
        <w:t>Йоркська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Асоціація</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Кардіологів</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НАК</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клас</w:t>
      </w:r>
      <w:r w:rsidRPr="00432D60">
        <w:rPr>
          <w:rFonts w:ascii="Times New Roman" w:hAnsi="Times New Roman" w:cs="Times New Roman"/>
          <w:sz w:val="24"/>
          <w:szCs w:val="24"/>
          <w:lang w:val="da-DK"/>
        </w:rPr>
        <w:t xml:space="preserve"> ≥ </w:t>
      </w:r>
      <w:r w:rsidRPr="00432D60">
        <w:rPr>
          <w:rFonts w:ascii="Times New Roman" w:hAnsi="Times New Roman" w:cs="Times New Roman"/>
          <w:sz w:val="24"/>
          <w:szCs w:val="24"/>
          <w:lang w:val="ru-RU"/>
        </w:rPr>
        <w:t>ІІ</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цукровий</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діабет</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або</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артеріальна</w:t>
      </w:r>
      <w:r w:rsidRPr="00432D60">
        <w:rPr>
          <w:rFonts w:ascii="Times New Roman" w:hAnsi="Times New Roman" w:cs="Times New Roman"/>
          <w:sz w:val="24"/>
          <w:szCs w:val="24"/>
          <w:lang w:val="da-DK"/>
        </w:rPr>
        <w:t xml:space="preserve"> </w:t>
      </w:r>
      <w:r w:rsidRPr="00432D60">
        <w:rPr>
          <w:rFonts w:ascii="Times New Roman" w:hAnsi="Times New Roman" w:cs="Times New Roman"/>
          <w:sz w:val="24"/>
          <w:szCs w:val="24"/>
          <w:lang w:val="ru-RU"/>
        </w:rPr>
        <w:t>гіпертензія</w:t>
      </w:r>
      <w:r w:rsidRPr="00432D60">
        <w:rPr>
          <w:rFonts w:ascii="Times New Roman" w:hAnsi="Times New Roman" w:cs="Times New Roman"/>
          <w:sz w:val="24"/>
          <w:szCs w:val="24"/>
          <w:lang w:val="da-DK"/>
        </w:rPr>
        <w:t>.</w:t>
      </w:r>
    </w:p>
    <w:p w:rsidR="004C4D93" w:rsidRPr="00432D60" w:rsidRDefault="00432D60" w:rsidP="00432D60">
      <w:pPr>
        <w:pStyle w:val="ListParagraph"/>
        <w:numPr>
          <w:ilvl w:val="0"/>
          <w:numId w:val="33"/>
        </w:numPr>
        <w:spacing w:after="0"/>
        <w:rPr>
          <w:rFonts w:ascii="Times New Roman" w:hAnsi="Times New Roman" w:cs="Times New Roman"/>
          <w:sz w:val="24"/>
          <w:szCs w:val="24"/>
          <w:lang w:val="uk-UA"/>
        </w:rPr>
      </w:pPr>
      <w:proofErr w:type="spellStart"/>
      <w:r w:rsidRPr="00432D60">
        <w:rPr>
          <w:rFonts w:ascii="Times New Roman" w:hAnsi="Times New Roman" w:cs="Times New Roman"/>
          <w:sz w:val="24"/>
          <w:szCs w:val="24"/>
        </w:rPr>
        <w:t>Лікування</w:t>
      </w:r>
      <w:proofErr w:type="spellEnd"/>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тромбозу</w:t>
      </w:r>
      <w:proofErr w:type="spellEnd"/>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глибоких</w:t>
      </w:r>
      <w:proofErr w:type="spellEnd"/>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вен</w:t>
      </w:r>
      <w:proofErr w:type="spellEnd"/>
      <w:r w:rsidRPr="001646C8">
        <w:rPr>
          <w:rFonts w:ascii="Times New Roman" w:hAnsi="Times New Roman" w:cs="Times New Roman"/>
          <w:sz w:val="24"/>
          <w:szCs w:val="24"/>
          <w:lang w:val="da-DK"/>
        </w:rPr>
        <w:t xml:space="preserve"> (</w:t>
      </w:r>
      <w:r w:rsidRPr="00432D60">
        <w:rPr>
          <w:rFonts w:ascii="Times New Roman" w:hAnsi="Times New Roman" w:cs="Times New Roman"/>
          <w:sz w:val="24"/>
          <w:szCs w:val="24"/>
        </w:rPr>
        <w:t>ТГВ</w:t>
      </w:r>
      <w:r w:rsidRPr="001646C8">
        <w:rPr>
          <w:rFonts w:ascii="Times New Roman" w:hAnsi="Times New Roman" w:cs="Times New Roman"/>
          <w:sz w:val="24"/>
          <w:szCs w:val="24"/>
          <w:lang w:val="da-DK"/>
        </w:rPr>
        <w:t xml:space="preserve">) </w:t>
      </w:r>
      <w:r w:rsidRPr="00432D60">
        <w:rPr>
          <w:rFonts w:ascii="Times New Roman" w:hAnsi="Times New Roman" w:cs="Times New Roman"/>
          <w:sz w:val="24"/>
          <w:szCs w:val="24"/>
        </w:rPr>
        <w:t>і</w:t>
      </w:r>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легеневої</w:t>
      </w:r>
      <w:proofErr w:type="spellEnd"/>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емболії</w:t>
      </w:r>
      <w:proofErr w:type="spellEnd"/>
      <w:r w:rsidRPr="001646C8">
        <w:rPr>
          <w:rFonts w:ascii="Times New Roman" w:hAnsi="Times New Roman" w:cs="Times New Roman"/>
          <w:sz w:val="24"/>
          <w:szCs w:val="24"/>
          <w:lang w:val="da-DK"/>
        </w:rPr>
        <w:t xml:space="preserve"> (</w:t>
      </w:r>
      <w:r w:rsidRPr="00432D60">
        <w:rPr>
          <w:rFonts w:ascii="Times New Roman" w:hAnsi="Times New Roman" w:cs="Times New Roman"/>
          <w:sz w:val="24"/>
          <w:szCs w:val="24"/>
        </w:rPr>
        <w:t>ЛЕ</w:t>
      </w:r>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та</w:t>
      </w:r>
      <w:proofErr w:type="spellEnd"/>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запобігання</w:t>
      </w:r>
      <w:proofErr w:type="spellEnd"/>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рецидивуючому</w:t>
      </w:r>
      <w:proofErr w:type="spellEnd"/>
      <w:r w:rsidRPr="001646C8">
        <w:rPr>
          <w:rFonts w:ascii="Times New Roman" w:hAnsi="Times New Roman" w:cs="Times New Roman"/>
          <w:sz w:val="24"/>
          <w:szCs w:val="24"/>
          <w:lang w:val="da-DK"/>
        </w:rPr>
        <w:t xml:space="preserve"> </w:t>
      </w:r>
      <w:r w:rsidRPr="00432D60">
        <w:rPr>
          <w:rFonts w:ascii="Times New Roman" w:hAnsi="Times New Roman" w:cs="Times New Roman"/>
          <w:sz w:val="24"/>
          <w:szCs w:val="24"/>
        </w:rPr>
        <w:t>ТГВ</w:t>
      </w:r>
      <w:r w:rsidRPr="001646C8">
        <w:rPr>
          <w:rFonts w:ascii="Times New Roman" w:hAnsi="Times New Roman" w:cs="Times New Roman"/>
          <w:sz w:val="24"/>
          <w:szCs w:val="24"/>
          <w:lang w:val="da-DK"/>
        </w:rPr>
        <w:t xml:space="preserve"> </w:t>
      </w:r>
      <w:r w:rsidRPr="00432D60">
        <w:rPr>
          <w:rFonts w:ascii="Times New Roman" w:hAnsi="Times New Roman" w:cs="Times New Roman"/>
          <w:sz w:val="24"/>
          <w:szCs w:val="24"/>
        </w:rPr>
        <w:t>і</w:t>
      </w:r>
      <w:r w:rsidRPr="001646C8">
        <w:rPr>
          <w:rFonts w:ascii="Times New Roman" w:hAnsi="Times New Roman" w:cs="Times New Roman"/>
          <w:sz w:val="24"/>
          <w:szCs w:val="24"/>
          <w:lang w:val="da-DK"/>
        </w:rPr>
        <w:t xml:space="preserve"> </w:t>
      </w:r>
      <w:r w:rsidRPr="00432D60">
        <w:rPr>
          <w:rFonts w:ascii="Times New Roman" w:hAnsi="Times New Roman" w:cs="Times New Roman"/>
          <w:sz w:val="24"/>
          <w:szCs w:val="24"/>
        </w:rPr>
        <w:t>ЛЕ</w:t>
      </w:r>
      <w:r w:rsidRPr="001646C8">
        <w:rPr>
          <w:rFonts w:ascii="Times New Roman" w:hAnsi="Times New Roman" w:cs="Times New Roman"/>
          <w:sz w:val="24"/>
          <w:szCs w:val="24"/>
          <w:lang w:val="da-DK"/>
        </w:rPr>
        <w:t xml:space="preserve"> </w:t>
      </w:r>
      <w:r w:rsidRPr="00432D60">
        <w:rPr>
          <w:rFonts w:ascii="Times New Roman" w:hAnsi="Times New Roman" w:cs="Times New Roman"/>
          <w:sz w:val="24"/>
          <w:szCs w:val="24"/>
        </w:rPr>
        <w:t>у</w:t>
      </w:r>
      <w:r w:rsidRPr="001646C8">
        <w:rPr>
          <w:rFonts w:ascii="Times New Roman" w:hAnsi="Times New Roman" w:cs="Times New Roman"/>
          <w:sz w:val="24"/>
          <w:szCs w:val="24"/>
          <w:lang w:val="da-DK"/>
        </w:rPr>
        <w:t xml:space="preserve"> </w:t>
      </w:r>
      <w:proofErr w:type="spellStart"/>
      <w:r w:rsidRPr="00432D60">
        <w:rPr>
          <w:rFonts w:ascii="Times New Roman" w:hAnsi="Times New Roman" w:cs="Times New Roman"/>
          <w:sz w:val="24"/>
          <w:szCs w:val="24"/>
        </w:rPr>
        <w:t>дорослих</w:t>
      </w:r>
      <w:proofErr w:type="spellEnd"/>
      <w:r w:rsidRPr="001646C8">
        <w:rPr>
          <w:rFonts w:ascii="Times New Roman" w:hAnsi="Times New Roman" w:cs="Times New Roman"/>
          <w:sz w:val="24"/>
          <w:szCs w:val="24"/>
          <w:lang w:val="da-DK"/>
        </w:rPr>
        <w:t>.</w:t>
      </w:r>
    </w:p>
    <w:p w:rsidR="00432D60" w:rsidRPr="00432D60" w:rsidRDefault="00432D60" w:rsidP="00432D60">
      <w:pPr>
        <w:spacing w:after="0"/>
        <w:contextualSpacing/>
        <w:rPr>
          <w:rFonts w:ascii="Times New Roman" w:hAnsi="Times New Roman" w:cs="Times New Roman"/>
          <w:sz w:val="24"/>
          <w:szCs w:val="24"/>
          <w:lang w:val="uk-UA"/>
        </w:rPr>
      </w:pPr>
    </w:p>
    <w:p w:rsidR="0051077C" w:rsidRPr="002749B4" w:rsidRDefault="00A02371" w:rsidP="0029557E">
      <w:pPr>
        <w:spacing w:line="276" w:lineRule="auto"/>
        <w:rPr>
          <w:rFonts w:ascii="Times New Roman" w:hAnsi="Times New Roman" w:cs="Times New Roman"/>
          <w:b/>
          <w:sz w:val="24"/>
          <w:szCs w:val="24"/>
          <w:lang w:val="uk-UA"/>
        </w:rPr>
      </w:pPr>
      <w:r w:rsidRPr="002749B4">
        <w:rPr>
          <w:rFonts w:ascii="Times New Roman" w:hAnsi="Times New Roman" w:cs="Times New Roman"/>
          <w:b/>
          <w:sz w:val="24"/>
          <w:szCs w:val="24"/>
          <w:lang w:val="uk-UA"/>
        </w:rPr>
        <w:t>Протипоказання</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Відома підвищена чутливість до дабігатрану або дабігатрану етексилату, або до будь-якого з інгредієнтів препарату.</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Тяжкі порушення функції нирок (кліренс креатиніну &lt; 30 мл/хв).</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proofErr w:type="spellStart"/>
      <w:r w:rsidRPr="002749B4">
        <w:rPr>
          <w:rFonts w:ascii="Times New Roman" w:eastAsia="Times New Roman" w:hAnsi="Times New Roman" w:cs="Times New Roman"/>
          <w:sz w:val="24"/>
          <w:szCs w:val="24"/>
          <w:lang w:eastAsia="de-DE"/>
        </w:rPr>
        <w:t>Активні</w:t>
      </w:r>
      <w:proofErr w:type="spellEnd"/>
      <w:r w:rsidRPr="002749B4">
        <w:rPr>
          <w:rFonts w:ascii="Times New Roman" w:eastAsia="Times New Roman" w:hAnsi="Times New Roman" w:cs="Times New Roman"/>
          <w:sz w:val="24"/>
          <w:szCs w:val="24"/>
          <w:lang w:eastAsia="de-DE"/>
        </w:rPr>
        <w:t xml:space="preserve"> </w:t>
      </w:r>
      <w:proofErr w:type="spellStart"/>
      <w:r w:rsidRPr="002749B4">
        <w:rPr>
          <w:rFonts w:ascii="Times New Roman" w:eastAsia="Times New Roman" w:hAnsi="Times New Roman" w:cs="Times New Roman"/>
          <w:sz w:val="24"/>
          <w:szCs w:val="24"/>
          <w:lang w:eastAsia="de-DE"/>
        </w:rPr>
        <w:t>клінічно</w:t>
      </w:r>
      <w:proofErr w:type="spellEnd"/>
      <w:r w:rsidRPr="002749B4">
        <w:rPr>
          <w:rFonts w:ascii="Times New Roman" w:eastAsia="Times New Roman" w:hAnsi="Times New Roman" w:cs="Times New Roman"/>
          <w:sz w:val="24"/>
          <w:szCs w:val="24"/>
          <w:lang w:eastAsia="de-DE"/>
        </w:rPr>
        <w:t xml:space="preserve"> </w:t>
      </w:r>
      <w:proofErr w:type="spellStart"/>
      <w:r w:rsidRPr="002749B4">
        <w:rPr>
          <w:rFonts w:ascii="Times New Roman" w:eastAsia="Times New Roman" w:hAnsi="Times New Roman" w:cs="Times New Roman"/>
          <w:sz w:val="24"/>
          <w:szCs w:val="24"/>
          <w:lang w:eastAsia="de-DE"/>
        </w:rPr>
        <w:t>значущі</w:t>
      </w:r>
      <w:proofErr w:type="spellEnd"/>
      <w:r w:rsidRPr="002749B4">
        <w:rPr>
          <w:rFonts w:ascii="Times New Roman" w:eastAsia="Times New Roman" w:hAnsi="Times New Roman" w:cs="Times New Roman"/>
          <w:sz w:val="24"/>
          <w:szCs w:val="24"/>
          <w:lang w:eastAsia="de-DE"/>
        </w:rPr>
        <w:t xml:space="preserve"> </w:t>
      </w:r>
      <w:proofErr w:type="spellStart"/>
      <w:r w:rsidRPr="002749B4">
        <w:rPr>
          <w:rFonts w:ascii="Times New Roman" w:eastAsia="Times New Roman" w:hAnsi="Times New Roman" w:cs="Times New Roman"/>
          <w:sz w:val="24"/>
          <w:szCs w:val="24"/>
          <w:lang w:eastAsia="de-DE"/>
        </w:rPr>
        <w:t>кровотечі</w:t>
      </w:r>
      <w:proofErr w:type="spellEnd"/>
      <w:r w:rsidRPr="002749B4">
        <w:rPr>
          <w:rFonts w:ascii="Times New Roman" w:eastAsia="Times New Roman" w:hAnsi="Times New Roman" w:cs="Times New Roman"/>
          <w:sz w:val="24"/>
          <w:szCs w:val="24"/>
          <w:lang w:eastAsia="de-DE"/>
        </w:rPr>
        <w:t>.</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Пошкодження або стан, який розглядається як істотний фактор ризику</w:t>
      </w:r>
      <w:r w:rsidRPr="002749B4">
        <w:rPr>
          <w:rFonts w:ascii="Times New Roman" w:hAnsi="Times New Roman" w:cs="Times New Roman"/>
          <w:sz w:val="24"/>
          <w:szCs w:val="24"/>
          <w:lang w:val="ru-RU"/>
        </w:rPr>
        <w:t xml:space="preserve"> значних кровотеч, зокрема </w:t>
      </w:r>
      <w:r w:rsidRPr="002749B4">
        <w:rPr>
          <w:rFonts w:ascii="Times New Roman" w:eastAsia="Times New Roman" w:hAnsi="Times New Roman" w:cs="Times New Roman"/>
          <w:sz w:val="24"/>
          <w:szCs w:val="24"/>
          <w:lang w:val="ru-RU" w:eastAsia="de-DE"/>
        </w:rPr>
        <w:t xml:space="preserve">поточна або нещодавня шлунково-кишкова виразка, наявність злоякісних пухлин з високим ризиком кровотечі, нещодавнє пошкодження головного або спинного мозку, хірургічна операція на спинному мозку або офтальмологічна хірургічна операція, нещодавня внутрішньомозкова кровотеча, відоме або підозрюване </w:t>
      </w:r>
      <w:r w:rsidRPr="002749B4">
        <w:rPr>
          <w:rFonts w:ascii="Times New Roman" w:eastAsia="Times New Roman" w:hAnsi="Times New Roman" w:cs="Times New Roman"/>
          <w:sz w:val="24"/>
          <w:szCs w:val="24"/>
          <w:lang w:val="ru-RU" w:eastAsia="de-DE"/>
        </w:rPr>
        <w:lastRenderedPageBreak/>
        <w:t>езофагеальне варикозне розширення судин, артеріовенозні мальформації, судинні аневризми або значні інтраспінальні або інтрацеребральні судинні патології.</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Одночасне застосування будь-якого антикоагуляційного лікарського засобу, такого як нефракціонований гепарин (НФГ), низькомолекулярні гепарини (еноксапарин, дальтепарин та ін.), похідні гепарину (фондапаринукс та ін.), пероральні антикоагулянти (варфарин, ривароксабан, апіксабан та ін.), за винятком випадків переходу із або на антикоагулянтну терапію або коли НФГ застосовують у дозах, необхідних для підтримання відкритого центрального венозного або артеріального катетера.</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Порушення функції печінки або захворювання печінки, що може вплинути на виживання.</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 xml:space="preserve">Одночасне лікування системним кетоконазолом, циклоспорином, ітраконазолом та </w:t>
      </w:r>
      <w:r w:rsidRPr="002749B4">
        <w:rPr>
          <w:rFonts w:ascii="Times New Roman" w:hAnsi="Times New Roman" w:cs="Times New Roman"/>
          <w:sz w:val="24"/>
          <w:szCs w:val="24"/>
          <w:lang w:val="ru-RU"/>
        </w:rPr>
        <w:t>дронедароном</w:t>
      </w:r>
      <w:r w:rsidRPr="002749B4">
        <w:rPr>
          <w:rFonts w:ascii="Times New Roman" w:eastAsia="Times New Roman" w:hAnsi="Times New Roman" w:cs="Times New Roman"/>
          <w:sz w:val="24"/>
          <w:szCs w:val="24"/>
          <w:lang w:val="ru-RU" w:eastAsia="de-DE"/>
        </w:rPr>
        <w:t>.</w:t>
      </w:r>
    </w:p>
    <w:p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Штучний клапан серця, що потребує антикоагулянтної терапії.</w:t>
      </w:r>
    </w:p>
    <w:p w:rsidR="000A5532" w:rsidRDefault="000A5532" w:rsidP="008F11E8">
      <w:pPr>
        <w:spacing w:after="0"/>
        <w:contextualSpacing/>
        <w:rPr>
          <w:rFonts w:ascii="Times New Roman" w:hAnsi="Times New Roman" w:cs="Times New Roman"/>
          <w:sz w:val="24"/>
          <w:szCs w:val="24"/>
          <w:lang w:val="ru-RU"/>
        </w:rPr>
      </w:pPr>
    </w:p>
    <w:p w:rsidR="00432D60" w:rsidRDefault="00432D60" w:rsidP="00432D60">
      <w:pPr>
        <w:spacing w:after="0"/>
        <w:rPr>
          <w:rFonts w:ascii="Times New Roman" w:eastAsia="Times New Roman" w:hAnsi="Times New Roman" w:cs="Times New Roman"/>
          <w:b/>
          <w:i/>
          <w:sz w:val="24"/>
          <w:szCs w:val="24"/>
          <w:lang w:val="ru-RU" w:eastAsia="fr-FR"/>
        </w:rPr>
      </w:pPr>
      <w:r>
        <w:rPr>
          <w:rFonts w:ascii="Times New Roman" w:eastAsia="Times New Roman" w:hAnsi="Times New Roman" w:cs="Times New Roman"/>
          <w:b/>
          <w:i/>
          <w:sz w:val="24"/>
          <w:szCs w:val="24"/>
          <w:lang w:val="ru-RU" w:eastAsia="fr-FR"/>
        </w:rPr>
        <w:t>Хворі на рак</w:t>
      </w:r>
      <w:r w:rsidR="002629C8">
        <w:rPr>
          <w:rFonts w:ascii="Times New Roman" w:eastAsia="Times New Roman" w:hAnsi="Times New Roman" w:cs="Times New Roman"/>
          <w:b/>
          <w:i/>
          <w:sz w:val="24"/>
          <w:szCs w:val="24"/>
          <w:lang w:val="ru-RU" w:eastAsia="fr-FR"/>
        </w:rPr>
        <w:t xml:space="preserve"> з ТГВ/ЛЕ</w:t>
      </w:r>
    </w:p>
    <w:p w:rsidR="00432D60" w:rsidRPr="00432D60" w:rsidRDefault="00432D60" w:rsidP="00432D60">
      <w:pPr>
        <w:spacing w:after="0"/>
        <w:rPr>
          <w:rFonts w:ascii="Times New Roman" w:hAnsi="Times New Roman" w:cs="Times New Roman"/>
          <w:sz w:val="24"/>
          <w:szCs w:val="24"/>
          <w:lang w:val="ru-RU"/>
        </w:rPr>
      </w:pPr>
      <w:r w:rsidRPr="00432D60">
        <w:rPr>
          <w:rFonts w:ascii="Times New Roman" w:eastAsia="Times New Roman" w:hAnsi="Times New Roman" w:cs="Times New Roman"/>
          <w:sz w:val="24"/>
          <w:szCs w:val="24"/>
          <w:lang w:val="ru-RU" w:eastAsia="fr-FR"/>
        </w:rPr>
        <w:t xml:space="preserve">Ефективність та безпека застосування </w:t>
      </w:r>
      <w:r>
        <w:rPr>
          <w:rFonts w:ascii="Times New Roman" w:eastAsia="Times New Roman" w:hAnsi="Times New Roman" w:cs="Times New Roman"/>
          <w:sz w:val="24"/>
          <w:szCs w:val="24"/>
          <w:lang w:val="ru-RU" w:eastAsia="fr-FR"/>
        </w:rPr>
        <w:t xml:space="preserve">препарату </w:t>
      </w:r>
      <w:r w:rsidRPr="00432D60">
        <w:rPr>
          <w:rFonts w:ascii="Times New Roman" w:eastAsia="Times New Roman" w:hAnsi="Times New Roman" w:cs="Times New Roman"/>
          <w:sz w:val="24"/>
          <w:szCs w:val="24"/>
          <w:lang w:val="ru-RU" w:eastAsia="fr-FR"/>
        </w:rPr>
        <w:t>П</w:t>
      </w:r>
      <w:r>
        <w:rPr>
          <w:rFonts w:ascii="Times New Roman" w:eastAsia="Times New Roman" w:hAnsi="Times New Roman" w:cs="Times New Roman"/>
          <w:sz w:val="24"/>
          <w:szCs w:val="24"/>
          <w:lang w:val="ru-RU" w:eastAsia="fr-FR"/>
        </w:rPr>
        <w:t>радакса® під час лікування ТГВ/ЛЕ та запобігання ТГВ/ЛЕ</w:t>
      </w:r>
      <w:r w:rsidRPr="00432D60">
        <w:rPr>
          <w:rFonts w:ascii="Times New Roman" w:eastAsia="Times New Roman" w:hAnsi="Times New Roman" w:cs="Times New Roman"/>
          <w:sz w:val="24"/>
          <w:szCs w:val="24"/>
          <w:lang w:val="ru-RU" w:eastAsia="fr-FR"/>
        </w:rPr>
        <w:t xml:space="preserve"> для данної групи пацієнтів не досліджувалися.</w:t>
      </w:r>
    </w:p>
    <w:p w:rsidR="00432D60" w:rsidRDefault="00432D60" w:rsidP="008F11E8">
      <w:pPr>
        <w:spacing w:after="0"/>
        <w:contextualSpacing/>
        <w:rPr>
          <w:rFonts w:ascii="Times New Roman" w:hAnsi="Times New Roman" w:cs="Times New Roman"/>
          <w:sz w:val="24"/>
          <w:szCs w:val="24"/>
          <w:lang w:val="ru-RU"/>
        </w:rPr>
      </w:pPr>
    </w:p>
    <w:p w:rsidR="009F1BC9" w:rsidRPr="002749B4" w:rsidRDefault="009F1BC9" w:rsidP="008F11E8">
      <w:pPr>
        <w:spacing w:after="0"/>
        <w:contextualSpacing/>
        <w:rPr>
          <w:rFonts w:ascii="Times New Roman" w:hAnsi="Times New Roman" w:cs="Times New Roman"/>
          <w:sz w:val="24"/>
          <w:szCs w:val="24"/>
          <w:lang w:val="ru-RU"/>
        </w:rPr>
      </w:pPr>
    </w:p>
    <w:p w:rsidR="004C4D93" w:rsidRDefault="00A02371" w:rsidP="0029557E">
      <w:pPr>
        <w:spacing w:line="276" w:lineRule="auto"/>
        <w:rPr>
          <w:rFonts w:ascii="Times New Roman" w:hAnsi="Times New Roman" w:cs="Times New Roman"/>
          <w:b/>
          <w:sz w:val="24"/>
          <w:szCs w:val="24"/>
          <w:vertAlign w:val="superscript"/>
          <w:lang w:val="uk-UA"/>
        </w:rPr>
      </w:pPr>
      <w:r w:rsidRPr="002749B4">
        <w:rPr>
          <w:rFonts w:ascii="Times New Roman" w:hAnsi="Times New Roman" w:cs="Times New Roman"/>
          <w:b/>
          <w:sz w:val="24"/>
          <w:szCs w:val="24"/>
          <w:lang w:val="uk-UA"/>
        </w:rPr>
        <w:t>Дозування</w:t>
      </w:r>
    </w:p>
    <w:p w:rsidR="002629C8" w:rsidRDefault="002629C8" w:rsidP="0029557E">
      <w:pPr>
        <w:spacing w:line="276" w:lineRule="auto"/>
        <w:rPr>
          <w:rFonts w:ascii="Times New Roman" w:hAnsi="Times New Roman" w:cs="Times New Roman"/>
          <w:sz w:val="24"/>
          <w:szCs w:val="24"/>
          <w:lang w:val="ru-RU"/>
        </w:rPr>
      </w:pPr>
      <w:r w:rsidRPr="002749B4">
        <w:rPr>
          <w:rFonts w:ascii="Times New Roman" w:hAnsi="Times New Roman" w:cs="Times New Roman"/>
          <w:sz w:val="24"/>
          <w:szCs w:val="24"/>
          <w:lang w:val="ru-RU"/>
        </w:rPr>
        <w:t xml:space="preserve">Рекомендована добова доза </w:t>
      </w:r>
      <w:r>
        <w:rPr>
          <w:rFonts w:ascii="Times New Roman" w:hAnsi="Times New Roman" w:cs="Times New Roman"/>
          <w:sz w:val="24"/>
          <w:szCs w:val="24"/>
          <w:lang w:val="ru-RU"/>
        </w:rPr>
        <w:t>150 мг два рази на добу</w:t>
      </w:r>
    </w:p>
    <w:p w:rsidR="00040F76" w:rsidRPr="00A72324" w:rsidRDefault="00040F76" w:rsidP="00040F76">
      <w:pPr>
        <w:spacing w:after="0"/>
        <w:rPr>
          <w:rFonts w:ascii="Times New Roman" w:eastAsia="Times New Roman" w:hAnsi="Times New Roman" w:cs="Times New Roman"/>
          <w:i/>
          <w:sz w:val="24"/>
          <w:szCs w:val="24"/>
          <w:u w:val="single"/>
          <w:lang w:val="ru-RU" w:eastAsia="de-DE"/>
        </w:rPr>
      </w:pPr>
      <w:r w:rsidRPr="00040F76">
        <w:rPr>
          <w:rFonts w:ascii="Times New Roman" w:eastAsia="Times New Roman" w:hAnsi="Times New Roman" w:cs="Times New Roman"/>
          <w:i/>
          <w:sz w:val="24"/>
          <w:szCs w:val="24"/>
          <w:u w:val="single"/>
          <w:lang w:val="ru-RU" w:eastAsia="de-DE"/>
        </w:rPr>
        <w:t>Запобігання інсульту та системній емболії у дорослих пацієнтів з неклапанною фібриляцією передсердь</w:t>
      </w:r>
      <w:r w:rsidR="00A72324">
        <w:rPr>
          <w:rFonts w:ascii="Times New Roman" w:eastAsia="Times New Roman" w:hAnsi="Times New Roman" w:cs="Times New Roman"/>
          <w:i/>
          <w:sz w:val="24"/>
          <w:szCs w:val="24"/>
          <w:u w:val="single"/>
          <w:lang w:val="ru-RU" w:eastAsia="de-DE"/>
        </w:rPr>
        <w:t xml:space="preserve"> </w:t>
      </w:r>
      <w:r w:rsidR="00A72324" w:rsidRPr="00435BCB">
        <w:rPr>
          <w:rFonts w:ascii="Times New Roman" w:eastAsia="Times New Roman" w:hAnsi="Times New Roman"/>
          <w:i/>
          <w:sz w:val="24"/>
          <w:szCs w:val="24"/>
          <w:u w:val="single"/>
          <w:lang w:val="ru-RU" w:eastAsia="de-DE"/>
        </w:rPr>
        <w:t xml:space="preserve"> з одним або більше фактор</w:t>
      </w:r>
      <w:r w:rsidR="00D3016F">
        <w:rPr>
          <w:rFonts w:ascii="Times New Roman" w:eastAsia="Times New Roman" w:hAnsi="Times New Roman"/>
          <w:i/>
          <w:sz w:val="24"/>
          <w:szCs w:val="24"/>
          <w:u w:val="single"/>
          <w:lang w:val="ru-RU" w:eastAsia="de-DE"/>
        </w:rPr>
        <w:t>іів</w:t>
      </w:r>
      <w:r w:rsidR="00A72324" w:rsidRPr="00435BCB">
        <w:rPr>
          <w:rFonts w:ascii="Times New Roman" w:eastAsia="Times New Roman" w:hAnsi="Times New Roman"/>
          <w:i/>
          <w:sz w:val="24"/>
          <w:szCs w:val="24"/>
          <w:u w:val="single"/>
          <w:lang w:val="ru-RU" w:eastAsia="de-DE"/>
        </w:rPr>
        <w:t xml:space="preserve"> ризику</w:t>
      </w:r>
    </w:p>
    <w:p w:rsidR="00040F76" w:rsidRPr="001646C8" w:rsidRDefault="00040F76" w:rsidP="00040F76">
      <w:pPr>
        <w:spacing w:after="0"/>
        <w:rPr>
          <w:rFonts w:ascii="Times New Roman" w:eastAsia="Times New Roman" w:hAnsi="Times New Roman" w:cs="Times New Roman"/>
          <w:sz w:val="24"/>
          <w:szCs w:val="24"/>
          <w:lang w:val="ru-RU" w:eastAsia="de-DE"/>
        </w:rPr>
      </w:pPr>
      <w:r w:rsidRPr="00040F76">
        <w:rPr>
          <w:rFonts w:ascii="Times New Roman" w:eastAsia="Times New Roman" w:hAnsi="Times New Roman" w:cs="Times New Roman"/>
          <w:sz w:val="24"/>
          <w:szCs w:val="24"/>
          <w:lang w:val="ru-RU" w:eastAsia="de-DE"/>
        </w:rPr>
        <w:t>Рекомендована доза препарату становить 300</w:t>
      </w:r>
      <w:r w:rsidRPr="00FC64FB">
        <w:rPr>
          <w:rFonts w:ascii="Times New Roman" w:eastAsia="Times New Roman" w:hAnsi="Times New Roman" w:cs="Times New Roman"/>
          <w:sz w:val="24"/>
          <w:szCs w:val="24"/>
          <w:lang w:val="ru-RU" w:eastAsia="de-DE"/>
        </w:rPr>
        <w:t xml:space="preserve"> </w:t>
      </w:r>
      <w:r w:rsidRPr="00040F76">
        <w:rPr>
          <w:rFonts w:ascii="Times New Roman" w:eastAsia="Times New Roman" w:hAnsi="Times New Roman" w:cs="Times New Roman"/>
          <w:sz w:val="24"/>
          <w:szCs w:val="24"/>
          <w:lang w:val="ru-RU" w:eastAsia="de-DE"/>
        </w:rPr>
        <w:t xml:space="preserve">мг – по 1 капсулі 150 мг 2 рази на добу. </w:t>
      </w:r>
      <w:r w:rsidRPr="001646C8">
        <w:rPr>
          <w:rFonts w:ascii="Times New Roman" w:eastAsia="Times New Roman" w:hAnsi="Times New Roman" w:cs="Times New Roman"/>
          <w:sz w:val="24"/>
          <w:szCs w:val="24"/>
          <w:lang w:val="ru-RU" w:eastAsia="de-DE"/>
        </w:rPr>
        <w:t>Лікування повинно бути довготривалим.</w:t>
      </w:r>
    </w:p>
    <w:p w:rsidR="00040F76" w:rsidRDefault="00040F76" w:rsidP="0029557E">
      <w:pPr>
        <w:spacing w:line="276" w:lineRule="auto"/>
        <w:rPr>
          <w:rFonts w:ascii="Times New Roman" w:hAnsi="Times New Roman" w:cs="Times New Roman"/>
          <w:sz w:val="24"/>
          <w:szCs w:val="24"/>
          <w:lang w:val="ru-RU"/>
        </w:rPr>
      </w:pPr>
    </w:p>
    <w:p w:rsidR="00040F76" w:rsidRPr="00040F76" w:rsidRDefault="00040F76" w:rsidP="00040F76">
      <w:pPr>
        <w:spacing w:after="0"/>
        <w:rPr>
          <w:rFonts w:ascii="Times New Roman" w:hAnsi="Times New Roman" w:cs="Times New Roman"/>
          <w:i/>
          <w:sz w:val="24"/>
          <w:szCs w:val="24"/>
          <w:u w:val="single"/>
          <w:lang w:val="ru-RU"/>
        </w:rPr>
      </w:pPr>
      <w:r w:rsidRPr="00040F76">
        <w:rPr>
          <w:rFonts w:ascii="Times New Roman" w:hAnsi="Times New Roman" w:cs="Times New Roman"/>
          <w:i/>
          <w:sz w:val="24"/>
          <w:szCs w:val="24"/>
          <w:u w:val="single"/>
          <w:lang w:val="ru-RU"/>
        </w:rPr>
        <w:t>Лікування тромбозу глибоких вен (ТГВ) і легеневої емболії (ЛЕ) та запобігання рецидивуючому ТГВ і ЛЕ у дорослих.</w:t>
      </w:r>
    </w:p>
    <w:p w:rsidR="00040F76" w:rsidRPr="00040F76" w:rsidRDefault="00040F76" w:rsidP="00040F76">
      <w:pPr>
        <w:spacing w:line="276" w:lineRule="auto"/>
        <w:rPr>
          <w:rFonts w:ascii="Times New Roman" w:hAnsi="Times New Roman" w:cs="Times New Roman"/>
          <w:sz w:val="24"/>
          <w:szCs w:val="24"/>
          <w:lang w:val="ru-RU"/>
        </w:rPr>
      </w:pPr>
      <w:r w:rsidRPr="00040F76">
        <w:rPr>
          <w:rFonts w:ascii="Times New Roman" w:eastAsia="Times New Roman" w:hAnsi="Times New Roman" w:cs="Times New Roman"/>
          <w:sz w:val="24"/>
          <w:szCs w:val="24"/>
          <w:lang w:val="ru-RU" w:eastAsia="de-DE"/>
        </w:rPr>
        <w:t>Рекомендована доза препарату становить 300</w:t>
      </w:r>
      <w:r w:rsidRPr="00FC64FB">
        <w:rPr>
          <w:rFonts w:ascii="Times New Roman" w:eastAsia="Times New Roman" w:hAnsi="Times New Roman" w:cs="Times New Roman"/>
          <w:sz w:val="24"/>
          <w:szCs w:val="24"/>
          <w:lang w:val="ru-RU" w:eastAsia="de-DE"/>
        </w:rPr>
        <w:t xml:space="preserve"> </w:t>
      </w:r>
      <w:r w:rsidRPr="00040F76">
        <w:rPr>
          <w:rFonts w:ascii="Times New Roman" w:eastAsia="Times New Roman" w:hAnsi="Times New Roman" w:cs="Times New Roman"/>
          <w:sz w:val="24"/>
          <w:szCs w:val="24"/>
          <w:lang w:val="ru-RU" w:eastAsia="de-DE"/>
        </w:rPr>
        <w:t>мг – по 1 капсулі 150 мг 2 рази на добу - після п</w:t>
      </w:r>
      <w:r w:rsidRPr="00FC64FB">
        <w:rPr>
          <w:rFonts w:ascii="Times New Roman" w:eastAsia="Times New Roman" w:hAnsi="Times New Roman" w:cs="Times New Roman"/>
          <w:sz w:val="24"/>
          <w:szCs w:val="24"/>
          <w:lang w:val="ru-RU" w:eastAsia="de-DE"/>
        </w:rPr>
        <w:t>’ятиденної</w:t>
      </w:r>
      <w:r w:rsidRPr="00040F76">
        <w:rPr>
          <w:rFonts w:ascii="Times New Roman" w:eastAsia="Times New Roman" w:hAnsi="Times New Roman" w:cs="Times New Roman"/>
          <w:sz w:val="24"/>
          <w:szCs w:val="24"/>
          <w:lang w:val="ru-RU" w:eastAsia="de-DE"/>
        </w:rPr>
        <w:t xml:space="preserve"> терапії парентеральним антикоагулянтом. Тривалість лікування необхідно визначати індивідуально після ретельної оцінки користі лікування та ризику кровотечі</w:t>
      </w:r>
      <w:r>
        <w:rPr>
          <w:rFonts w:ascii="Times New Roman" w:eastAsia="Times New Roman" w:hAnsi="Times New Roman" w:cs="Times New Roman"/>
          <w:sz w:val="24"/>
          <w:szCs w:val="24"/>
          <w:lang w:val="ru-RU" w:eastAsia="de-DE"/>
        </w:rPr>
        <w:t>.</w:t>
      </w:r>
      <w:r w:rsidRPr="00040F76">
        <w:rPr>
          <w:rFonts w:ascii="Times New Roman" w:eastAsia="Times New Roman" w:hAnsi="Times New Roman" w:cs="Times New Roman"/>
          <w:sz w:val="24"/>
          <w:szCs w:val="24"/>
          <w:lang w:val="ru-RU" w:eastAsia="de-DE"/>
        </w:rPr>
        <w:t xml:space="preserve"> Короткотривале лікування (не менше 3 місяців) повинно базуватися на тимчасових факторах ризику (таких як нещодавня операція, травма, іммобілізація), а довготривале лікування повинно базуватися на постійних факторах ризику або ідіопатичному ТГВ або ЛЕ.</w:t>
      </w:r>
    </w:p>
    <w:p w:rsidR="004E0C5C" w:rsidRPr="00435BCB" w:rsidRDefault="004E0C5C">
      <w:pPr>
        <w:spacing w:line="276" w:lineRule="auto"/>
        <w:rPr>
          <w:rFonts w:ascii="Times New Roman" w:hAnsi="Times New Roman" w:cs="Times New Roman"/>
          <w:sz w:val="24"/>
          <w:szCs w:val="24"/>
          <w:lang w:val="ru-RU"/>
        </w:rPr>
      </w:pPr>
    </w:p>
    <w:p w:rsidR="00040F76" w:rsidRDefault="00040F76" w:rsidP="0029557E">
      <w:p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Знижена доза для спеціальної групи пацієнтів*</w:t>
      </w:r>
    </w:p>
    <w:p w:rsidR="00040F76" w:rsidRPr="00040F76" w:rsidRDefault="00040F76" w:rsidP="00040F76">
      <w:pPr>
        <w:spacing w:line="276" w:lineRule="auto"/>
        <w:rPr>
          <w:rFonts w:ascii="Times New Roman" w:eastAsia="Times New Roman" w:hAnsi="Times New Roman" w:cs="Times New Roman"/>
          <w:b/>
          <w:sz w:val="24"/>
          <w:szCs w:val="24"/>
          <w:lang w:val="ru-RU" w:eastAsia="de-DE"/>
        </w:rPr>
      </w:pPr>
      <w:r w:rsidRPr="00040F76">
        <w:rPr>
          <w:rFonts w:ascii="Times New Roman" w:hAnsi="Times New Roman" w:cs="Times New Roman"/>
          <w:b/>
          <w:sz w:val="24"/>
          <w:szCs w:val="24"/>
          <w:lang w:val="uk-UA"/>
        </w:rPr>
        <w:t xml:space="preserve">Зниження добової дози до 220 мг (по 1 капсулі 110 мг 2 рази на добу) рекомендовано: </w:t>
      </w:r>
    </w:p>
    <w:p w:rsidR="00040F76" w:rsidRPr="00040F76" w:rsidRDefault="00040F76" w:rsidP="00040F76">
      <w:pPr>
        <w:numPr>
          <w:ilvl w:val="0"/>
          <w:numId w:val="34"/>
        </w:numPr>
        <w:spacing w:after="0"/>
        <w:rPr>
          <w:rFonts w:ascii="Times New Roman" w:eastAsia="Times New Roman" w:hAnsi="Times New Roman" w:cs="Times New Roman"/>
          <w:sz w:val="24"/>
          <w:szCs w:val="24"/>
          <w:lang w:val="ru-RU" w:eastAsia="de-DE"/>
        </w:rPr>
      </w:pPr>
      <w:r w:rsidRPr="00040F76">
        <w:rPr>
          <w:rFonts w:ascii="Times New Roman" w:eastAsia="Times New Roman" w:hAnsi="Times New Roman" w:cs="Times New Roman"/>
          <w:b/>
          <w:sz w:val="24"/>
          <w:szCs w:val="24"/>
          <w:lang w:val="ru-RU" w:eastAsia="de-DE"/>
        </w:rPr>
        <w:t>пацієнт</w:t>
      </w:r>
      <w:r w:rsidRPr="00040F76">
        <w:rPr>
          <w:rFonts w:ascii="Times New Roman" w:eastAsia="Times New Roman" w:hAnsi="Times New Roman" w:cs="Times New Roman"/>
          <w:b/>
          <w:sz w:val="24"/>
          <w:szCs w:val="24"/>
          <w:lang w:val="uk-UA" w:eastAsia="de-DE"/>
        </w:rPr>
        <w:t>ам</w:t>
      </w:r>
      <w:r w:rsidRPr="00040F76">
        <w:rPr>
          <w:rFonts w:ascii="Times New Roman" w:eastAsia="Times New Roman" w:hAnsi="Times New Roman" w:cs="Times New Roman"/>
          <w:b/>
          <w:sz w:val="24"/>
          <w:szCs w:val="24"/>
          <w:lang w:val="ru-RU" w:eastAsia="de-DE"/>
        </w:rPr>
        <w:t xml:space="preserve"> віком від 80 років</w:t>
      </w:r>
      <w:r>
        <w:rPr>
          <w:rFonts w:ascii="Times New Roman" w:eastAsia="Times New Roman" w:hAnsi="Times New Roman" w:cs="Times New Roman"/>
          <w:sz w:val="24"/>
          <w:szCs w:val="24"/>
          <w:lang w:val="uk-UA" w:eastAsia="de-DE"/>
        </w:rPr>
        <w:t xml:space="preserve"> слід приймати добову дозу 220 мг (</w:t>
      </w:r>
      <w:r>
        <w:rPr>
          <w:rFonts w:ascii="Times New Roman" w:hAnsi="Times New Roman" w:cs="Times New Roman"/>
          <w:sz w:val="24"/>
          <w:szCs w:val="24"/>
          <w:lang w:val="uk-UA"/>
        </w:rPr>
        <w:t>по 1 капсулі 110 мг 2 рази на добу)</w:t>
      </w:r>
      <w:r w:rsidRPr="00040F76">
        <w:rPr>
          <w:rFonts w:ascii="Times New Roman" w:eastAsia="Times New Roman" w:hAnsi="Times New Roman" w:cs="Times New Roman"/>
          <w:sz w:val="24"/>
          <w:szCs w:val="24"/>
          <w:lang w:val="ru-RU" w:eastAsia="de-DE"/>
        </w:rPr>
        <w:t>;</w:t>
      </w:r>
    </w:p>
    <w:p w:rsidR="00040F76" w:rsidRPr="00040F76" w:rsidRDefault="00040F76" w:rsidP="00040F76">
      <w:pPr>
        <w:numPr>
          <w:ilvl w:val="0"/>
          <w:numId w:val="34"/>
        </w:numPr>
        <w:spacing w:after="0"/>
        <w:rPr>
          <w:rFonts w:ascii="Times New Roman" w:eastAsia="Times New Roman" w:hAnsi="Times New Roman" w:cs="Times New Roman"/>
          <w:sz w:val="24"/>
          <w:szCs w:val="24"/>
          <w:lang w:val="ru-RU" w:eastAsia="de-DE"/>
        </w:rPr>
      </w:pPr>
      <w:r w:rsidRPr="00040F76">
        <w:rPr>
          <w:rFonts w:ascii="Times New Roman" w:eastAsia="Times New Roman" w:hAnsi="Times New Roman" w:cs="Times New Roman"/>
          <w:sz w:val="24"/>
          <w:szCs w:val="24"/>
          <w:lang w:val="ru-RU" w:eastAsia="de-DE"/>
        </w:rPr>
        <w:lastRenderedPageBreak/>
        <w:t>пацієнт</w:t>
      </w:r>
      <w:r>
        <w:rPr>
          <w:rFonts w:ascii="Times New Roman" w:eastAsia="Times New Roman" w:hAnsi="Times New Roman" w:cs="Times New Roman"/>
          <w:sz w:val="24"/>
          <w:szCs w:val="24"/>
          <w:lang w:val="ru-RU" w:eastAsia="de-DE"/>
        </w:rPr>
        <w:t>ам</w:t>
      </w:r>
      <w:r w:rsidRPr="00040F76">
        <w:rPr>
          <w:rFonts w:ascii="Times New Roman" w:eastAsia="Times New Roman" w:hAnsi="Times New Roman" w:cs="Times New Roman"/>
          <w:sz w:val="24"/>
          <w:szCs w:val="24"/>
          <w:lang w:val="ru-RU" w:eastAsia="de-DE"/>
        </w:rPr>
        <w:t xml:space="preserve">, які </w:t>
      </w:r>
      <w:r w:rsidRPr="00040F76">
        <w:rPr>
          <w:rFonts w:ascii="Times New Roman" w:eastAsia="Times New Roman" w:hAnsi="Times New Roman" w:cs="Times New Roman"/>
          <w:b/>
          <w:sz w:val="24"/>
          <w:szCs w:val="24"/>
          <w:lang w:val="ru-RU" w:eastAsia="de-DE"/>
        </w:rPr>
        <w:t>одночасно застосовують верапаміл</w:t>
      </w:r>
      <w:r>
        <w:rPr>
          <w:rFonts w:ascii="Times New Roman" w:eastAsia="Times New Roman" w:hAnsi="Times New Roman" w:cs="Times New Roman"/>
          <w:sz w:val="24"/>
          <w:szCs w:val="24"/>
          <w:lang w:val="ru-RU" w:eastAsia="de-DE"/>
        </w:rPr>
        <w:t xml:space="preserve"> слід зменшити добову дозу до </w:t>
      </w:r>
      <w:r>
        <w:rPr>
          <w:rFonts w:ascii="Times New Roman" w:eastAsia="Times New Roman" w:hAnsi="Times New Roman" w:cs="Times New Roman"/>
          <w:sz w:val="24"/>
          <w:szCs w:val="24"/>
          <w:lang w:val="uk-UA" w:eastAsia="de-DE"/>
        </w:rPr>
        <w:t>220 мг (</w:t>
      </w:r>
      <w:r>
        <w:rPr>
          <w:rFonts w:ascii="Times New Roman" w:hAnsi="Times New Roman" w:cs="Times New Roman"/>
          <w:sz w:val="24"/>
          <w:szCs w:val="24"/>
          <w:lang w:val="uk-UA"/>
        </w:rPr>
        <w:t>по 1 капсулі 110 мг 2 рази на добу)</w:t>
      </w:r>
      <w:r w:rsidRPr="00040F76">
        <w:rPr>
          <w:rFonts w:ascii="Times New Roman" w:eastAsia="Times New Roman" w:hAnsi="Times New Roman" w:cs="Times New Roman"/>
          <w:sz w:val="24"/>
          <w:szCs w:val="24"/>
          <w:lang w:val="ru-RU" w:eastAsia="de-DE"/>
        </w:rPr>
        <w:t>.</w:t>
      </w:r>
    </w:p>
    <w:p w:rsidR="00040F76" w:rsidRPr="00040F76" w:rsidRDefault="00040F76" w:rsidP="0029557E">
      <w:pPr>
        <w:spacing w:line="276" w:lineRule="auto"/>
        <w:rPr>
          <w:rFonts w:ascii="Times New Roman" w:hAnsi="Times New Roman" w:cs="Times New Roman"/>
          <w:b/>
          <w:sz w:val="24"/>
          <w:szCs w:val="24"/>
          <w:lang w:val="ru-RU"/>
        </w:rPr>
      </w:pPr>
    </w:p>
    <w:p w:rsidR="002749B4" w:rsidRPr="00040F76" w:rsidRDefault="00040F76" w:rsidP="002749B4">
      <w:pPr>
        <w:rPr>
          <w:rFonts w:ascii="Times New Roman" w:hAnsi="Times New Roman" w:cs="Times New Roman"/>
          <w:b/>
          <w:sz w:val="24"/>
          <w:szCs w:val="24"/>
          <w:lang w:val="uk-UA"/>
        </w:rPr>
      </w:pPr>
      <w:r w:rsidRPr="00040F76">
        <w:rPr>
          <w:rFonts w:ascii="Times New Roman" w:hAnsi="Times New Roman" w:cs="Times New Roman"/>
          <w:b/>
          <w:sz w:val="24"/>
          <w:szCs w:val="24"/>
          <w:lang w:val="uk-UA"/>
        </w:rPr>
        <w:t>Зниження добової дози до 220 мг (по 1</w:t>
      </w:r>
      <w:r>
        <w:rPr>
          <w:rFonts w:ascii="Times New Roman" w:hAnsi="Times New Roman" w:cs="Times New Roman"/>
          <w:b/>
          <w:sz w:val="24"/>
          <w:szCs w:val="24"/>
          <w:lang w:val="uk-UA"/>
        </w:rPr>
        <w:t xml:space="preserve"> капсулі 110 мг 2 рази на добу), що визначаются індивідуально</w:t>
      </w:r>
      <w:r w:rsidR="00E84EF3" w:rsidRPr="00040F76">
        <w:rPr>
          <w:rFonts w:ascii="Times New Roman" w:hAnsi="Times New Roman" w:cs="Times New Roman"/>
          <w:b/>
          <w:sz w:val="24"/>
          <w:szCs w:val="24"/>
          <w:lang w:val="uk-UA"/>
        </w:rPr>
        <w:t>:</w:t>
      </w:r>
    </w:p>
    <w:p w:rsidR="00040F76" w:rsidRPr="005052F8" w:rsidRDefault="00040F76" w:rsidP="00040F76">
      <w:pPr>
        <w:numPr>
          <w:ilvl w:val="0"/>
          <w:numId w:val="34"/>
        </w:numPr>
        <w:spacing w:after="0"/>
        <w:rPr>
          <w:rFonts w:ascii="Times New Roman" w:eastAsia="Times New Roman" w:hAnsi="Times New Roman" w:cs="Times New Roman"/>
          <w:sz w:val="24"/>
          <w:szCs w:val="24"/>
          <w:lang w:val="ru-RU" w:eastAsia="de-DE"/>
        </w:rPr>
      </w:pPr>
      <w:r w:rsidRPr="005052F8">
        <w:rPr>
          <w:rFonts w:ascii="Times New Roman" w:eastAsia="Times New Roman" w:hAnsi="Times New Roman" w:cs="Times New Roman"/>
          <w:sz w:val="24"/>
          <w:szCs w:val="24"/>
          <w:lang w:val="ru-RU" w:eastAsia="de-DE"/>
        </w:rPr>
        <w:t>пацієнт</w:t>
      </w:r>
      <w:r>
        <w:rPr>
          <w:rFonts w:ascii="Times New Roman" w:eastAsia="Times New Roman" w:hAnsi="Times New Roman" w:cs="Times New Roman"/>
          <w:sz w:val="24"/>
          <w:szCs w:val="24"/>
          <w:lang w:val="uk-UA" w:eastAsia="de-DE"/>
        </w:rPr>
        <w:t>ам</w:t>
      </w:r>
      <w:r w:rsidRPr="005052F8">
        <w:rPr>
          <w:rFonts w:ascii="Times New Roman" w:eastAsia="Times New Roman" w:hAnsi="Times New Roman" w:cs="Times New Roman"/>
          <w:sz w:val="24"/>
          <w:szCs w:val="24"/>
          <w:lang w:val="ru-RU" w:eastAsia="de-DE"/>
        </w:rPr>
        <w:t xml:space="preserve"> віком 75-80 років</w:t>
      </w:r>
      <w:r>
        <w:rPr>
          <w:rFonts w:ascii="Times New Roman" w:eastAsia="Times New Roman" w:hAnsi="Times New Roman" w:cs="Times New Roman"/>
          <w:sz w:val="24"/>
          <w:szCs w:val="24"/>
          <w:lang w:val="uk-UA" w:eastAsia="de-DE"/>
        </w:rPr>
        <w:t xml:space="preserve"> слід приймати </w:t>
      </w:r>
      <w:r w:rsidR="005052F8">
        <w:rPr>
          <w:rFonts w:ascii="Times New Roman" w:eastAsia="Times New Roman" w:hAnsi="Times New Roman" w:cs="Times New Roman"/>
          <w:sz w:val="24"/>
          <w:szCs w:val="24"/>
          <w:lang w:val="uk-UA" w:eastAsia="de-DE"/>
        </w:rPr>
        <w:t>добову дозу 300 мг (</w:t>
      </w:r>
      <w:r w:rsidR="005052F8">
        <w:rPr>
          <w:rFonts w:ascii="Times New Roman" w:hAnsi="Times New Roman" w:cs="Times New Roman"/>
          <w:sz w:val="24"/>
          <w:szCs w:val="24"/>
          <w:lang w:val="uk-UA"/>
        </w:rPr>
        <w:t>по 1 капсулі 150 мг 2 рази на добу)</w:t>
      </w:r>
      <w:r w:rsidR="005052F8">
        <w:rPr>
          <w:rFonts w:ascii="Times New Roman" w:eastAsia="Times New Roman" w:hAnsi="Times New Roman" w:cs="Times New Roman"/>
          <w:sz w:val="24"/>
          <w:szCs w:val="24"/>
          <w:lang w:val="uk-UA" w:eastAsia="de-DE"/>
        </w:rPr>
        <w:t>. Доза 220 мг (добову дозу 220 мг (</w:t>
      </w:r>
      <w:r w:rsidR="005052F8">
        <w:rPr>
          <w:rFonts w:ascii="Times New Roman" w:hAnsi="Times New Roman" w:cs="Times New Roman"/>
          <w:sz w:val="24"/>
          <w:szCs w:val="24"/>
          <w:lang w:val="uk-UA"/>
        </w:rPr>
        <w:t xml:space="preserve">по 1 капсулі 110 мг 2 рази на добу) може бути визначена індивідуально лікарем на основі </w:t>
      </w:r>
      <w:r w:rsidR="005052F8" w:rsidRPr="005052F8">
        <w:rPr>
          <w:rFonts w:ascii="Times New Roman" w:eastAsia="Times New Roman" w:hAnsi="Times New Roman" w:cs="Times New Roman"/>
          <w:sz w:val="24"/>
          <w:szCs w:val="24"/>
          <w:lang w:val="ru-RU" w:eastAsia="de-DE"/>
        </w:rPr>
        <w:t>оцінки тромбоемболічного ризику та ризику кровотечі</w:t>
      </w:r>
      <w:r w:rsidRPr="005052F8">
        <w:rPr>
          <w:rFonts w:ascii="Times New Roman" w:eastAsia="Times New Roman" w:hAnsi="Times New Roman" w:cs="Times New Roman"/>
          <w:sz w:val="24"/>
          <w:szCs w:val="24"/>
          <w:lang w:val="ru-RU" w:eastAsia="de-DE"/>
        </w:rPr>
        <w:t>;</w:t>
      </w:r>
    </w:p>
    <w:p w:rsidR="00040F76" w:rsidRPr="00040F76" w:rsidRDefault="00040F76" w:rsidP="00040F76">
      <w:pPr>
        <w:numPr>
          <w:ilvl w:val="0"/>
          <w:numId w:val="34"/>
        </w:numPr>
        <w:spacing w:after="0"/>
        <w:rPr>
          <w:rFonts w:ascii="Times New Roman" w:eastAsia="Times New Roman" w:hAnsi="Times New Roman" w:cs="Times New Roman"/>
          <w:sz w:val="24"/>
          <w:szCs w:val="24"/>
          <w:lang w:val="ru-RU" w:eastAsia="de-DE"/>
        </w:rPr>
      </w:pPr>
      <w:r w:rsidRPr="00040F76">
        <w:rPr>
          <w:rFonts w:ascii="Times New Roman" w:eastAsia="Times New Roman" w:hAnsi="Times New Roman" w:cs="Times New Roman"/>
          <w:sz w:val="24"/>
          <w:szCs w:val="24"/>
          <w:lang w:val="ru-RU" w:eastAsia="de-DE"/>
        </w:rPr>
        <w:t>пацієнт</w:t>
      </w:r>
      <w:r w:rsidR="005052F8">
        <w:rPr>
          <w:rFonts w:ascii="Times New Roman" w:eastAsia="Times New Roman" w:hAnsi="Times New Roman" w:cs="Times New Roman"/>
          <w:sz w:val="24"/>
          <w:szCs w:val="24"/>
          <w:lang w:val="ru-RU" w:eastAsia="de-DE"/>
        </w:rPr>
        <w:t>ам</w:t>
      </w:r>
      <w:r w:rsidRPr="00040F76">
        <w:rPr>
          <w:rFonts w:ascii="Times New Roman" w:eastAsia="Times New Roman" w:hAnsi="Times New Roman" w:cs="Times New Roman"/>
          <w:sz w:val="24"/>
          <w:szCs w:val="24"/>
          <w:lang w:val="ru-RU" w:eastAsia="de-DE"/>
        </w:rPr>
        <w:t xml:space="preserve"> з помірною нирковою недостатністю</w:t>
      </w:r>
      <w:r w:rsidR="005052F8">
        <w:rPr>
          <w:rFonts w:ascii="Times New Roman" w:eastAsia="Times New Roman" w:hAnsi="Times New Roman" w:cs="Times New Roman"/>
          <w:sz w:val="24"/>
          <w:szCs w:val="24"/>
          <w:lang w:val="ru-RU" w:eastAsia="de-DE"/>
        </w:rPr>
        <w:t xml:space="preserve"> </w:t>
      </w:r>
      <w:r w:rsidR="005052F8">
        <w:rPr>
          <w:rFonts w:ascii="Times New Roman" w:eastAsia="Times New Roman" w:hAnsi="Times New Roman" w:cs="Times New Roman"/>
          <w:sz w:val="24"/>
          <w:szCs w:val="24"/>
          <w:lang w:val="uk-UA" w:eastAsia="de-DE"/>
        </w:rPr>
        <w:t>слід приймати добову дозу 300 мг (</w:t>
      </w:r>
      <w:r w:rsidR="005052F8">
        <w:rPr>
          <w:rFonts w:ascii="Times New Roman" w:hAnsi="Times New Roman" w:cs="Times New Roman"/>
          <w:sz w:val="24"/>
          <w:szCs w:val="24"/>
          <w:lang w:val="uk-UA"/>
        </w:rPr>
        <w:t>по 1 капсулі 150 мг 2 рази на добу)</w:t>
      </w:r>
      <w:r w:rsidR="005052F8">
        <w:rPr>
          <w:rFonts w:ascii="Times New Roman" w:eastAsia="Times New Roman" w:hAnsi="Times New Roman" w:cs="Times New Roman"/>
          <w:sz w:val="24"/>
          <w:szCs w:val="24"/>
          <w:lang w:val="uk-UA" w:eastAsia="de-DE"/>
        </w:rPr>
        <w:t>. Доза 220 мг (добову дозу 220 мг (</w:t>
      </w:r>
      <w:r w:rsidR="005052F8">
        <w:rPr>
          <w:rFonts w:ascii="Times New Roman" w:hAnsi="Times New Roman" w:cs="Times New Roman"/>
          <w:sz w:val="24"/>
          <w:szCs w:val="24"/>
          <w:lang w:val="uk-UA"/>
        </w:rPr>
        <w:t xml:space="preserve">по 1 капсулі 110 мг 2 рази на добу) може бути визначена індивідуально лікарем на основі </w:t>
      </w:r>
      <w:r w:rsidR="005052F8" w:rsidRPr="005052F8">
        <w:rPr>
          <w:rFonts w:ascii="Times New Roman" w:eastAsia="Times New Roman" w:hAnsi="Times New Roman" w:cs="Times New Roman"/>
          <w:sz w:val="24"/>
          <w:szCs w:val="24"/>
          <w:lang w:val="ru-RU" w:eastAsia="de-DE"/>
        </w:rPr>
        <w:t>оцінки тромбоемболічного ризику та ризику кровотечі;</w:t>
      </w:r>
    </w:p>
    <w:p w:rsidR="00040F76" w:rsidRPr="00040F76" w:rsidRDefault="00040F76" w:rsidP="00040F76">
      <w:pPr>
        <w:numPr>
          <w:ilvl w:val="0"/>
          <w:numId w:val="34"/>
        </w:numPr>
        <w:spacing w:after="0"/>
        <w:rPr>
          <w:rFonts w:ascii="Times New Roman" w:eastAsia="Times New Roman" w:hAnsi="Times New Roman" w:cs="Times New Roman"/>
          <w:sz w:val="24"/>
          <w:szCs w:val="24"/>
          <w:lang w:val="ru-RU" w:eastAsia="de-DE"/>
        </w:rPr>
      </w:pPr>
      <w:r w:rsidRPr="00040F76">
        <w:rPr>
          <w:rFonts w:ascii="Times New Roman" w:eastAsia="Times New Roman" w:hAnsi="Times New Roman" w:cs="Times New Roman"/>
          <w:sz w:val="24"/>
          <w:szCs w:val="24"/>
          <w:lang w:val="ru-RU" w:eastAsia="de-DE"/>
        </w:rPr>
        <w:t>пацієнт</w:t>
      </w:r>
      <w:r w:rsidR="005052F8">
        <w:rPr>
          <w:rFonts w:ascii="Times New Roman" w:eastAsia="Times New Roman" w:hAnsi="Times New Roman" w:cs="Times New Roman"/>
          <w:sz w:val="24"/>
          <w:szCs w:val="24"/>
          <w:lang w:val="ru-RU" w:eastAsia="de-DE"/>
        </w:rPr>
        <w:t>ам</w:t>
      </w:r>
      <w:r w:rsidRPr="00040F76">
        <w:rPr>
          <w:rFonts w:ascii="Times New Roman" w:eastAsia="Times New Roman" w:hAnsi="Times New Roman" w:cs="Times New Roman"/>
          <w:sz w:val="24"/>
          <w:szCs w:val="24"/>
          <w:lang w:val="ru-RU" w:eastAsia="de-DE"/>
        </w:rPr>
        <w:t xml:space="preserve"> з гастритом, езофагітом або гастроезофагеальним рефлюксом</w:t>
      </w:r>
      <w:r w:rsidR="005052F8">
        <w:rPr>
          <w:rFonts w:ascii="Times New Roman" w:eastAsia="Times New Roman" w:hAnsi="Times New Roman" w:cs="Times New Roman"/>
          <w:sz w:val="24"/>
          <w:szCs w:val="24"/>
          <w:lang w:val="ru-RU" w:eastAsia="de-DE"/>
        </w:rPr>
        <w:t xml:space="preserve"> - </w:t>
      </w:r>
      <w:r w:rsidR="005052F8">
        <w:rPr>
          <w:rFonts w:ascii="Times New Roman" w:eastAsia="Times New Roman" w:hAnsi="Times New Roman" w:cs="Times New Roman"/>
          <w:sz w:val="24"/>
          <w:szCs w:val="24"/>
          <w:lang w:val="uk-UA" w:eastAsia="de-DE"/>
        </w:rPr>
        <w:t>доза 220 мг (добову дозу 220 мг (</w:t>
      </w:r>
      <w:r w:rsidR="005052F8">
        <w:rPr>
          <w:rFonts w:ascii="Times New Roman" w:hAnsi="Times New Roman" w:cs="Times New Roman"/>
          <w:sz w:val="24"/>
          <w:szCs w:val="24"/>
          <w:lang w:val="uk-UA"/>
        </w:rPr>
        <w:t>по 1 капсулі 110 мг 2 рази на добу) може бути визначена індивідуально лікарем</w:t>
      </w:r>
      <w:r w:rsidR="005052F8">
        <w:rPr>
          <w:rFonts w:ascii="Times New Roman" w:eastAsia="Times New Roman" w:hAnsi="Times New Roman" w:cs="Times New Roman"/>
          <w:sz w:val="24"/>
          <w:szCs w:val="24"/>
          <w:lang w:val="ru-RU" w:eastAsia="de-DE"/>
        </w:rPr>
        <w:t xml:space="preserve"> </w:t>
      </w:r>
      <w:r w:rsidRPr="00040F76">
        <w:rPr>
          <w:rFonts w:ascii="Times New Roman" w:eastAsia="Times New Roman" w:hAnsi="Times New Roman" w:cs="Times New Roman"/>
          <w:sz w:val="24"/>
          <w:szCs w:val="24"/>
          <w:lang w:val="ru-RU" w:eastAsia="de-DE"/>
        </w:rPr>
        <w:t>;</w:t>
      </w:r>
    </w:p>
    <w:p w:rsidR="00040F76" w:rsidRPr="00040F76" w:rsidRDefault="00040F76" w:rsidP="00040F76">
      <w:pPr>
        <w:numPr>
          <w:ilvl w:val="0"/>
          <w:numId w:val="34"/>
        </w:numPr>
        <w:spacing w:after="0"/>
        <w:rPr>
          <w:rFonts w:ascii="Times New Roman" w:eastAsia="Times New Roman" w:hAnsi="Times New Roman" w:cs="Times New Roman"/>
          <w:sz w:val="24"/>
          <w:szCs w:val="24"/>
          <w:lang w:val="ru-RU" w:eastAsia="de-DE"/>
        </w:rPr>
      </w:pPr>
      <w:r w:rsidRPr="00040F76">
        <w:rPr>
          <w:rFonts w:ascii="Times New Roman" w:eastAsia="Times New Roman" w:hAnsi="Times New Roman" w:cs="Times New Roman"/>
          <w:sz w:val="24"/>
          <w:szCs w:val="24"/>
          <w:lang w:val="ru-RU" w:eastAsia="de-DE"/>
        </w:rPr>
        <w:t>інші пацієнти з підвищеним ризиком кровотечі</w:t>
      </w:r>
      <w:r w:rsidR="005052F8">
        <w:rPr>
          <w:rFonts w:ascii="Times New Roman" w:eastAsia="Times New Roman" w:hAnsi="Times New Roman" w:cs="Times New Roman"/>
          <w:sz w:val="24"/>
          <w:szCs w:val="24"/>
          <w:lang w:val="ru-RU" w:eastAsia="de-DE"/>
        </w:rPr>
        <w:t xml:space="preserve"> (див. стор. 7-8)</w:t>
      </w:r>
      <w:r w:rsidRPr="00040F76">
        <w:rPr>
          <w:rFonts w:ascii="Times New Roman" w:eastAsia="Times New Roman" w:hAnsi="Times New Roman" w:cs="Times New Roman"/>
          <w:sz w:val="24"/>
          <w:szCs w:val="24"/>
          <w:lang w:val="ru-RU" w:eastAsia="de-DE"/>
        </w:rPr>
        <w:t>.</w:t>
      </w:r>
    </w:p>
    <w:p w:rsidR="008F542D" w:rsidRDefault="008F542D" w:rsidP="0029557E">
      <w:pPr>
        <w:spacing w:after="0"/>
        <w:rPr>
          <w:lang w:val="ru-RU"/>
        </w:rPr>
      </w:pPr>
    </w:p>
    <w:p w:rsidR="007448B1" w:rsidRDefault="007448B1" w:rsidP="0029557E">
      <w:pPr>
        <w:spacing w:after="0"/>
        <w:rPr>
          <w:lang w:val="ru-RU"/>
        </w:rPr>
      </w:pPr>
    </w:p>
    <w:p w:rsidR="007448B1" w:rsidRPr="003D4A13" w:rsidRDefault="007448B1" w:rsidP="007448B1">
      <w:pPr>
        <w:spacing w:after="0"/>
        <w:rPr>
          <w:rFonts w:ascii="Times New Roman" w:hAnsi="Times New Roman" w:cs="Times New Roman"/>
          <w:b/>
          <w:bCs/>
          <w:sz w:val="24"/>
          <w:szCs w:val="24"/>
          <w:shd w:val="pct15" w:color="auto" w:fill="FFFFFF"/>
          <w:lang w:val="ru-RU"/>
        </w:rPr>
      </w:pPr>
      <w:r w:rsidRPr="003D4A13">
        <w:rPr>
          <w:rFonts w:ascii="Times New Roman" w:hAnsi="Times New Roman" w:cs="Times New Roman"/>
          <w:b/>
          <w:bCs/>
          <w:sz w:val="24"/>
          <w:szCs w:val="24"/>
          <w:shd w:val="pct15" w:color="auto" w:fill="FFFFFF"/>
          <w:lang w:val="ru-RU"/>
        </w:rPr>
        <w:t>Спосіб застосування:</w:t>
      </w:r>
    </w:p>
    <w:p w:rsidR="007448B1" w:rsidRPr="003D4A13" w:rsidRDefault="007448B1" w:rsidP="007448B1">
      <w:pPr>
        <w:pStyle w:val="ListParagraph"/>
        <w:numPr>
          <w:ilvl w:val="0"/>
          <w:numId w:val="25"/>
        </w:numPr>
        <w:spacing w:after="0"/>
        <w:rPr>
          <w:rFonts w:ascii="Times New Roman" w:hAnsi="Times New Roman" w:cs="Times New Roman"/>
          <w:snapToGrid w:val="0"/>
          <w:sz w:val="24"/>
          <w:szCs w:val="24"/>
          <w:lang w:val="ru-RU"/>
        </w:rPr>
      </w:pPr>
      <w:r w:rsidRPr="003D4A13">
        <w:rPr>
          <w:rFonts w:ascii="Times New Roman" w:hAnsi="Times New Roman" w:cs="Times New Roman"/>
          <w:snapToGrid w:val="0"/>
          <w:sz w:val="24"/>
          <w:szCs w:val="24"/>
          <w:lang w:val="ru-RU"/>
        </w:rPr>
        <w:t xml:space="preserve">Капсулу можна приймати незалежно від вживання їжі. Капсулу слід ковтати цілою, запиваючи склянкою води для полегшення потрапляння в шлунок. </w:t>
      </w:r>
    </w:p>
    <w:p w:rsidR="007448B1" w:rsidRPr="003D4A13" w:rsidRDefault="007448B1" w:rsidP="007448B1">
      <w:pPr>
        <w:pStyle w:val="ListParagraph"/>
        <w:numPr>
          <w:ilvl w:val="0"/>
          <w:numId w:val="25"/>
        </w:numPr>
        <w:spacing w:after="0"/>
        <w:rPr>
          <w:rFonts w:ascii="Times New Roman" w:hAnsi="Times New Roman" w:cs="Times New Roman"/>
          <w:snapToGrid w:val="0"/>
          <w:sz w:val="24"/>
          <w:szCs w:val="24"/>
          <w:lang w:val="ru-RU"/>
        </w:rPr>
      </w:pPr>
      <w:r>
        <w:rPr>
          <w:rFonts w:ascii="Times New Roman" w:hAnsi="Times New Roman" w:cs="Times New Roman"/>
          <w:snapToGrid w:val="0"/>
          <w:sz w:val="24"/>
          <w:szCs w:val="24"/>
          <w:lang w:val="ru-RU"/>
        </w:rPr>
        <w:t>Не слід розламувати, жувати або висипати гранули з капсули</w:t>
      </w:r>
      <w:r w:rsidRPr="003D4A13">
        <w:rPr>
          <w:rFonts w:ascii="Times New Roman" w:hAnsi="Times New Roman" w:cs="Times New Roman"/>
          <w:snapToGrid w:val="0"/>
          <w:sz w:val="24"/>
          <w:szCs w:val="24"/>
          <w:lang w:val="ru-RU"/>
        </w:rPr>
        <w:t>, оскільки це може підвищити ризик кровотечі</w:t>
      </w:r>
    </w:p>
    <w:p w:rsidR="007448B1" w:rsidRPr="00E84EF3" w:rsidRDefault="007448B1" w:rsidP="0029557E">
      <w:pPr>
        <w:spacing w:after="0"/>
        <w:rPr>
          <w:lang w:val="ru-RU"/>
        </w:rPr>
      </w:pPr>
    </w:p>
    <w:p w:rsidR="004E0C5C" w:rsidRPr="00227400" w:rsidRDefault="004E0C5C">
      <w:pPr>
        <w:spacing w:line="276" w:lineRule="auto"/>
        <w:rPr>
          <w:rFonts w:ascii="Times New Roman" w:hAnsi="Times New Roman" w:cs="Times New Roman"/>
          <w:sz w:val="24"/>
          <w:szCs w:val="24"/>
          <w:lang w:val="ru-RU"/>
        </w:rPr>
      </w:pPr>
    </w:p>
    <w:p w:rsidR="003D4A13" w:rsidRDefault="003D4A13" w:rsidP="0072623C">
      <w:pPr>
        <w:spacing w:after="0"/>
        <w:rPr>
          <w:rFonts w:ascii="Times New Roman" w:hAnsi="Times New Roman" w:cs="Times New Roman"/>
          <w:b/>
          <w:bCs/>
          <w:sz w:val="24"/>
          <w:szCs w:val="24"/>
          <w:shd w:val="pct15" w:color="auto" w:fill="FFFFFF"/>
          <w:lang w:val="ru-RU"/>
        </w:rPr>
      </w:pPr>
      <w:r w:rsidRPr="003D4A13">
        <w:rPr>
          <w:rFonts w:ascii="Times New Roman" w:hAnsi="Times New Roman" w:cs="Times New Roman"/>
          <w:b/>
          <w:bCs/>
          <w:sz w:val="24"/>
          <w:szCs w:val="24"/>
          <w:shd w:val="pct15" w:color="auto" w:fill="FFFFFF"/>
          <w:lang w:val="ru-RU"/>
        </w:rPr>
        <w:t>РЕКОМЕНДАЦІЇ ДЛЯ оцінки ФУНКЦІЇ НИРОК У ВСІХ ПАЦІЄНТІВ</w:t>
      </w:r>
    </w:p>
    <w:p w:rsidR="003D4A13" w:rsidRPr="00FC64FB" w:rsidRDefault="003D4A13" w:rsidP="003D4A13">
      <w:pPr>
        <w:numPr>
          <w:ilvl w:val="0"/>
          <w:numId w:val="26"/>
        </w:numPr>
        <w:spacing w:after="0"/>
        <w:rPr>
          <w:rFonts w:ascii="Times New Roman" w:eastAsia="Times New Roman" w:hAnsi="Times New Roman" w:cs="Times New Roman"/>
          <w:sz w:val="24"/>
          <w:szCs w:val="24"/>
          <w:lang w:eastAsia="de-DE"/>
        </w:rPr>
      </w:pPr>
      <w:r w:rsidRPr="003D4A13">
        <w:rPr>
          <w:rFonts w:ascii="Times New Roman" w:eastAsia="Times New Roman" w:hAnsi="Times New Roman" w:cs="Times New Roman"/>
          <w:sz w:val="24"/>
          <w:szCs w:val="24"/>
          <w:lang w:val="ru-RU" w:eastAsia="de-DE"/>
        </w:rPr>
        <w:t>Перед початком терапії препаратом ПРАДАКСА функцію нирок слід оцінити шляхом розрахунку кліренсу креатиніну для виключення пацієнтів із тяжкою нирковою недостатністю (</w:t>
      </w:r>
      <w:proofErr w:type="spellStart"/>
      <w:r w:rsidRPr="00FC64FB">
        <w:rPr>
          <w:rFonts w:ascii="Times New Roman" w:eastAsia="Times New Roman" w:hAnsi="Times New Roman" w:cs="Times New Roman"/>
          <w:sz w:val="24"/>
          <w:szCs w:val="24"/>
          <w:lang w:eastAsia="de-DE"/>
        </w:rPr>
        <w:t>CrCL</w:t>
      </w:r>
      <w:proofErr w:type="spellEnd"/>
      <w:r w:rsidRPr="003D4A13">
        <w:rPr>
          <w:rFonts w:ascii="Times New Roman" w:eastAsia="Times New Roman" w:hAnsi="Times New Roman" w:cs="Times New Roman"/>
          <w:sz w:val="24"/>
          <w:szCs w:val="24"/>
          <w:lang w:val="ru-RU" w:eastAsia="de-DE"/>
        </w:rPr>
        <w:t xml:space="preserve"> &lt; 30 мл/хв) </w:t>
      </w:r>
    </w:p>
    <w:p w:rsidR="003D4A13" w:rsidRPr="003D4A13" w:rsidRDefault="003D4A13" w:rsidP="003D4A13">
      <w:pPr>
        <w:numPr>
          <w:ilvl w:val="0"/>
          <w:numId w:val="28"/>
        </w:numPr>
        <w:spacing w:after="0"/>
        <w:rPr>
          <w:rFonts w:ascii="Times New Roman" w:eastAsia="Times New Roman" w:hAnsi="Times New Roman" w:cs="Times New Roman"/>
          <w:sz w:val="24"/>
          <w:szCs w:val="24"/>
          <w:lang w:eastAsia="de-DE"/>
        </w:rPr>
      </w:pPr>
      <w:proofErr w:type="spellStart"/>
      <w:r w:rsidRPr="00FC64FB">
        <w:rPr>
          <w:rFonts w:ascii="Times New Roman" w:eastAsia="Times New Roman" w:hAnsi="Times New Roman" w:cs="Times New Roman"/>
          <w:sz w:val="24"/>
          <w:szCs w:val="24"/>
          <w:lang w:eastAsia="de-DE"/>
        </w:rPr>
        <w:t>Під</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час</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терапії</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препаратом</w:t>
      </w:r>
      <w:proofErr w:type="spellEnd"/>
      <w:r w:rsidRPr="00FC64FB">
        <w:rPr>
          <w:rFonts w:ascii="Times New Roman" w:eastAsia="Times New Roman" w:hAnsi="Times New Roman" w:cs="Times New Roman"/>
          <w:sz w:val="24"/>
          <w:szCs w:val="24"/>
          <w:lang w:eastAsia="de-DE"/>
        </w:rPr>
        <w:t xml:space="preserve"> ПРАДАКСА </w:t>
      </w:r>
      <w:proofErr w:type="spellStart"/>
      <w:r w:rsidRPr="00FC64FB">
        <w:rPr>
          <w:rFonts w:ascii="Times New Roman" w:eastAsia="Times New Roman" w:hAnsi="Times New Roman" w:cs="Times New Roman"/>
          <w:sz w:val="24"/>
          <w:szCs w:val="24"/>
          <w:lang w:eastAsia="de-DE"/>
        </w:rPr>
        <w:t>слід</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оцінювати</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ниркову</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функцію</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щонайменше</w:t>
      </w:r>
      <w:proofErr w:type="spellEnd"/>
      <w:r w:rsidRPr="00FC64FB">
        <w:rPr>
          <w:rFonts w:ascii="Times New Roman" w:eastAsia="Times New Roman" w:hAnsi="Times New Roman" w:cs="Times New Roman"/>
          <w:sz w:val="24"/>
          <w:szCs w:val="24"/>
          <w:lang w:eastAsia="de-DE"/>
        </w:rPr>
        <w:t xml:space="preserve"> 1 </w:t>
      </w:r>
      <w:proofErr w:type="spellStart"/>
      <w:r w:rsidRPr="00FC64FB">
        <w:rPr>
          <w:rFonts w:ascii="Times New Roman" w:eastAsia="Times New Roman" w:hAnsi="Times New Roman" w:cs="Times New Roman"/>
          <w:sz w:val="24"/>
          <w:szCs w:val="24"/>
          <w:lang w:eastAsia="de-DE"/>
        </w:rPr>
        <w:t>раз</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на</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рік</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або</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частіше</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за</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потреби</w:t>
      </w:r>
      <w:proofErr w:type="spellEnd"/>
      <w:r w:rsidRPr="00FC64FB">
        <w:rPr>
          <w:rFonts w:ascii="Times New Roman" w:eastAsia="Times New Roman" w:hAnsi="Times New Roman" w:cs="Times New Roman"/>
          <w:sz w:val="24"/>
          <w:szCs w:val="24"/>
          <w:lang w:eastAsia="de-DE"/>
        </w:rPr>
        <w:t xml:space="preserve"> у </w:t>
      </w:r>
      <w:proofErr w:type="spellStart"/>
      <w:r w:rsidRPr="00FC64FB">
        <w:rPr>
          <w:rFonts w:ascii="Times New Roman" w:eastAsia="Times New Roman" w:hAnsi="Times New Roman" w:cs="Times New Roman"/>
          <w:sz w:val="24"/>
          <w:szCs w:val="24"/>
          <w:lang w:eastAsia="de-DE"/>
        </w:rPr>
        <w:t>певних</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клінічних</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ситуаціях</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якщо</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очікується</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що</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ниркова</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функція</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може</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знижуватися</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або</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погіршуватися</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наприклад</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при</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гіповолемії</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дегідрації</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сумісному</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застосуванні</w:t>
      </w:r>
      <w:proofErr w:type="spellEnd"/>
      <w:r w:rsidRPr="00FC64FB">
        <w:rPr>
          <w:rFonts w:ascii="Times New Roman" w:eastAsia="Times New Roman" w:hAnsi="Times New Roman" w:cs="Times New Roman"/>
          <w:sz w:val="24"/>
          <w:szCs w:val="24"/>
          <w:lang w:eastAsia="de-DE"/>
        </w:rPr>
        <w:t xml:space="preserve"> з </w:t>
      </w:r>
      <w:proofErr w:type="spellStart"/>
      <w:r w:rsidRPr="00FC64FB">
        <w:rPr>
          <w:rFonts w:ascii="Times New Roman" w:eastAsia="Times New Roman" w:hAnsi="Times New Roman" w:cs="Times New Roman"/>
          <w:sz w:val="24"/>
          <w:szCs w:val="24"/>
          <w:lang w:eastAsia="de-DE"/>
        </w:rPr>
        <w:t>певними</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лікарськими</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засобами</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та</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ін</w:t>
      </w:r>
      <w:proofErr w:type="spellEnd"/>
      <w:r w:rsidRPr="00FC64FB">
        <w:rPr>
          <w:rFonts w:ascii="Times New Roman" w:eastAsia="Times New Roman" w:hAnsi="Times New Roman" w:cs="Times New Roman"/>
          <w:sz w:val="24"/>
          <w:szCs w:val="24"/>
          <w:lang w:eastAsia="de-DE"/>
        </w:rPr>
        <w:t>.).</w:t>
      </w:r>
    </w:p>
    <w:p w:rsidR="003D4A13" w:rsidRPr="005052F8" w:rsidRDefault="005052F8" w:rsidP="003D4A13">
      <w:pPr>
        <w:numPr>
          <w:ilvl w:val="0"/>
          <w:numId w:val="28"/>
        </w:numPr>
        <w:spacing w:after="0"/>
        <w:rPr>
          <w:rFonts w:ascii="Times New Roman" w:eastAsia="Times New Roman" w:hAnsi="Times New Roman" w:cs="Times New Roman"/>
          <w:sz w:val="24"/>
          <w:szCs w:val="24"/>
          <w:lang w:eastAsia="de-DE"/>
        </w:rPr>
      </w:pPr>
      <w:r w:rsidRPr="005052F8">
        <w:rPr>
          <w:rFonts w:ascii="Times New Roman" w:eastAsia="Times New Roman" w:hAnsi="Times New Roman" w:cs="Times New Roman"/>
          <w:sz w:val="24"/>
          <w:szCs w:val="24"/>
          <w:lang w:val="ru-RU" w:eastAsia="de-DE"/>
        </w:rPr>
        <w:t>Пацієнтам</w:t>
      </w:r>
      <w:r w:rsidRPr="005052F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val="ru-RU" w:eastAsia="de-DE"/>
        </w:rPr>
        <w:t>старше</w:t>
      </w:r>
      <w:r w:rsidRPr="005052F8">
        <w:rPr>
          <w:rFonts w:ascii="Times New Roman" w:eastAsia="Times New Roman" w:hAnsi="Times New Roman" w:cs="Times New Roman"/>
          <w:sz w:val="24"/>
          <w:szCs w:val="24"/>
          <w:lang w:eastAsia="de-DE"/>
        </w:rPr>
        <w:t xml:space="preserve"> 75 </w:t>
      </w:r>
      <w:r>
        <w:rPr>
          <w:rFonts w:ascii="Times New Roman" w:eastAsia="Times New Roman" w:hAnsi="Times New Roman" w:cs="Times New Roman"/>
          <w:sz w:val="24"/>
          <w:szCs w:val="24"/>
          <w:lang w:val="ru-RU" w:eastAsia="de-DE"/>
        </w:rPr>
        <w:t>років</w:t>
      </w:r>
      <w:r w:rsidRPr="005052F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val="ru-RU" w:eastAsia="de-DE"/>
        </w:rPr>
        <w:t>та</w:t>
      </w:r>
      <w:r w:rsidRPr="005052F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val="ru-RU" w:eastAsia="de-DE"/>
        </w:rPr>
        <w:t>пацієнтам</w:t>
      </w:r>
      <w:r w:rsidRPr="005052F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val="ru-RU" w:eastAsia="de-DE"/>
        </w:rPr>
        <w:t>з</w:t>
      </w:r>
      <w:r w:rsidRPr="005052F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val="ru-RU" w:eastAsia="de-DE"/>
        </w:rPr>
        <w:t>нирковою</w:t>
      </w:r>
      <w:r w:rsidRPr="005052F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val="ru-RU" w:eastAsia="de-DE"/>
        </w:rPr>
        <w:t>недостатністю</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які</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застосовують</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препарат</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ПРАДАКСА</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слід</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оцінювати</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ниркову</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функцію</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щонайменше</w:t>
      </w:r>
      <w:r w:rsidRPr="005052F8">
        <w:rPr>
          <w:rFonts w:ascii="Times New Roman" w:eastAsia="Times New Roman" w:hAnsi="Times New Roman" w:cs="Times New Roman"/>
          <w:sz w:val="24"/>
          <w:szCs w:val="24"/>
          <w:lang w:eastAsia="de-DE"/>
        </w:rPr>
        <w:t xml:space="preserve"> 1 </w:t>
      </w:r>
      <w:r w:rsidRPr="005052F8">
        <w:rPr>
          <w:rFonts w:ascii="Times New Roman" w:eastAsia="Times New Roman" w:hAnsi="Times New Roman" w:cs="Times New Roman"/>
          <w:sz w:val="24"/>
          <w:szCs w:val="24"/>
          <w:lang w:val="ru-RU" w:eastAsia="de-DE"/>
        </w:rPr>
        <w:t>раз</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на</w:t>
      </w:r>
      <w:r w:rsidRPr="005052F8">
        <w:rPr>
          <w:rFonts w:ascii="Times New Roman" w:eastAsia="Times New Roman" w:hAnsi="Times New Roman" w:cs="Times New Roman"/>
          <w:sz w:val="24"/>
          <w:szCs w:val="24"/>
          <w:lang w:eastAsia="de-DE"/>
        </w:rPr>
        <w:t xml:space="preserve"> </w:t>
      </w:r>
      <w:r w:rsidRPr="005052F8">
        <w:rPr>
          <w:rFonts w:ascii="Times New Roman" w:eastAsia="Times New Roman" w:hAnsi="Times New Roman" w:cs="Times New Roman"/>
          <w:sz w:val="24"/>
          <w:szCs w:val="24"/>
          <w:lang w:val="ru-RU" w:eastAsia="de-DE"/>
        </w:rPr>
        <w:t>рік</w:t>
      </w:r>
    </w:p>
    <w:p w:rsidR="003D4A13" w:rsidRPr="003D4A13" w:rsidRDefault="003D4A13" w:rsidP="003D4A13">
      <w:pPr>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метод</w:t>
      </w:r>
      <w:r>
        <w:rPr>
          <w:rFonts w:ascii="Times New Roman" w:eastAsia="Times New Roman" w:hAnsi="Times New Roman" w:cs="Times New Roman"/>
          <w:sz w:val="24"/>
          <w:szCs w:val="24"/>
          <w:lang w:val="ru-RU" w:eastAsia="de-DE"/>
        </w:rPr>
        <w:t xml:space="preserve"> Кокрофта-Голта</w:t>
      </w:r>
      <w:r w:rsidRPr="003D4A13">
        <w:rPr>
          <w:rFonts w:ascii="Times New Roman" w:eastAsia="Times New Roman" w:hAnsi="Times New Roman" w:cs="Times New Roman"/>
          <w:sz w:val="24"/>
          <w:szCs w:val="24"/>
          <w:lang w:val="ru-RU" w:eastAsia="de-DE"/>
        </w:rPr>
        <w:t>.</w:t>
      </w:r>
    </w:p>
    <w:p w:rsidR="003D4A13" w:rsidRPr="003D4A13" w:rsidRDefault="003D4A13" w:rsidP="003D4A13">
      <w:pPr>
        <w:numPr>
          <w:ilvl w:val="0"/>
          <w:numId w:val="27"/>
        </w:numPr>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Для креатиніну в мг/дл:</w:t>
      </w:r>
    </w:p>
    <w:p w:rsidR="003D4A13" w:rsidRPr="00FC64FB" w:rsidRDefault="003D4A13" w:rsidP="003D4A13">
      <w:pPr>
        <w:spacing w:after="0"/>
        <w:ind w:left="1428" w:firstLine="696"/>
        <w:rPr>
          <w:rFonts w:ascii="Times New Roman" w:eastAsia="Times New Roman" w:hAnsi="Times New Roman" w:cs="Times New Roman"/>
          <w:sz w:val="24"/>
          <w:szCs w:val="24"/>
          <w:u w:val="single"/>
          <w:lang w:val="ru-RU" w:eastAsia="de-DE"/>
        </w:rPr>
      </w:pPr>
      <w:r w:rsidRPr="003D4A13">
        <w:rPr>
          <w:rFonts w:ascii="Times New Roman" w:eastAsia="Times New Roman" w:hAnsi="Times New Roman" w:cs="Times New Roman"/>
          <w:sz w:val="24"/>
          <w:szCs w:val="24"/>
          <w:u w:val="single"/>
          <w:lang w:val="ru-RU" w:eastAsia="de-DE"/>
        </w:rPr>
        <w:t xml:space="preserve">(140-вік </w:t>
      </w:r>
      <w:r w:rsidRPr="00FC64FB">
        <w:rPr>
          <w:rFonts w:ascii="Times New Roman" w:eastAsia="Times New Roman" w:hAnsi="Times New Roman" w:cs="Times New Roman"/>
          <w:sz w:val="24"/>
          <w:szCs w:val="24"/>
          <w:u w:val="single"/>
          <w:lang w:val="ru-RU" w:eastAsia="de-DE"/>
        </w:rPr>
        <w:t>[</w:t>
      </w:r>
      <w:r w:rsidRPr="003D4A13">
        <w:rPr>
          <w:rFonts w:ascii="Times New Roman" w:eastAsia="Times New Roman" w:hAnsi="Times New Roman" w:cs="Times New Roman"/>
          <w:sz w:val="24"/>
          <w:szCs w:val="24"/>
          <w:u w:val="single"/>
          <w:lang w:val="ru-RU" w:eastAsia="de-DE"/>
        </w:rPr>
        <w:t>роки</w:t>
      </w:r>
      <w:r w:rsidRPr="00FC64FB">
        <w:rPr>
          <w:rFonts w:ascii="Times New Roman" w:eastAsia="Times New Roman" w:hAnsi="Times New Roman" w:cs="Times New Roman"/>
          <w:sz w:val="24"/>
          <w:szCs w:val="24"/>
          <w:u w:val="single"/>
          <w:lang w:val="ru-RU" w:eastAsia="de-DE"/>
        </w:rPr>
        <w:t>]</w:t>
      </w:r>
      <w:r w:rsidRPr="003D4A13">
        <w:rPr>
          <w:rFonts w:ascii="Times New Roman" w:eastAsia="Times New Roman" w:hAnsi="Times New Roman" w:cs="Times New Roman"/>
          <w:sz w:val="24"/>
          <w:szCs w:val="24"/>
          <w:u w:val="single"/>
          <w:lang w:val="ru-RU" w:eastAsia="de-DE"/>
        </w:rPr>
        <w:t xml:space="preserve">) × маса тіла </w:t>
      </w:r>
      <w:r w:rsidRPr="00FC64FB">
        <w:rPr>
          <w:rFonts w:ascii="Times New Roman" w:eastAsia="Times New Roman" w:hAnsi="Times New Roman" w:cs="Times New Roman"/>
          <w:sz w:val="24"/>
          <w:szCs w:val="24"/>
          <w:u w:val="single"/>
          <w:lang w:val="ru-RU" w:eastAsia="de-DE"/>
        </w:rPr>
        <w:t>[</w:t>
      </w:r>
      <w:r w:rsidRPr="003D4A13">
        <w:rPr>
          <w:rFonts w:ascii="Times New Roman" w:eastAsia="Times New Roman" w:hAnsi="Times New Roman" w:cs="Times New Roman"/>
          <w:sz w:val="24"/>
          <w:szCs w:val="24"/>
          <w:u w:val="single"/>
          <w:lang w:val="ru-RU" w:eastAsia="de-DE"/>
        </w:rPr>
        <w:t>кг</w:t>
      </w:r>
      <w:r w:rsidRPr="00FC64FB">
        <w:rPr>
          <w:rFonts w:ascii="Times New Roman" w:eastAsia="Times New Roman" w:hAnsi="Times New Roman" w:cs="Times New Roman"/>
          <w:sz w:val="24"/>
          <w:szCs w:val="24"/>
          <w:u w:val="single"/>
          <w:lang w:val="ru-RU" w:eastAsia="de-DE"/>
        </w:rPr>
        <w:t xml:space="preserve">] </w:t>
      </w:r>
      <w:r w:rsidRPr="003D4A13">
        <w:rPr>
          <w:rFonts w:ascii="Times New Roman" w:eastAsia="Times New Roman" w:hAnsi="Times New Roman" w:cs="Times New Roman"/>
          <w:sz w:val="24"/>
          <w:szCs w:val="24"/>
          <w:u w:val="single"/>
          <w:lang w:val="ru-RU" w:eastAsia="de-DE"/>
        </w:rPr>
        <w:t>× (0,85 для жінок)</w:t>
      </w:r>
    </w:p>
    <w:p w:rsidR="003D4A13" w:rsidRPr="00FC64FB" w:rsidRDefault="003D4A13" w:rsidP="003D4A13">
      <w:pPr>
        <w:spacing w:after="0"/>
        <w:ind w:left="720"/>
        <w:rPr>
          <w:rFonts w:ascii="Times New Roman" w:eastAsia="Times New Roman" w:hAnsi="Times New Roman" w:cs="Times New Roman"/>
          <w:sz w:val="24"/>
          <w:szCs w:val="24"/>
          <w:lang w:val="ru-RU" w:eastAsia="de-DE"/>
        </w:rPr>
      </w:pPr>
      <w:r w:rsidRPr="00FC64FB">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FC64FB">
        <w:rPr>
          <w:rFonts w:ascii="Times New Roman" w:eastAsia="Times New Roman" w:hAnsi="Times New Roman" w:cs="Times New Roman"/>
          <w:sz w:val="24"/>
          <w:szCs w:val="24"/>
          <w:lang w:eastAsia="de-DE"/>
        </w:rPr>
        <w:t xml:space="preserve">72 × </w:t>
      </w:r>
      <w:proofErr w:type="spellStart"/>
      <w:r w:rsidRPr="00FC64FB">
        <w:rPr>
          <w:rFonts w:ascii="Times New Roman" w:eastAsia="Times New Roman" w:hAnsi="Times New Roman" w:cs="Times New Roman"/>
          <w:sz w:val="24"/>
          <w:szCs w:val="24"/>
          <w:lang w:eastAsia="de-DE"/>
        </w:rPr>
        <w:t>креатинін</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плазми</w:t>
      </w:r>
      <w:proofErr w:type="spellEnd"/>
      <w:r w:rsidRPr="00FC64FB">
        <w:rPr>
          <w:rFonts w:ascii="Times New Roman" w:eastAsia="Times New Roman" w:hAnsi="Times New Roman" w:cs="Times New Roman"/>
          <w:sz w:val="24"/>
          <w:szCs w:val="24"/>
          <w:lang w:eastAsia="de-DE"/>
        </w:rPr>
        <w:t xml:space="preserve"> </w:t>
      </w:r>
      <w:r w:rsidRPr="00FC64FB">
        <w:rPr>
          <w:rFonts w:ascii="Times New Roman" w:eastAsia="Times New Roman" w:hAnsi="Times New Roman" w:cs="Times New Roman"/>
          <w:sz w:val="24"/>
          <w:szCs w:val="24"/>
          <w:lang w:val="ru-RU" w:eastAsia="de-DE"/>
        </w:rPr>
        <w:t>[</w:t>
      </w:r>
      <w:proofErr w:type="spellStart"/>
      <w:r w:rsidRPr="00FC64FB">
        <w:rPr>
          <w:rFonts w:ascii="Times New Roman" w:eastAsia="Times New Roman" w:hAnsi="Times New Roman" w:cs="Times New Roman"/>
          <w:sz w:val="24"/>
          <w:szCs w:val="24"/>
          <w:lang w:eastAsia="de-DE"/>
        </w:rPr>
        <w:t>мг</w:t>
      </w:r>
      <w:proofErr w:type="spellEnd"/>
      <w:r w:rsidRPr="00FC64FB">
        <w:rPr>
          <w:rFonts w:ascii="Times New Roman" w:eastAsia="Times New Roman" w:hAnsi="Times New Roman" w:cs="Times New Roman"/>
          <w:sz w:val="24"/>
          <w:szCs w:val="24"/>
          <w:lang w:eastAsia="de-DE"/>
        </w:rPr>
        <w:t>/</w:t>
      </w:r>
      <w:proofErr w:type="spellStart"/>
      <w:r w:rsidRPr="00FC64FB">
        <w:rPr>
          <w:rFonts w:ascii="Times New Roman" w:eastAsia="Times New Roman" w:hAnsi="Times New Roman" w:cs="Times New Roman"/>
          <w:sz w:val="24"/>
          <w:szCs w:val="24"/>
          <w:lang w:eastAsia="de-DE"/>
        </w:rPr>
        <w:t>дл</w:t>
      </w:r>
      <w:proofErr w:type="spellEnd"/>
      <w:r w:rsidRPr="00FC64FB">
        <w:rPr>
          <w:rFonts w:ascii="Times New Roman" w:eastAsia="Times New Roman" w:hAnsi="Times New Roman" w:cs="Times New Roman"/>
          <w:sz w:val="24"/>
          <w:szCs w:val="24"/>
          <w:lang w:val="ru-RU" w:eastAsia="de-DE"/>
        </w:rPr>
        <w:t>]</w:t>
      </w:r>
    </w:p>
    <w:p w:rsidR="003D4A13" w:rsidRPr="003D4A13" w:rsidRDefault="003D4A13" w:rsidP="003D4A13">
      <w:pPr>
        <w:numPr>
          <w:ilvl w:val="0"/>
          <w:numId w:val="27"/>
        </w:numPr>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Для креатиніну в мкмоль/л:</w:t>
      </w:r>
    </w:p>
    <w:p w:rsidR="003D4A13" w:rsidRPr="003D4A13" w:rsidRDefault="003D4A13" w:rsidP="003D4A13">
      <w:pPr>
        <w:pStyle w:val="ListParagraph"/>
        <w:spacing w:after="0"/>
        <w:jc w:val="center"/>
        <w:rPr>
          <w:rFonts w:ascii="Times New Roman" w:eastAsia="Times New Roman" w:hAnsi="Times New Roman" w:cs="Times New Roman"/>
          <w:sz w:val="24"/>
          <w:szCs w:val="24"/>
          <w:u w:val="single"/>
          <w:lang w:val="ru-RU" w:eastAsia="de-DE"/>
        </w:rPr>
      </w:pPr>
      <w:r w:rsidRPr="003D4A13">
        <w:rPr>
          <w:rFonts w:ascii="Times New Roman" w:eastAsia="Times New Roman" w:hAnsi="Times New Roman" w:cs="Times New Roman"/>
          <w:sz w:val="24"/>
          <w:szCs w:val="24"/>
          <w:u w:val="single"/>
          <w:lang w:val="ru-RU" w:eastAsia="de-DE"/>
        </w:rPr>
        <w:t>1,23 × (140-вік [роки]) × маса тіла [кг] × (0,85 для жінок)</w:t>
      </w:r>
    </w:p>
    <w:p w:rsidR="003D4A13" w:rsidRDefault="003D4A13" w:rsidP="003D4A13">
      <w:pPr>
        <w:pStyle w:val="ListParagraph"/>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t>креатинін плазми [мкмоль/л]</w:t>
      </w:r>
    </w:p>
    <w:p w:rsidR="003D4A13" w:rsidRDefault="003D4A13" w:rsidP="003D4A13">
      <w:pPr>
        <w:pStyle w:val="ListParagraph"/>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lastRenderedPageBreak/>
        <w:t>Цей метод рекомендований для оцінки кліренсу креатиніну пацієнтів перед початком та під час лікування ПРАДАКСОЮ.</w:t>
      </w:r>
    </w:p>
    <w:p w:rsidR="00807DCB" w:rsidRDefault="00807DCB" w:rsidP="003D4A13">
      <w:pPr>
        <w:pStyle w:val="ListParagraph"/>
        <w:spacing w:after="0"/>
        <w:rPr>
          <w:rFonts w:ascii="Times New Roman" w:hAnsi="Times New Roman" w:cs="Times New Roman"/>
          <w:b/>
          <w:bCs/>
          <w:sz w:val="24"/>
          <w:szCs w:val="24"/>
          <w:shd w:val="pct15" w:color="auto" w:fill="FFFFFF"/>
          <w:lang w:val="ru-RU"/>
        </w:rPr>
      </w:pPr>
    </w:p>
    <w:p w:rsidR="00E4185D" w:rsidRPr="0089015D" w:rsidRDefault="00E4185D" w:rsidP="00E4185D">
      <w:pPr>
        <w:pStyle w:val="ListParagraph"/>
        <w:numPr>
          <w:ilvl w:val="0"/>
          <w:numId w:val="27"/>
        </w:numPr>
        <w:spacing w:after="0"/>
        <w:rPr>
          <w:rFonts w:ascii="Times New Roman" w:eastAsia="Times New Roman" w:hAnsi="Times New Roman" w:cs="Times New Roman"/>
          <w:sz w:val="24"/>
          <w:szCs w:val="24"/>
          <w:lang w:val="ru-RU" w:eastAsia="de-DE"/>
        </w:rPr>
      </w:pPr>
      <w:r w:rsidRPr="004421A3">
        <w:rPr>
          <w:rFonts w:ascii="Times New Roman" w:eastAsia="Times New Roman" w:hAnsi="Times New Roman"/>
          <w:sz w:val="24"/>
          <w:szCs w:val="24"/>
          <w:lang w:val="ru-RU" w:eastAsia="fr-FR"/>
        </w:rPr>
        <w:t>Пацієнти, у яких розвинулась гостра ниркова недостатність, повинні припинити застосування ПРАДАКСИ</w:t>
      </w:r>
      <w:r>
        <w:rPr>
          <w:rFonts w:ascii="Times New Roman" w:eastAsia="Times New Roman" w:hAnsi="Times New Roman"/>
          <w:sz w:val="24"/>
          <w:szCs w:val="24"/>
          <w:lang w:val="ru-RU" w:eastAsia="fr-FR"/>
        </w:rPr>
        <w:t>.</w:t>
      </w:r>
    </w:p>
    <w:p w:rsidR="00E4185D" w:rsidRPr="003D4A13" w:rsidRDefault="00E4185D" w:rsidP="003D4A13">
      <w:pPr>
        <w:pStyle w:val="ListParagraph"/>
        <w:spacing w:after="0"/>
        <w:rPr>
          <w:rFonts w:ascii="Times New Roman" w:hAnsi="Times New Roman" w:cs="Times New Roman"/>
          <w:b/>
          <w:bCs/>
          <w:sz w:val="24"/>
          <w:szCs w:val="24"/>
          <w:shd w:val="pct15" w:color="auto" w:fill="FFFFFF"/>
          <w:lang w:val="ru-RU"/>
        </w:rPr>
      </w:pPr>
    </w:p>
    <w:p w:rsidR="004E0C5C" w:rsidRPr="00227400" w:rsidRDefault="004E0C5C">
      <w:pPr>
        <w:spacing w:line="276" w:lineRule="auto"/>
        <w:rPr>
          <w:rFonts w:ascii="Times New Roman" w:hAnsi="Times New Roman" w:cs="Times New Roman"/>
          <w:sz w:val="24"/>
          <w:szCs w:val="24"/>
          <w:lang w:val="ru-RU"/>
        </w:rPr>
      </w:pPr>
    </w:p>
    <w:p w:rsidR="008F542D" w:rsidRPr="00807DCB" w:rsidRDefault="00001BBE" w:rsidP="008F542D">
      <w:pPr>
        <w:spacing w:after="0"/>
        <w:rPr>
          <w:rFonts w:ascii="Times New Roman" w:hAnsi="Times New Roman" w:cs="Times New Roman"/>
          <w:bCs/>
          <w:sz w:val="24"/>
          <w:szCs w:val="24"/>
          <w:lang w:val="ru-RU"/>
        </w:rPr>
      </w:pPr>
      <w:r w:rsidRPr="00807DCB">
        <w:rPr>
          <w:rFonts w:ascii="Times New Roman" w:hAnsi="Times New Roman" w:cs="Times New Roman"/>
          <w:b/>
          <w:bCs/>
          <w:sz w:val="24"/>
          <w:szCs w:val="24"/>
          <w:lang w:val="ru-RU"/>
        </w:rPr>
        <w:t>СПЕЦІАЛЬНА ГРУПА ПАЦІЄНТІВ З ПІДВИЩЕНИМ РИЗИКОМ КРОВОТЕЧІ</w:t>
      </w:r>
    </w:p>
    <w:p w:rsidR="008F542D" w:rsidRDefault="008F542D" w:rsidP="008F542D">
      <w:pPr>
        <w:spacing w:after="0"/>
        <w:rPr>
          <w:bCs/>
          <w:lang w:val="ru-RU"/>
        </w:rPr>
      </w:pPr>
    </w:p>
    <w:p w:rsidR="00CC6909" w:rsidRDefault="00001BBE" w:rsidP="00001BBE">
      <w:pPr>
        <w:spacing w:after="0"/>
        <w:rPr>
          <w:rFonts w:ascii="Times New Roman" w:eastAsia="Times New Roman" w:hAnsi="Times New Roman" w:cs="Times New Roman"/>
          <w:sz w:val="24"/>
          <w:szCs w:val="24"/>
          <w:lang w:val="ru-RU" w:eastAsia="de-DE"/>
        </w:rPr>
      </w:pPr>
      <w:r w:rsidRPr="00001BBE">
        <w:rPr>
          <w:rFonts w:ascii="Times New Roman" w:eastAsia="Times New Roman" w:hAnsi="Times New Roman" w:cs="Times New Roman"/>
          <w:sz w:val="24"/>
          <w:szCs w:val="24"/>
          <w:lang w:val="ru-RU" w:eastAsia="de-DE"/>
        </w:rPr>
        <w:t xml:space="preserve">Пацієнтів з підвищеним ризиком кровотечі (див. </w:t>
      </w:r>
      <w:r>
        <w:rPr>
          <w:rFonts w:ascii="Times New Roman" w:eastAsia="Times New Roman" w:hAnsi="Times New Roman" w:cs="Times New Roman"/>
          <w:sz w:val="24"/>
          <w:szCs w:val="24"/>
          <w:lang w:val="ru-RU" w:eastAsia="de-DE"/>
        </w:rPr>
        <w:t>Таблицю 1 на наступній сторінці)</w:t>
      </w:r>
      <w:r w:rsidRPr="00001BBE">
        <w:rPr>
          <w:rFonts w:ascii="Times New Roman" w:eastAsia="Times New Roman" w:hAnsi="Times New Roman" w:cs="Times New Roman"/>
          <w:sz w:val="24"/>
          <w:szCs w:val="24"/>
          <w:lang w:val="ru-RU" w:eastAsia="de-DE"/>
        </w:rPr>
        <w:t xml:space="preserve"> слід ретельно контролювати клінічно (що</w:t>
      </w:r>
      <w:r w:rsidR="005052F8">
        <w:rPr>
          <w:rFonts w:ascii="Times New Roman" w:eastAsia="Times New Roman" w:hAnsi="Times New Roman" w:cs="Times New Roman"/>
          <w:sz w:val="24"/>
          <w:szCs w:val="24"/>
          <w:lang w:val="ru-RU" w:eastAsia="de-DE"/>
        </w:rPr>
        <w:t>до ознак кровотечі або анемії)</w:t>
      </w:r>
      <w:r w:rsidR="00E4185D" w:rsidRPr="00E4185D">
        <w:rPr>
          <w:rFonts w:ascii="Times New Roman" w:eastAsia="Times New Roman" w:hAnsi="Times New Roman" w:cs="Times New Roman"/>
          <w:sz w:val="24"/>
          <w:szCs w:val="24"/>
          <w:lang w:val="ru-RU" w:eastAsia="fr-FR"/>
        </w:rPr>
        <w:t xml:space="preserve"> </w:t>
      </w:r>
      <w:r w:rsidR="00E4185D" w:rsidRPr="00B47F92">
        <w:rPr>
          <w:rFonts w:ascii="Times New Roman" w:eastAsia="Times New Roman" w:hAnsi="Times New Roman" w:cs="Times New Roman"/>
          <w:sz w:val="24"/>
          <w:szCs w:val="24"/>
          <w:lang w:val="ru-RU" w:eastAsia="fr-FR"/>
        </w:rPr>
        <w:t>протягом лікування</w:t>
      </w:r>
      <w:r w:rsidR="00E4185D">
        <w:rPr>
          <w:rFonts w:ascii="Times New Roman" w:eastAsia="Times New Roman" w:hAnsi="Times New Roman" w:cs="Times New Roman"/>
          <w:sz w:val="24"/>
          <w:szCs w:val="24"/>
          <w:lang w:val="ru-RU" w:eastAsia="fr-FR"/>
        </w:rPr>
        <w:t xml:space="preserve">, </w:t>
      </w:r>
      <w:r w:rsidR="00E4185D" w:rsidRPr="00E4185D">
        <w:rPr>
          <w:rFonts w:ascii="Times New Roman" w:eastAsia="Times New Roman" w:hAnsi="Times New Roman" w:cs="Times New Roman"/>
          <w:sz w:val="24"/>
          <w:szCs w:val="24"/>
          <w:lang w:val="ru-RU" w:eastAsia="fr-FR"/>
        </w:rPr>
        <w:t xml:space="preserve"> </w:t>
      </w:r>
      <w:r w:rsidR="00E4185D" w:rsidRPr="00B47F92">
        <w:rPr>
          <w:rFonts w:ascii="Times New Roman" w:eastAsia="Times New Roman" w:hAnsi="Times New Roman" w:cs="Times New Roman"/>
          <w:sz w:val="24"/>
          <w:szCs w:val="24"/>
          <w:lang w:val="ru-RU" w:eastAsia="fr-FR"/>
        </w:rPr>
        <w:t>особливо при поєднанні факторів ризику</w:t>
      </w:r>
    </w:p>
    <w:p w:rsidR="005052F8" w:rsidRPr="005052F8" w:rsidRDefault="005052F8" w:rsidP="00001BBE">
      <w:pPr>
        <w:spacing w:after="0"/>
        <w:rPr>
          <w:rFonts w:ascii="Times New Roman" w:eastAsia="Times New Roman" w:hAnsi="Times New Roman" w:cs="Times New Roman"/>
          <w:sz w:val="24"/>
          <w:szCs w:val="24"/>
          <w:lang w:val="ru-RU" w:eastAsia="de-DE"/>
        </w:rPr>
      </w:pPr>
      <w:r w:rsidRPr="005052F8">
        <w:rPr>
          <w:rFonts w:ascii="Times New Roman" w:eastAsia="Times New Roman" w:hAnsi="Times New Roman" w:cs="Times New Roman"/>
          <w:sz w:val="24"/>
          <w:szCs w:val="24"/>
          <w:lang w:val="ru-RU" w:eastAsia="de-DE"/>
        </w:rPr>
        <w:t>Індивідуальна корекція дози можлива за рішенням лікаря після оцінки потенційних переваг і ризиків для кожного пацієнта.</w:t>
      </w:r>
    </w:p>
    <w:p w:rsidR="00CC6909" w:rsidRDefault="00001BBE" w:rsidP="00001BBE">
      <w:pPr>
        <w:spacing w:after="0"/>
        <w:rPr>
          <w:rFonts w:ascii="Times New Roman" w:eastAsia="Times New Roman" w:hAnsi="Times New Roman" w:cs="Times New Roman"/>
          <w:sz w:val="24"/>
          <w:szCs w:val="24"/>
          <w:lang w:val="ru-RU" w:eastAsia="de-DE"/>
        </w:rPr>
      </w:pPr>
      <w:r w:rsidRPr="00001BBE">
        <w:rPr>
          <w:rFonts w:ascii="Times New Roman" w:eastAsia="Times New Roman" w:hAnsi="Times New Roman" w:cs="Times New Roman"/>
          <w:sz w:val="24"/>
          <w:szCs w:val="24"/>
          <w:lang w:val="ru-RU" w:eastAsia="de-DE"/>
        </w:rPr>
        <w:t>Тест на коагуляцію (див. розділ «</w:t>
      </w:r>
      <w:r w:rsidR="00CC6909" w:rsidRPr="002749B4">
        <w:rPr>
          <w:rFonts w:ascii="Times New Roman" w:hAnsi="Times New Roman" w:cs="Times New Roman"/>
          <w:sz w:val="24"/>
          <w:szCs w:val="24"/>
          <w:lang w:val="uk-UA"/>
        </w:rPr>
        <w:t>Коагуляційні тести та їх інтерпретація</w:t>
      </w:r>
      <w:r w:rsidRPr="00001BBE">
        <w:rPr>
          <w:rFonts w:ascii="Times New Roman" w:eastAsia="Times New Roman" w:hAnsi="Times New Roman" w:cs="Times New Roman"/>
          <w:sz w:val="24"/>
          <w:szCs w:val="24"/>
          <w:lang w:val="ru-RU" w:eastAsia="de-DE"/>
        </w:rPr>
        <w:t>») може допомогти виявити пацієнтів з підвищеним ризиком кровотечі, спричиненої над</w:t>
      </w:r>
      <w:r w:rsidR="005052F8">
        <w:rPr>
          <w:rFonts w:ascii="Times New Roman" w:eastAsia="Times New Roman" w:hAnsi="Times New Roman" w:cs="Times New Roman"/>
          <w:sz w:val="24"/>
          <w:szCs w:val="24"/>
          <w:lang w:val="ru-RU" w:eastAsia="de-DE"/>
        </w:rPr>
        <w:t>мірною експозицією дабігатрану.</w:t>
      </w:r>
    </w:p>
    <w:p w:rsidR="005052F8" w:rsidRDefault="005052F8" w:rsidP="00001BBE">
      <w:pPr>
        <w:spacing w:after="0"/>
        <w:rPr>
          <w:rFonts w:ascii="Times New Roman" w:eastAsia="Times New Roman" w:hAnsi="Times New Roman" w:cs="Times New Roman"/>
          <w:sz w:val="24"/>
          <w:szCs w:val="24"/>
          <w:lang w:val="ru-RU" w:eastAsia="de-DE"/>
        </w:rPr>
      </w:pPr>
      <w:r w:rsidRPr="005052F8">
        <w:rPr>
          <w:rFonts w:ascii="Times New Roman" w:eastAsia="Times New Roman" w:hAnsi="Times New Roman" w:cs="Times New Roman"/>
          <w:sz w:val="24"/>
          <w:szCs w:val="24"/>
          <w:lang w:val="ru-RU" w:eastAsia="de-DE"/>
        </w:rPr>
        <w:t xml:space="preserve">Якщо виявлено надмірну експозицію дабігатрану в пацієнтів із високим ризиком кровотечі, рекомендується доза 220 мг – по 1 капсулі 110 мг 2 рази на добу. </w:t>
      </w:r>
      <w:r w:rsidRPr="001646C8">
        <w:rPr>
          <w:rFonts w:ascii="Times New Roman" w:eastAsia="Times New Roman" w:hAnsi="Times New Roman" w:cs="Times New Roman"/>
          <w:sz w:val="24"/>
          <w:szCs w:val="24"/>
          <w:lang w:val="ru-RU" w:eastAsia="de-DE"/>
        </w:rPr>
        <w:t>У разі клінічно значущої кровотечі лікування слід припинити.</w:t>
      </w:r>
    </w:p>
    <w:p w:rsidR="00E4185D" w:rsidRDefault="00CC6909" w:rsidP="00001BBE">
      <w:pPr>
        <w:spacing w:after="0"/>
        <w:rPr>
          <w:rFonts w:ascii="Times New Roman" w:eastAsia="Times New Roman" w:hAnsi="Times New Roman" w:cs="Times New Roman"/>
          <w:color w:val="000000"/>
          <w:sz w:val="24"/>
          <w:szCs w:val="24"/>
          <w:lang w:val="ru-RU" w:eastAsia="fr-FR"/>
        </w:rPr>
      </w:pPr>
      <w:r w:rsidRPr="00CC6909">
        <w:rPr>
          <w:rFonts w:ascii="Times New Roman" w:eastAsia="Times New Roman" w:hAnsi="Times New Roman" w:cs="Times New Roman"/>
          <w:color w:val="000000"/>
          <w:sz w:val="24"/>
          <w:szCs w:val="24"/>
          <w:lang w:val="ru-RU" w:eastAsia="fr-FR"/>
        </w:rPr>
        <w:t>Як і інші антикоагулянти, дабігатрану</w:t>
      </w:r>
      <w:r w:rsidRPr="00CC6909">
        <w:rPr>
          <w:rFonts w:ascii="Times New Roman" w:eastAsia="Times New Roman" w:hAnsi="Times New Roman" w:cs="Times New Roman"/>
          <w:color w:val="000000"/>
          <w:sz w:val="24"/>
          <w:szCs w:val="24"/>
          <w:lang w:val="uk-UA" w:eastAsia="fr-FR"/>
        </w:rPr>
        <w:t xml:space="preserve"> етексилат слід з обережністю застосовувати при станах з високим ризиком кровотечі. </w:t>
      </w:r>
      <w:r w:rsidRPr="00CC6909">
        <w:rPr>
          <w:rFonts w:ascii="Times New Roman" w:eastAsia="Times New Roman" w:hAnsi="Times New Roman" w:cs="Times New Roman"/>
          <w:color w:val="000000"/>
          <w:sz w:val="24"/>
          <w:szCs w:val="24"/>
          <w:lang w:val="ru-RU" w:eastAsia="fr-FR"/>
        </w:rPr>
        <w:t xml:space="preserve">Кровотеча може виникнути у будь-якому місці під час лікування дабігатраном. </w:t>
      </w:r>
    </w:p>
    <w:p w:rsidR="00CC6909" w:rsidRDefault="00CC6909" w:rsidP="00001BBE">
      <w:pPr>
        <w:spacing w:after="0"/>
        <w:rPr>
          <w:rFonts w:ascii="Times New Roman" w:eastAsia="Times New Roman" w:hAnsi="Times New Roman" w:cs="Times New Roman"/>
          <w:color w:val="000000"/>
          <w:sz w:val="24"/>
          <w:szCs w:val="24"/>
          <w:lang w:val="ru-RU" w:eastAsia="fr-FR"/>
        </w:rPr>
      </w:pPr>
      <w:r w:rsidRPr="00CC6909">
        <w:rPr>
          <w:rFonts w:ascii="Times New Roman" w:eastAsia="Times New Roman" w:hAnsi="Times New Roman" w:cs="Times New Roman"/>
          <w:color w:val="000000"/>
          <w:sz w:val="24"/>
          <w:szCs w:val="24"/>
          <w:lang w:val="ru-RU" w:eastAsia="fr-FR"/>
        </w:rPr>
        <w:t>При зниженні рівня гемоглобіну з нез’ясованих причин та/або гематокриту або зниженні артеріального тиску потрібно дослідити наявність кровотеч.</w:t>
      </w:r>
    </w:p>
    <w:p w:rsidR="00444BC6" w:rsidRPr="00A1665B" w:rsidRDefault="00444BC6" w:rsidP="00001BBE">
      <w:pPr>
        <w:spacing w:after="0"/>
        <w:rPr>
          <w:rFonts w:ascii="Times New Roman" w:eastAsia="Times New Roman" w:hAnsi="Times New Roman" w:cs="Times New Roman"/>
          <w:color w:val="000000" w:themeColor="text1"/>
          <w:sz w:val="24"/>
          <w:szCs w:val="24"/>
          <w:lang w:val="ru-RU" w:eastAsia="fr-FR"/>
        </w:rPr>
      </w:pPr>
    </w:p>
    <w:p w:rsidR="00444BC6" w:rsidRPr="00A1665B" w:rsidRDefault="00444BC6" w:rsidP="00001BBE">
      <w:pPr>
        <w:spacing w:after="0"/>
        <w:rPr>
          <w:rFonts w:ascii="Times New Roman" w:eastAsia="Times New Roman" w:hAnsi="Times New Roman" w:cs="Times New Roman"/>
          <w:color w:val="000000" w:themeColor="text1"/>
          <w:sz w:val="24"/>
          <w:szCs w:val="24"/>
          <w:lang w:val="ru-RU" w:eastAsia="fr-FR"/>
        </w:rPr>
      </w:pPr>
      <w:r w:rsidRPr="00A1665B">
        <w:rPr>
          <w:rFonts w:ascii="Times New Roman" w:eastAsia="Times New Roman" w:hAnsi="Times New Roman" w:cs="Times New Roman"/>
          <w:color w:val="000000" w:themeColor="text1"/>
          <w:sz w:val="24"/>
          <w:szCs w:val="24"/>
          <w:lang w:val="ru-RU" w:eastAsia="fr-FR"/>
        </w:rPr>
        <w:t>В ситуаціях, коли з</w:t>
      </w:r>
      <w:r w:rsidR="00BB0599" w:rsidRPr="00A1665B">
        <w:rPr>
          <w:rFonts w:ascii="Times New Roman" w:eastAsia="Times New Roman" w:hAnsi="Times New Roman" w:cs="Times New Roman"/>
          <w:color w:val="000000" w:themeColor="text1"/>
          <w:sz w:val="24"/>
          <w:szCs w:val="24"/>
          <w:lang w:val="ru-RU" w:eastAsia="fr-FR"/>
        </w:rPr>
        <w:t>’</w:t>
      </w:r>
      <w:r w:rsidRPr="00A1665B">
        <w:rPr>
          <w:rFonts w:ascii="Times New Roman" w:eastAsia="Times New Roman" w:hAnsi="Times New Roman" w:cs="Times New Roman"/>
          <w:color w:val="000000" w:themeColor="text1"/>
          <w:sz w:val="24"/>
          <w:szCs w:val="24"/>
          <w:lang w:val="ru-RU" w:eastAsia="fr-FR"/>
        </w:rPr>
        <w:t>являється ризик для життя або неконтрольованої кровотечі</w:t>
      </w:r>
      <w:r w:rsidR="00BB0599" w:rsidRPr="00A1665B">
        <w:rPr>
          <w:rFonts w:ascii="Times New Roman" w:eastAsia="Times New Roman" w:hAnsi="Times New Roman" w:cs="Times New Roman"/>
          <w:color w:val="000000" w:themeColor="text1"/>
          <w:sz w:val="24"/>
          <w:szCs w:val="24"/>
          <w:lang w:val="ru-RU" w:eastAsia="fr-FR"/>
        </w:rPr>
        <w:t xml:space="preserve">, коли необхідна швидка </w:t>
      </w:r>
      <w:r w:rsidR="00BB0599" w:rsidRPr="00A1665B">
        <w:rPr>
          <w:rFonts w:ascii="Times New Roman" w:eastAsia="Times New Roman" w:hAnsi="Times New Roman" w:cs="Times New Roman"/>
          <w:color w:val="000000" w:themeColor="text1"/>
          <w:sz w:val="24"/>
          <w:szCs w:val="24"/>
          <w:lang w:val="uk-UA" w:eastAsia="fr-FR"/>
        </w:rPr>
        <w:t>відміна антикоагуляційного ефекту дабігатрану, доступний специфічний препарат зворотної дії (Праксбайнд</w:t>
      </w:r>
      <w:r w:rsidR="00BB0599" w:rsidRPr="00A1665B">
        <w:rPr>
          <w:rFonts w:ascii="Times New Roman" w:eastAsia="Times New Roman" w:hAnsi="Times New Roman" w:cs="Times New Roman"/>
          <w:color w:val="000000" w:themeColor="text1"/>
          <w:sz w:val="24"/>
          <w:szCs w:val="24"/>
          <w:lang w:val="ru-RU" w:eastAsia="fr-FR"/>
        </w:rPr>
        <w:t>, ідаруц</w:t>
      </w:r>
      <w:r w:rsidR="0007596D" w:rsidRPr="00A1665B">
        <w:rPr>
          <w:rFonts w:ascii="Times New Roman" w:eastAsia="Times New Roman" w:hAnsi="Times New Roman" w:cs="Times New Roman"/>
          <w:color w:val="000000" w:themeColor="text1"/>
          <w:sz w:val="24"/>
          <w:szCs w:val="24"/>
          <w:lang w:val="ru-RU" w:eastAsia="fr-FR"/>
        </w:rPr>
        <w:t>и</w:t>
      </w:r>
      <w:r w:rsidR="00BB0599" w:rsidRPr="00A1665B">
        <w:rPr>
          <w:rFonts w:ascii="Times New Roman" w:eastAsia="Times New Roman" w:hAnsi="Times New Roman" w:cs="Times New Roman"/>
          <w:color w:val="000000" w:themeColor="text1"/>
          <w:sz w:val="24"/>
          <w:szCs w:val="24"/>
          <w:lang w:val="ru-RU" w:eastAsia="fr-FR"/>
        </w:rPr>
        <w:t>зумаб</w:t>
      </w:r>
      <w:r w:rsidR="00BB0599" w:rsidRPr="00A1665B">
        <w:rPr>
          <w:rFonts w:ascii="Times New Roman" w:eastAsia="Times New Roman" w:hAnsi="Times New Roman" w:cs="Times New Roman"/>
          <w:color w:val="000000" w:themeColor="text1"/>
          <w:sz w:val="24"/>
          <w:szCs w:val="24"/>
          <w:lang w:val="uk-UA" w:eastAsia="fr-FR"/>
        </w:rPr>
        <w:t>), (див. розділ «</w:t>
      </w:r>
      <w:r w:rsidR="00BB0599" w:rsidRPr="00A1665B">
        <w:rPr>
          <w:rFonts w:ascii="Times New Roman" w:hAnsi="Times New Roman" w:cs="Times New Roman"/>
          <w:color w:val="000000" w:themeColor="text1"/>
          <w:sz w:val="24"/>
          <w:szCs w:val="24"/>
          <w:lang w:val="uk-UA"/>
        </w:rPr>
        <w:t>Рекомендації у випадках передозування 1,2»</w:t>
      </w:r>
      <w:r w:rsidR="00BB0599" w:rsidRPr="00A1665B">
        <w:rPr>
          <w:rFonts w:ascii="Times New Roman" w:eastAsia="Times New Roman" w:hAnsi="Times New Roman" w:cs="Times New Roman"/>
          <w:color w:val="000000" w:themeColor="text1"/>
          <w:sz w:val="24"/>
          <w:szCs w:val="24"/>
          <w:lang w:val="uk-UA" w:eastAsia="fr-FR"/>
        </w:rPr>
        <w:t>)</w:t>
      </w:r>
      <w:r w:rsidRPr="00A1665B">
        <w:rPr>
          <w:rFonts w:ascii="Times New Roman" w:eastAsia="Times New Roman" w:hAnsi="Times New Roman" w:cs="Times New Roman"/>
          <w:color w:val="000000" w:themeColor="text1"/>
          <w:sz w:val="24"/>
          <w:szCs w:val="24"/>
          <w:lang w:val="ru-RU" w:eastAsia="fr-FR"/>
        </w:rPr>
        <w:t>.</w:t>
      </w:r>
    </w:p>
    <w:p w:rsidR="009F1BC9" w:rsidRPr="00A1665B" w:rsidRDefault="009F1BC9" w:rsidP="00444BC6">
      <w:pPr>
        <w:spacing w:after="0"/>
        <w:rPr>
          <w:rFonts w:ascii="Times New Roman" w:eastAsia="Times New Roman" w:hAnsi="Times New Roman" w:cs="Times New Roman"/>
          <w:color w:val="000000" w:themeColor="text1"/>
          <w:sz w:val="24"/>
          <w:szCs w:val="24"/>
          <w:lang w:val="ru-RU" w:eastAsia="fr-FR"/>
        </w:rPr>
      </w:pPr>
    </w:p>
    <w:p w:rsidR="009F1BC9" w:rsidRPr="00A1665B" w:rsidRDefault="009F1BC9" w:rsidP="00444BC6">
      <w:pPr>
        <w:spacing w:after="0"/>
        <w:rPr>
          <w:rFonts w:ascii="Times New Roman" w:eastAsia="Times New Roman" w:hAnsi="Times New Roman" w:cs="Times New Roman"/>
          <w:color w:val="000000" w:themeColor="text1"/>
          <w:sz w:val="24"/>
          <w:szCs w:val="24"/>
          <w:lang w:val="ru-RU" w:eastAsia="fr-FR"/>
        </w:rPr>
      </w:pPr>
    </w:p>
    <w:p w:rsidR="000C3717" w:rsidRPr="000C3717" w:rsidRDefault="000C3717" w:rsidP="000C3717">
      <w:pPr>
        <w:spacing w:after="0"/>
        <w:rPr>
          <w:rFonts w:ascii="Times New Roman" w:eastAsia="Times New Roman" w:hAnsi="Times New Roman" w:cs="Times New Roman"/>
          <w:b/>
          <w:sz w:val="24"/>
          <w:szCs w:val="24"/>
          <w:lang w:val="uk-UA" w:eastAsia="fr-FR"/>
        </w:rPr>
      </w:pPr>
      <w:r w:rsidRPr="000C3717">
        <w:rPr>
          <w:rFonts w:ascii="Times New Roman" w:eastAsia="Times New Roman" w:hAnsi="Times New Roman" w:cs="Times New Roman"/>
          <w:sz w:val="24"/>
          <w:szCs w:val="24"/>
          <w:lang w:val="uk-UA" w:eastAsia="fr-FR"/>
        </w:rPr>
        <w:t xml:space="preserve">Таблиця </w:t>
      </w:r>
      <w:r>
        <w:rPr>
          <w:rFonts w:ascii="Times New Roman" w:eastAsia="Times New Roman" w:hAnsi="Times New Roman" w:cs="Times New Roman"/>
          <w:sz w:val="24"/>
          <w:szCs w:val="24"/>
          <w:lang w:val="uk-UA" w:eastAsia="fr-FR"/>
        </w:rPr>
        <w:t xml:space="preserve">1* </w:t>
      </w:r>
      <w:r w:rsidRPr="000C3717">
        <w:rPr>
          <w:rStyle w:val="A12"/>
          <w:rFonts w:ascii="Times New Roman" w:hAnsi="Times New Roman" w:cs="Times New Roman"/>
          <w:b w:val="0"/>
          <w:color w:val="auto"/>
          <w:sz w:val="24"/>
          <w:szCs w:val="24"/>
          <w:lang w:val="uk-UA"/>
        </w:rPr>
        <w:t>підсумовує фактори, що сприяють збільшенню геморагічного ризику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7"/>
        <w:gridCol w:w="5351"/>
      </w:tblGrid>
      <w:tr w:rsidR="000C3717" w:rsidRPr="000C3717" w:rsidTr="000C3717">
        <w:tc>
          <w:tcPr>
            <w:tcW w:w="4117" w:type="dxa"/>
          </w:tcPr>
          <w:p w:rsidR="000C3717" w:rsidRPr="000C3717" w:rsidRDefault="000C3717" w:rsidP="005071BD">
            <w:pPr>
              <w:spacing w:after="0"/>
              <w:rPr>
                <w:rFonts w:ascii="Times New Roman" w:eastAsia="Times New Roman" w:hAnsi="Times New Roman" w:cs="Times New Roman"/>
                <w:b/>
                <w:sz w:val="24"/>
                <w:szCs w:val="24"/>
                <w:lang w:val="uk-UA" w:eastAsia="fr-FR"/>
              </w:rPr>
            </w:pPr>
            <w:r w:rsidRPr="000C3717">
              <w:rPr>
                <w:rFonts w:ascii="Times New Roman" w:eastAsia="Times New Roman" w:hAnsi="Times New Roman" w:cs="Times New Roman"/>
                <w:b/>
                <w:sz w:val="24"/>
                <w:szCs w:val="24"/>
                <w:lang w:val="uk-UA" w:eastAsia="fr-FR"/>
              </w:rPr>
              <w:t>Фармакодинамічні і кінетичні фактори</w:t>
            </w:r>
          </w:p>
        </w:tc>
        <w:tc>
          <w:tcPr>
            <w:tcW w:w="5351" w:type="dxa"/>
          </w:tcPr>
          <w:p w:rsidR="000C3717" w:rsidRPr="000C3717" w:rsidRDefault="000C3717" w:rsidP="005071BD">
            <w:pPr>
              <w:spacing w:after="0"/>
              <w:rPr>
                <w:rFonts w:ascii="Times New Roman" w:eastAsia="Times New Roman" w:hAnsi="Times New Roman" w:cs="Times New Roman"/>
                <w:b/>
                <w:sz w:val="24"/>
                <w:szCs w:val="24"/>
                <w:lang w:val="uk-UA" w:eastAsia="fr-FR"/>
              </w:rPr>
            </w:pPr>
            <w:r w:rsidRPr="000C3717">
              <w:rPr>
                <w:rFonts w:ascii="Times New Roman" w:eastAsia="Times New Roman" w:hAnsi="Times New Roman" w:cs="Times New Roman"/>
                <w:b/>
                <w:sz w:val="24"/>
                <w:szCs w:val="24"/>
                <w:lang w:val="uk-UA" w:eastAsia="fr-FR"/>
              </w:rPr>
              <w:t>Вік ≥ 75 років</w:t>
            </w:r>
          </w:p>
        </w:tc>
      </w:tr>
      <w:tr w:rsidR="000C3717" w:rsidRPr="00FC64FB" w:rsidTr="000C3717">
        <w:tc>
          <w:tcPr>
            <w:tcW w:w="4117" w:type="dxa"/>
          </w:tcPr>
          <w:p w:rsidR="000C3717" w:rsidRPr="000C3717" w:rsidRDefault="000C3717" w:rsidP="005071BD">
            <w:pPr>
              <w:spacing w:after="0"/>
              <w:rPr>
                <w:rFonts w:ascii="Times New Roman" w:eastAsia="Times New Roman" w:hAnsi="Times New Roman" w:cs="Times New Roman"/>
                <w:sz w:val="24"/>
                <w:szCs w:val="24"/>
                <w:lang w:val="uk-UA" w:eastAsia="fr-FR"/>
              </w:rPr>
            </w:pPr>
            <w:r w:rsidRPr="000C3717">
              <w:rPr>
                <w:rFonts w:ascii="Times New Roman" w:eastAsia="Times New Roman" w:hAnsi="Times New Roman" w:cs="Times New Roman"/>
                <w:sz w:val="24"/>
                <w:szCs w:val="24"/>
                <w:lang w:val="uk-UA" w:eastAsia="fr-FR"/>
              </w:rPr>
              <w:t>Фактори підвищення рівня дабігатрану у плазмі крові</w:t>
            </w:r>
          </w:p>
        </w:tc>
        <w:tc>
          <w:tcPr>
            <w:tcW w:w="5351" w:type="dxa"/>
          </w:tcPr>
          <w:p w:rsidR="000C3717" w:rsidRPr="000C3717" w:rsidRDefault="000C3717" w:rsidP="005071BD">
            <w:pPr>
              <w:spacing w:after="0"/>
              <w:rPr>
                <w:rFonts w:ascii="Times New Roman" w:eastAsia="Times New Roman" w:hAnsi="Times New Roman" w:cs="Times New Roman"/>
                <w:sz w:val="24"/>
                <w:szCs w:val="24"/>
                <w:lang w:val="uk-UA" w:eastAsia="fr-FR"/>
              </w:rPr>
            </w:pPr>
            <w:r w:rsidRPr="000C3717">
              <w:rPr>
                <w:rFonts w:ascii="Times New Roman" w:eastAsia="Times New Roman" w:hAnsi="Times New Roman" w:cs="Times New Roman"/>
                <w:sz w:val="24"/>
                <w:szCs w:val="24"/>
                <w:u w:val="single"/>
                <w:lang w:val="uk-UA" w:eastAsia="fr-FR"/>
              </w:rPr>
              <w:t>Значні</w:t>
            </w:r>
          </w:p>
          <w:p w:rsidR="000C3717" w:rsidRPr="000C3717" w:rsidRDefault="000C3717" w:rsidP="000C3717">
            <w:pPr>
              <w:numPr>
                <w:ilvl w:val="0"/>
                <w:numId w:val="29"/>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uk-UA" w:eastAsia="fr-FR"/>
              </w:rPr>
              <w:t>Помірна нирков</w:t>
            </w:r>
            <w:r w:rsidRPr="000C3717">
              <w:rPr>
                <w:rFonts w:ascii="Times New Roman" w:eastAsia="Times New Roman" w:hAnsi="Times New Roman" w:cs="Times New Roman"/>
                <w:sz w:val="24"/>
                <w:szCs w:val="24"/>
                <w:lang w:val="ru-RU" w:eastAsia="fr-FR"/>
              </w:rPr>
              <w:t>а недостатність (кліренс креатиніну 30–50 мл/хв)</w:t>
            </w:r>
            <w:r w:rsidR="00576944">
              <w:rPr>
                <w:rFonts w:ascii="Times New Roman" w:eastAsia="Times New Roman" w:hAnsi="Times New Roman" w:cs="Times New Roman"/>
                <w:sz w:val="24"/>
                <w:szCs w:val="24"/>
                <w:lang w:val="uk-UA" w:eastAsia="fr-FR"/>
              </w:rPr>
              <w:t>**</w:t>
            </w:r>
            <w:r w:rsidRPr="000C3717">
              <w:rPr>
                <w:rFonts w:ascii="Times New Roman" w:eastAsia="Times New Roman" w:hAnsi="Times New Roman" w:cs="Times New Roman"/>
                <w:sz w:val="24"/>
                <w:szCs w:val="24"/>
                <w:lang w:val="ru-RU" w:eastAsia="fr-FR"/>
              </w:rPr>
              <w:t>.</w:t>
            </w:r>
          </w:p>
          <w:p w:rsidR="000C3717" w:rsidRPr="000C3717" w:rsidRDefault="000C3717" w:rsidP="000C3717">
            <w:pPr>
              <w:numPr>
                <w:ilvl w:val="0"/>
                <w:numId w:val="29"/>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Одночасне застосування інгібіторів Р-</w:t>
            </w:r>
            <w:proofErr w:type="spellStart"/>
            <w:r w:rsidRPr="00FC64FB">
              <w:rPr>
                <w:rFonts w:ascii="Times New Roman" w:eastAsia="Times New Roman" w:hAnsi="Times New Roman" w:cs="Times New Roman"/>
                <w:sz w:val="24"/>
                <w:szCs w:val="24"/>
                <w:lang w:eastAsia="fr-FR"/>
              </w:rPr>
              <w:t>gp</w:t>
            </w:r>
            <w:proofErr w:type="spellEnd"/>
            <w:r>
              <w:rPr>
                <w:rFonts w:ascii="Times New Roman" w:eastAsia="Times New Roman" w:hAnsi="Times New Roman" w:cs="Times New Roman"/>
                <w:sz w:val="24"/>
                <w:szCs w:val="24"/>
                <w:lang w:val="uk-UA" w:eastAsia="fr-FR"/>
              </w:rPr>
              <w:t>**</w:t>
            </w:r>
            <w:r w:rsidRPr="000C3717">
              <w:rPr>
                <w:rFonts w:ascii="Times New Roman" w:eastAsia="Times New Roman" w:hAnsi="Times New Roman" w:cs="Times New Roman"/>
                <w:sz w:val="24"/>
                <w:szCs w:val="24"/>
                <w:lang w:val="ru-RU" w:eastAsia="fr-FR"/>
              </w:rPr>
              <w:t xml:space="preserve"> (деякі інгібітори Р-</w:t>
            </w:r>
            <w:proofErr w:type="spellStart"/>
            <w:r w:rsidRPr="00FC64FB">
              <w:rPr>
                <w:rFonts w:ascii="Times New Roman" w:eastAsia="Times New Roman" w:hAnsi="Times New Roman" w:cs="Times New Roman"/>
                <w:sz w:val="24"/>
                <w:szCs w:val="24"/>
                <w:lang w:eastAsia="fr-FR"/>
              </w:rPr>
              <w:t>gp</w:t>
            </w:r>
            <w:proofErr w:type="spellEnd"/>
            <w:r>
              <w:rPr>
                <w:rFonts w:ascii="Times New Roman" w:eastAsia="Times New Roman" w:hAnsi="Times New Roman" w:cs="Times New Roman"/>
                <w:sz w:val="24"/>
                <w:szCs w:val="24"/>
                <w:lang w:val="ru-RU" w:eastAsia="fr-FR"/>
              </w:rPr>
              <w:t xml:space="preserve"> протипоказані</w:t>
            </w:r>
            <w:r w:rsidRPr="000C3717">
              <w:rPr>
                <w:rFonts w:ascii="Times New Roman" w:eastAsia="Times New Roman" w:hAnsi="Times New Roman" w:cs="Times New Roman"/>
                <w:sz w:val="24"/>
                <w:szCs w:val="24"/>
                <w:lang w:val="ru-RU" w:eastAsia="fr-FR"/>
              </w:rPr>
              <w:t>).</w:t>
            </w:r>
          </w:p>
          <w:p w:rsidR="000C3717" w:rsidRPr="00FC64FB" w:rsidRDefault="000C3717" w:rsidP="005071BD">
            <w:pPr>
              <w:spacing w:after="0"/>
              <w:rPr>
                <w:rFonts w:ascii="Times New Roman" w:eastAsia="Times New Roman" w:hAnsi="Times New Roman" w:cs="Times New Roman"/>
                <w:sz w:val="24"/>
                <w:szCs w:val="24"/>
                <w:u w:val="single"/>
                <w:lang w:eastAsia="fr-FR"/>
              </w:rPr>
            </w:pPr>
            <w:proofErr w:type="spellStart"/>
            <w:r w:rsidRPr="00FC64FB">
              <w:rPr>
                <w:rFonts w:ascii="Times New Roman" w:eastAsia="Times New Roman" w:hAnsi="Times New Roman" w:cs="Times New Roman"/>
                <w:sz w:val="24"/>
                <w:szCs w:val="24"/>
                <w:u w:val="single"/>
                <w:lang w:eastAsia="fr-FR"/>
              </w:rPr>
              <w:t>Незначні</w:t>
            </w:r>
            <w:proofErr w:type="spellEnd"/>
          </w:p>
          <w:p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Низька</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маса</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тіла</w:t>
            </w:r>
            <w:proofErr w:type="spellEnd"/>
            <w:r w:rsidRPr="00FC64FB">
              <w:rPr>
                <w:rFonts w:ascii="Times New Roman" w:eastAsia="Times New Roman" w:hAnsi="Times New Roman" w:cs="Times New Roman"/>
                <w:sz w:val="24"/>
                <w:szCs w:val="24"/>
                <w:lang w:eastAsia="fr-FR"/>
              </w:rPr>
              <w:t xml:space="preserve"> (&lt; 50 </w:t>
            </w:r>
            <w:proofErr w:type="spellStart"/>
            <w:r w:rsidRPr="00FC64FB">
              <w:rPr>
                <w:rFonts w:ascii="Times New Roman" w:eastAsia="Times New Roman" w:hAnsi="Times New Roman" w:cs="Times New Roman"/>
                <w:sz w:val="24"/>
                <w:szCs w:val="24"/>
                <w:lang w:eastAsia="fr-FR"/>
              </w:rPr>
              <w:t>кг</w:t>
            </w:r>
            <w:proofErr w:type="spellEnd"/>
            <w:r w:rsidRPr="00FC64FB">
              <w:rPr>
                <w:rFonts w:ascii="Times New Roman" w:eastAsia="Times New Roman" w:hAnsi="Times New Roman" w:cs="Times New Roman"/>
                <w:sz w:val="24"/>
                <w:szCs w:val="24"/>
                <w:lang w:eastAsia="fr-FR"/>
              </w:rPr>
              <w:t>).</w:t>
            </w:r>
          </w:p>
        </w:tc>
      </w:tr>
      <w:tr w:rsidR="000C3717" w:rsidRPr="00FC64FB" w:rsidTr="000C3717">
        <w:tc>
          <w:tcPr>
            <w:tcW w:w="4117" w:type="dxa"/>
          </w:tcPr>
          <w:p w:rsidR="000C3717" w:rsidRPr="00FC64FB" w:rsidRDefault="000C3717"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Фармакодинамічні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взаємодії</w:t>
            </w:r>
            <w:proofErr w:type="spellEnd"/>
          </w:p>
        </w:tc>
        <w:tc>
          <w:tcPr>
            <w:tcW w:w="5351" w:type="dxa"/>
          </w:tcPr>
          <w:p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Ацетилсаліцилова</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кислота</w:t>
            </w:r>
            <w:proofErr w:type="spellEnd"/>
            <w:r w:rsidRPr="00FC64FB">
              <w:rPr>
                <w:rFonts w:ascii="Times New Roman" w:eastAsia="Times New Roman" w:hAnsi="Times New Roman" w:cs="Times New Roman"/>
                <w:sz w:val="24"/>
                <w:szCs w:val="24"/>
                <w:lang w:eastAsia="fr-FR"/>
              </w:rPr>
              <w:t>.</w:t>
            </w:r>
          </w:p>
          <w:p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Нестероїдні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протизапальні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лікарські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засоби</w:t>
            </w:r>
            <w:proofErr w:type="spellEnd"/>
            <w:r w:rsidRPr="00FC64FB">
              <w:rPr>
                <w:rFonts w:ascii="Times New Roman" w:eastAsia="Times New Roman" w:hAnsi="Times New Roman" w:cs="Times New Roman"/>
                <w:sz w:val="24"/>
                <w:szCs w:val="24"/>
                <w:lang w:eastAsia="fr-FR"/>
              </w:rPr>
              <w:t>.</w:t>
            </w:r>
          </w:p>
          <w:p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Клопідогрель</w:t>
            </w:r>
            <w:proofErr w:type="spellEnd"/>
            <w:r w:rsidRPr="00FC64FB">
              <w:rPr>
                <w:rFonts w:ascii="Times New Roman" w:eastAsia="Times New Roman" w:hAnsi="Times New Roman" w:cs="Times New Roman"/>
                <w:sz w:val="24"/>
                <w:szCs w:val="24"/>
                <w:lang w:eastAsia="fr-FR"/>
              </w:rPr>
              <w:t>.</w:t>
            </w:r>
          </w:p>
          <w:p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xml:space="preserve">СІЗЗС </w:t>
            </w:r>
            <w:proofErr w:type="spellStart"/>
            <w:r w:rsidRPr="00FC64FB">
              <w:rPr>
                <w:rFonts w:ascii="Times New Roman" w:eastAsia="Times New Roman" w:hAnsi="Times New Roman" w:cs="Times New Roman"/>
                <w:sz w:val="24"/>
                <w:szCs w:val="24"/>
                <w:lang w:eastAsia="fr-FR"/>
              </w:rPr>
              <w:t>або</w:t>
            </w:r>
            <w:proofErr w:type="spellEnd"/>
            <w:r w:rsidRPr="00FC64FB">
              <w:rPr>
                <w:rFonts w:ascii="Times New Roman" w:eastAsia="Times New Roman" w:hAnsi="Times New Roman" w:cs="Times New Roman"/>
                <w:sz w:val="24"/>
                <w:szCs w:val="24"/>
                <w:lang w:eastAsia="fr-FR"/>
              </w:rPr>
              <w:t xml:space="preserve"> СІЗЗН</w:t>
            </w:r>
            <w:r>
              <w:rPr>
                <w:rFonts w:ascii="Times New Roman" w:eastAsia="Times New Roman" w:hAnsi="Times New Roman" w:cs="Times New Roman"/>
                <w:sz w:val="24"/>
                <w:szCs w:val="24"/>
                <w:lang w:val="uk-UA" w:eastAsia="fr-FR"/>
              </w:rPr>
              <w:t>**</w:t>
            </w:r>
            <w:r w:rsidRPr="00FC64FB">
              <w:rPr>
                <w:rFonts w:ascii="Times New Roman" w:eastAsia="Times New Roman" w:hAnsi="Times New Roman" w:cs="Times New Roman"/>
                <w:sz w:val="24"/>
                <w:szCs w:val="24"/>
                <w:lang w:eastAsia="fr-FR"/>
              </w:rPr>
              <w:t>.</w:t>
            </w:r>
          </w:p>
          <w:p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Інші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лікарські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засоби</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які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можуть</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погіршувати</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lastRenderedPageBreak/>
              <w:t>гемостаз</w:t>
            </w:r>
            <w:proofErr w:type="spellEnd"/>
            <w:r w:rsidRPr="00FC64FB">
              <w:rPr>
                <w:rFonts w:ascii="Times New Roman" w:eastAsia="Times New Roman" w:hAnsi="Times New Roman" w:cs="Times New Roman"/>
                <w:sz w:val="24"/>
                <w:szCs w:val="24"/>
                <w:lang w:eastAsia="fr-FR"/>
              </w:rPr>
              <w:t>.</w:t>
            </w:r>
          </w:p>
        </w:tc>
      </w:tr>
      <w:tr w:rsidR="000C3717" w:rsidRPr="00A1665B" w:rsidTr="000C3717">
        <w:tc>
          <w:tcPr>
            <w:tcW w:w="4117" w:type="dxa"/>
          </w:tcPr>
          <w:p w:rsidR="000C3717" w:rsidRPr="000C3717" w:rsidRDefault="000C3717" w:rsidP="005071BD">
            <w:pPr>
              <w:spacing w:after="0"/>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lastRenderedPageBreak/>
              <w:t>Захворювання/процедури з ризиком кровотеч</w:t>
            </w:r>
          </w:p>
        </w:tc>
        <w:tc>
          <w:tcPr>
            <w:tcW w:w="5351" w:type="dxa"/>
          </w:tcPr>
          <w:p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Вроджені або набуті розлади згортання крові.</w:t>
            </w:r>
          </w:p>
          <w:p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Тромбоцитопенія або функціональні дефекти тромбоцитів.</w:t>
            </w:r>
          </w:p>
          <w:p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Нещодавня біопсія або масивна травма.</w:t>
            </w:r>
          </w:p>
          <w:p w:rsidR="000C3717" w:rsidRPr="00FC64FB" w:rsidRDefault="000C3717" w:rsidP="000C3717">
            <w:pPr>
              <w:numPr>
                <w:ilvl w:val="0"/>
                <w:numId w:val="31"/>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Бактеріальний</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ендокардит</w:t>
            </w:r>
            <w:proofErr w:type="spellEnd"/>
            <w:r w:rsidRPr="00FC64FB">
              <w:rPr>
                <w:rFonts w:ascii="Times New Roman" w:eastAsia="Times New Roman" w:hAnsi="Times New Roman" w:cs="Times New Roman"/>
                <w:sz w:val="24"/>
                <w:szCs w:val="24"/>
                <w:lang w:eastAsia="fr-FR"/>
              </w:rPr>
              <w:t xml:space="preserve">. </w:t>
            </w:r>
          </w:p>
          <w:p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Езофагіт, гастрит або гастроезофагеальний рефлюкс.</w:t>
            </w:r>
          </w:p>
        </w:tc>
      </w:tr>
    </w:tbl>
    <w:p w:rsidR="000C3717" w:rsidRPr="000C3717" w:rsidRDefault="000C3717" w:rsidP="000C3717">
      <w:pPr>
        <w:pStyle w:val="Pa22"/>
        <w:rPr>
          <w:rFonts w:ascii="Times New Roman" w:hAnsi="Times New Roman"/>
          <w:sz w:val="16"/>
          <w:szCs w:val="16"/>
        </w:rPr>
      </w:pPr>
      <w:r w:rsidRPr="000C3717">
        <w:rPr>
          <w:rFonts w:ascii="Times New Roman" w:hAnsi="Times New Roman"/>
          <w:sz w:val="16"/>
          <w:szCs w:val="16"/>
        </w:rPr>
        <w:t>* Для спеціальної групи пацієнтів, які потребують зменшеної дози, див. розділ «Доз</w:t>
      </w:r>
      <w:r>
        <w:rPr>
          <w:rFonts w:ascii="Times New Roman" w:hAnsi="Times New Roman"/>
          <w:sz w:val="16"/>
          <w:szCs w:val="16"/>
        </w:rPr>
        <w:t>и</w:t>
      </w:r>
      <w:r w:rsidRPr="000C3717">
        <w:rPr>
          <w:rFonts w:ascii="Times New Roman" w:hAnsi="Times New Roman"/>
          <w:sz w:val="16"/>
          <w:szCs w:val="16"/>
        </w:rPr>
        <w:t xml:space="preserve">». </w:t>
      </w:r>
    </w:p>
    <w:p w:rsidR="000C3717" w:rsidRPr="000C3717" w:rsidRDefault="000C3717" w:rsidP="000C3717">
      <w:pPr>
        <w:rPr>
          <w:rFonts w:ascii="Times New Roman" w:eastAsia="Calibri" w:hAnsi="Times New Roman" w:cs="Times New Roman"/>
          <w:b/>
          <w:lang w:val="uk-UA"/>
        </w:rPr>
      </w:pPr>
      <w:r w:rsidRPr="000C3717">
        <w:rPr>
          <w:rFonts w:ascii="Times New Roman" w:hAnsi="Times New Roman" w:cs="Times New Roman"/>
          <w:sz w:val="16"/>
          <w:szCs w:val="16"/>
          <w:lang w:val="uk-UA"/>
        </w:rPr>
        <w:t xml:space="preserve">** </w:t>
      </w:r>
      <w:r w:rsidRPr="000C3717">
        <w:rPr>
          <w:rFonts w:ascii="Times New Roman" w:hAnsi="Times New Roman" w:cs="Times New Roman"/>
          <w:sz w:val="16"/>
          <w:szCs w:val="16"/>
        </w:rPr>
        <w:t>P</w:t>
      </w:r>
      <w:r w:rsidRPr="000C3717">
        <w:rPr>
          <w:rFonts w:ascii="Times New Roman" w:hAnsi="Times New Roman" w:cs="Times New Roman"/>
          <w:sz w:val="16"/>
          <w:szCs w:val="16"/>
          <w:lang w:val="uk-UA"/>
        </w:rPr>
        <w:t>-</w:t>
      </w:r>
      <w:proofErr w:type="spellStart"/>
      <w:r w:rsidRPr="000C3717">
        <w:rPr>
          <w:rFonts w:ascii="Times New Roman" w:hAnsi="Times New Roman" w:cs="Times New Roman"/>
          <w:sz w:val="16"/>
          <w:szCs w:val="16"/>
        </w:rPr>
        <w:t>gp</w:t>
      </w:r>
      <w:proofErr w:type="spellEnd"/>
      <w:r w:rsidRPr="000C3717">
        <w:rPr>
          <w:rFonts w:ascii="Times New Roman" w:hAnsi="Times New Roman" w:cs="Times New Roman"/>
          <w:sz w:val="16"/>
          <w:szCs w:val="16"/>
          <w:lang w:val="uk-UA"/>
        </w:rPr>
        <w:t xml:space="preserve"> — </w:t>
      </w:r>
      <w:r w:rsidRPr="000C3717">
        <w:rPr>
          <w:rFonts w:ascii="Times New Roman" w:hAnsi="Times New Roman" w:cs="Times New Roman"/>
          <w:sz w:val="16"/>
          <w:szCs w:val="16"/>
        </w:rPr>
        <w:t>P</w:t>
      </w:r>
      <w:r>
        <w:rPr>
          <w:rFonts w:ascii="Times New Roman" w:hAnsi="Times New Roman" w:cs="Times New Roman"/>
          <w:sz w:val="16"/>
          <w:szCs w:val="16"/>
          <w:lang w:val="uk-UA"/>
        </w:rPr>
        <w:t>-глікопротеїн, СІ</w:t>
      </w:r>
      <w:r w:rsidRPr="000C3717">
        <w:rPr>
          <w:rFonts w:ascii="Times New Roman" w:hAnsi="Times New Roman" w:cs="Times New Roman"/>
          <w:sz w:val="16"/>
          <w:szCs w:val="16"/>
          <w:lang w:val="uk-UA"/>
        </w:rPr>
        <w:t>ЗЗС — накопичені інгібіт</w:t>
      </w:r>
      <w:r>
        <w:rPr>
          <w:rFonts w:ascii="Times New Roman" w:hAnsi="Times New Roman" w:cs="Times New Roman"/>
          <w:sz w:val="16"/>
          <w:szCs w:val="16"/>
          <w:lang w:val="uk-UA"/>
        </w:rPr>
        <w:t>ори селективного серотоніну, СІЗЗ</w:t>
      </w:r>
      <w:r w:rsidRPr="000C3717">
        <w:rPr>
          <w:rFonts w:ascii="Times New Roman" w:hAnsi="Times New Roman" w:cs="Times New Roman"/>
          <w:sz w:val="16"/>
          <w:szCs w:val="16"/>
          <w:lang w:val="uk-UA"/>
        </w:rPr>
        <w:t>Н — накопичені інгібітори серотоніну норепінефрину.</w:t>
      </w:r>
    </w:p>
    <w:p w:rsidR="004E0C5C" w:rsidRDefault="004E0C5C">
      <w:pPr>
        <w:spacing w:line="276" w:lineRule="auto"/>
        <w:rPr>
          <w:rFonts w:ascii="Times New Roman" w:hAnsi="Times New Roman" w:cs="Times New Roman"/>
          <w:sz w:val="24"/>
          <w:szCs w:val="24"/>
          <w:lang w:val="uk-UA"/>
        </w:rPr>
      </w:pPr>
    </w:p>
    <w:p w:rsidR="008430D4" w:rsidRPr="005A1DC3" w:rsidRDefault="008430D4" w:rsidP="008430D4">
      <w:pPr>
        <w:rPr>
          <w:rFonts w:ascii="Times New Roman" w:hAnsi="Times New Roman" w:cs="Times New Roman"/>
          <w:b/>
          <w:sz w:val="24"/>
          <w:szCs w:val="24"/>
          <w:lang w:val="uk-UA"/>
        </w:rPr>
      </w:pPr>
      <w:r w:rsidRPr="005A1DC3">
        <w:rPr>
          <w:rFonts w:ascii="Times New Roman" w:hAnsi="Times New Roman" w:cs="Times New Roman"/>
          <w:b/>
          <w:sz w:val="24"/>
          <w:szCs w:val="24"/>
          <w:lang w:val="uk-UA"/>
        </w:rPr>
        <w:t>Зміна препарату</w:t>
      </w:r>
    </w:p>
    <w:p w:rsidR="008430D4" w:rsidRPr="005A1DC3" w:rsidRDefault="008430D4" w:rsidP="008430D4">
      <w:pPr>
        <w:rPr>
          <w:rFonts w:ascii="Times New Roman" w:hAnsi="Times New Roman" w:cs="Times New Roman"/>
          <w:b/>
          <w:sz w:val="24"/>
          <w:szCs w:val="24"/>
          <w:lang w:val="ru-RU"/>
        </w:rPr>
      </w:pPr>
      <w:r w:rsidRPr="005A1DC3">
        <w:rPr>
          <w:rFonts w:ascii="Times New Roman" w:eastAsia="Times New Roman" w:hAnsi="Times New Roman" w:cs="Times New Roman"/>
          <w:i/>
          <w:sz w:val="24"/>
          <w:szCs w:val="24"/>
          <w:lang w:val="ru-RU" w:eastAsia="de-DE"/>
        </w:rPr>
        <w:t>Перехід з Прадакса на парентеральний антикоагулянт</w:t>
      </w:r>
    </w:p>
    <w:p w:rsidR="0051077C" w:rsidRPr="005A1DC3" w:rsidRDefault="008430D4" w:rsidP="000A5532">
      <w:pPr>
        <w:spacing w:after="0"/>
        <w:rPr>
          <w:rFonts w:ascii="Times New Roman" w:eastAsia="Calibri" w:hAnsi="Times New Roman" w:cs="Times New Roman"/>
          <w:sz w:val="24"/>
          <w:szCs w:val="24"/>
          <w:lang w:val="ru-RU"/>
        </w:rPr>
      </w:pPr>
      <w:r w:rsidRPr="005A1DC3">
        <w:rPr>
          <w:rFonts w:ascii="Times New Roman" w:eastAsia="Times New Roman" w:hAnsi="Times New Roman" w:cs="Times New Roman"/>
          <w:sz w:val="24"/>
          <w:szCs w:val="24"/>
          <w:lang w:val="ru-RU" w:eastAsia="de-DE"/>
        </w:rPr>
        <w:t xml:space="preserve">Перед переходом з прийому дабігатрану етексилату на парентеральний антикоагулянт рекомендується зачекати </w:t>
      </w:r>
      <w:r w:rsidR="00A57ED2">
        <w:rPr>
          <w:rFonts w:ascii="Times New Roman" w:eastAsia="Times New Roman" w:hAnsi="Times New Roman" w:cs="Times New Roman"/>
          <w:sz w:val="24"/>
          <w:szCs w:val="24"/>
          <w:lang w:val="ru-RU" w:eastAsia="de-DE"/>
        </w:rPr>
        <w:t>12</w:t>
      </w:r>
      <w:r w:rsidRPr="005A1DC3">
        <w:rPr>
          <w:rFonts w:ascii="Times New Roman" w:eastAsia="Times New Roman" w:hAnsi="Times New Roman" w:cs="Times New Roman"/>
          <w:sz w:val="24"/>
          <w:szCs w:val="24"/>
          <w:lang w:val="ru-RU" w:eastAsia="de-DE"/>
        </w:rPr>
        <w:t xml:space="preserve"> годин після прийому останньої дози.</w:t>
      </w:r>
    </w:p>
    <w:p w:rsidR="000A5532" w:rsidRPr="005A1DC3" w:rsidRDefault="000A5532" w:rsidP="000A5532">
      <w:pPr>
        <w:spacing w:after="0"/>
        <w:rPr>
          <w:rFonts w:ascii="Times New Roman" w:eastAsia="Calibri" w:hAnsi="Times New Roman" w:cs="Times New Roman"/>
          <w:sz w:val="24"/>
          <w:szCs w:val="24"/>
          <w:lang w:val="ru-RU"/>
        </w:rPr>
      </w:pPr>
    </w:p>
    <w:p w:rsidR="008430D4" w:rsidRPr="005A1DC3" w:rsidRDefault="008430D4" w:rsidP="008430D4">
      <w:pPr>
        <w:rPr>
          <w:rFonts w:ascii="Times New Roman" w:eastAsia="Times New Roman" w:hAnsi="Times New Roman" w:cs="Times New Roman"/>
          <w:i/>
          <w:sz w:val="24"/>
          <w:szCs w:val="24"/>
          <w:lang w:val="ru-RU" w:eastAsia="de-DE"/>
        </w:rPr>
      </w:pPr>
      <w:r w:rsidRPr="005A1DC3">
        <w:rPr>
          <w:rFonts w:ascii="Times New Roman" w:eastAsia="Times New Roman" w:hAnsi="Times New Roman" w:cs="Times New Roman"/>
          <w:i/>
          <w:sz w:val="24"/>
          <w:szCs w:val="24"/>
          <w:lang w:val="ru-RU" w:eastAsia="de-DE"/>
        </w:rPr>
        <w:t xml:space="preserve">Перехід з парентерального антикоагулянту на Прадакса </w:t>
      </w:r>
    </w:p>
    <w:p w:rsidR="008430D4" w:rsidRPr="005A1DC3" w:rsidRDefault="008430D4" w:rsidP="008430D4">
      <w:pPr>
        <w:rPr>
          <w:rFonts w:ascii="Times New Roman" w:hAnsi="Times New Roman" w:cs="Times New Roman"/>
          <w:b/>
          <w:sz w:val="24"/>
          <w:szCs w:val="24"/>
          <w:lang w:val="ru-RU"/>
        </w:rPr>
      </w:pPr>
      <w:r w:rsidRPr="005A1DC3">
        <w:rPr>
          <w:rFonts w:ascii="Times New Roman" w:eastAsia="Times New Roman" w:hAnsi="Times New Roman" w:cs="Times New Roman"/>
          <w:sz w:val="24"/>
          <w:szCs w:val="24"/>
          <w:lang w:val="ru-RU" w:eastAsia="de-DE"/>
        </w:rPr>
        <w:t>Припиняють прийом парентерального антикоагулянту та приймають дабігатрану етексилат за 0-2 години до часу ймовірного застосування альтернативної терапії або у момент припинення лікування, якщо потрібне продовження терапії (наприклад внутрішньовенний нефракціонований гепарин)</w:t>
      </w:r>
    </w:p>
    <w:p w:rsidR="004E0C5C" w:rsidRDefault="004E0C5C">
      <w:pPr>
        <w:spacing w:line="276" w:lineRule="auto"/>
        <w:rPr>
          <w:rFonts w:ascii="Times New Roman" w:hAnsi="Times New Roman" w:cs="Times New Roman"/>
          <w:sz w:val="24"/>
          <w:szCs w:val="24"/>
          <w:lang w:val="uk-UA"/>
        </w:rPr>
      </w:pPr>
    </w:p>
    <w:p w:rsidR="005A1DC3" w:rsidRDefault="005A1DC3" w:rsidP="005A1DC3">
      <w:pPr>
        <w:spacing w:after="0"/>
        <w:rPr>
          <w:rFonts w:ascii="Times New Roman" w:eastAsia="Times New Roman" w:hAnsi="Times New Roman" w:cs="Times New Roman"/>
          <w:i/>
          <w:sz w:val="24"/>
          <w:szCs w:val="24"/>
          <w:lang w:val="ru-RU" w:eastAsia="de-DE"/>
        </w:rPr>
      </w:pPr>
      <w:r w:rsidRPr="005A1DC3">
        <w:rPr>
          <w:rFonts w:ascii="Times New Roman" w:eastAsia="Times New Roman" w:hAnsi="Times New Roman" w:cs="Times New Roman"/>
          <w:i/>
          <w:sz w:val="24"/>
          <w:szCs w:val="24"/>
          <w:lang w:val="ru-RU" w:eastAsia="de-DE"/>
        </w:rPr>
        <w:t xml:space="preserve">Перехід із застосування </w:t>
      </w:r>
      <w:r w:rsidRPr="00FC64FB">
        <w:rPr>
          <w:rFonts w:ascii="Times New Roman" w:eastAsia="Times New Roman" w:hAnsi="Times New Roman" w:cs="Times New Roman"/>
          <w:i/>
          <w:sz w:val="24"/>
          <w:szCs w:val="24"/>
          <w:lang w:val="ru-RU" w:eastAsia="de-DE"/>
        </w:rPr>
        <w:t>ПРАДАКСИ</w:t>
      </w:r>
      <w:r w:rsidRPr="005A1DC3">
        <w:rPr>
          <w:rFonts w:ascii="Times New Roman" w:eastAsia="Times New Roman" w:hAnsi="Times New Roman" w:cs="Times New Roman"/>
          <w:i/>
          <w:sz w:val="24"/>
          <w:szCs w:val="24"/>
          <w:lang w:val="ru-RU" w:eastAsia="de-DE"/>
        </w:rPr>
        <w:t xml:space="preserve"> на прийом агоністів вітаміну К (АВК)</w:t>
      </w:r>
    </w:p>
    <w:p w:rsidR="005A1DC3" w:rsidRPr="00FC64FB" w:rsidRDefault="005A1DC3" w:rsidP="005A1DC3">
      <w:pPr>
        <w:tabs>
          <w:tab w:val="left" w:pos="284"/>
          <w:tab w:val="left" w:pos="7920"/>
        </w:tabs>
        <w:spacing w:after="0"/>
        <w:rPr>
          <w:rFonts w:ascii="Times New Roman" w:eastAsia="Times New Roman" w:hAnsi="Times New Roman" w:cs="Times New Roman"/>
          <w:snapToGrid w:val="0"/>
          <w:sz w:val="24"/>
          <w:szCs w:val="24"/>
          <w:lang w:val="ru-RU" w:eastAsia="de-DE"/>
        </w:rPr>
      </w:pPr>
      <w:r w:rsidRPr="00FC64FB">
        <w:rPr>
          <w:rFonts w:ascii="Times New Roman" w:eastAsia="Times New Roman" w:hAnsi="Times New Roman" w:cs="Times New Roman"/>
          <w:snapToGrid w:val="0"/>
          <w:sz w:val="24"/>
          <w:szCs w:val="24"/>
          <w:lang w:val="ru-RU" w:eastAsia="de-DE"/>
        </w:rPr>
        <w:t>Умови переходу на застосування АВК на основі CrCl (кліренсу креатиніну):</w:t>
      </w:r>
    </w:p>
    <w:p w:rsidR="005A1DC3" w:rsidRPr="00FC64FB" w:rsidRDefault="005A1DC3" w:rsidP="005A1DC3">
      <w:pPr>
        <w:numPr>
          <w:ilvl w:val="0"/>
          <w:numId w:val="35"/>
        </w:numPr>
        <w:spacing w:after="0"/>
        <w:ind w:left="426"/>
        <w:rPr>
          <w:rFonts w:ascii="Times New Roman" w:eastAsia="Times New Roman" w:hAnsi="Times New Roman" w:cs="Times New Roman"/>
          <w:snapToGrid w:val="0"/>
          <w:sz w:val="24"/>
          <w:szCs w:val="24"/>
          <w:lang w:val="ru-RU" w:eastAsia="de-DE"/>
        </w:rPr>
      </w:pPr>
      <w:r w:rsidRPr="00FC64FB">
        <w:rPr>
          <w:rFonts w:ascii="Times New Roman" w:eastAsia="Times New Roman" w:hAnsi="Times New Roman" w:cs="Times New Roman"/>
          <w:snapToGrid w:val="0"/>
          <w:sz w:val="24"/>
          <w:szCs w:val="24"/>
          <w:lang w:val="ru-RU" w:eastAsia="de-DE"/>
        </w:rPr>
        <w:t>CrCl ≥ 50 мл/хв, початок застосування АВК – 3 дні до припинення застосування дабігатрану етексилату;</w:t>
      </w:r>
    </w:p>
    <w:p w:rsidR="005A1DC3" w:rsidRPr="00FC64FB" w:rsidRDefault="005A1DC3" w:rsidP="005A1DC3">
      <w:pPr>
        <w:numPr>
          <w:ilvl w:val="0"/>
          <w:numId w:val="35"/>
        </w:numPr>
        <w:spacing w:after="0"/>
        <w:ind w:left="426"/>
        <w:rPr>
          <w:rFonts w:ascii="Times New Roman" w:eastAsia="Times New Roman" w:hAnsi="Times New Roman" w:cs="Times New Roman"/>
          <w:snapToGrid w:val="0"/>
          <w:sz w:val="24"/>
          <w:szCs w:val="24"/>
          <w:lang w:val="ru-RU" w:eastAsia="de-DE"/>
        </w:rPr>
      </w:pPr>
      <w:r w:rsidRPr="00FC64FB">
        <w:rPr>
          <w:rFonts w:ascii="Times New Roman" w:eastAsia="Times New Roman" w:hAnsi="Times New Roman" w:cs="Times New Roman"/>
          <w:snapToGrid w:val="0"/>
          <w:sz w:val="24"/>
          <w:szCs w:val="24"/>
          <w:lang w:val="ru-RU" w:eastAsia="de-DE"/>
        </w:rPr>
        <w:t>CrCl ≥ 30-&lt;50 мл/хв, початок застосування АВК – 2 дні до припинення застосування дабігатрану етексилату.</w:t>
      </w:r>
    </w:p>
    <w:p w:rsidR="005A1DC3" w:rsidRPr="005A1DC3" w:rsidRDefault="005A1DC3" w:rsidP="005A1DC3">
      <w:pPr>
        <w:spacing w:after="0"/>
        <w:rPr>
          <w:rFonts w:ascii="Times New Roman" w:hAnsi="Times New Roman" w:cs="Times New Roman"/>
          <w:b/>
          <w:sz w:val="24"/>
          <w:szCs w:val="24"/>
          <w:lang w:val="ru-RU"/>
        </w:rPr>
      </w:pPr>
      <w:r w:rsidRPr="00FC64FB">
        <w:rPr>
          <w:rFonts w:ascii="Times New Roman" w:eastAsia="Times New Roman" w:hAnsi="Times New Roman" w:cs="Times New Roman"/>
          <w:snapToGrid w:val="0"/>
          <w:sz w:val="24"/>
          <w:szCs w:val="24"/>
          <w:lang w:val="ru-RU" w:eastAsia="de-DE"/>
        </w:rPr>
        <w:t xml:space="preserve">Оскільки ПРАДАКСА може підвищити </w:t>
      </w:r>
      <w:r w:rsidRPr="00FC64FB">
        <w:rPr>
          <w:rFonts w:ascii="Times New Roman" w:eastAsia="Times New Roman" w:hAnsi="Times New Roman" w:cs="Times New Roman"/>
          <w:color w:val="000000"/>
          <w:sz w:val="24"/>
          <w:szCs w:val="24"/>
          <w:lang w:val="ru-RU" w:eastAsia="de-DE"/>
        </w:rPr>
        <w:t>міжнародне нормалізоване відношення (МНВ), то МНВ буде краще відображати ефект АВК лише через 2 дні після припинення застосування ПРАДАКСИ. До цього часу МНВ слід розглядати з обережністю.</w:t>
      </w:r>
    </w:p>
    <w:p w:rsidR="008F542D" w:rsidRDefault="008F542D" w:rsidP="008F11E8">
      <w:pPr>
        <w:spacing w:after="0"/>
        <w:rPr>
          <w:rFonts w:ascii="Times New Roman" w:hAnsi="Times New Roman" w:cs="Times New Roman"/>
          <w:b/>
          <w:sz w:val="24"/>
          <w:szCs w:val="24"/>
          <w:lang w:val="uk-UA"/>
        </w:rPr>
      </w:pPr>
    </w:p>
    <w:p w:rsidR="005A1DC3" w:rsidRPr="005A1DC3" w:rsidRDefault="005A1DC3" w:rsidP="005A1DC3">
      <w:pPr>
        <w:tabs>
          <w:tab w:val="left" w:pos="284"/>
          <w:tab w:val="left" w:pos="7920"/>
        </w:tabs>
        <w:spacing w:after="0"/>
        <w:rPr>
          <w:rFonts w:ascii="Times New Roman" w:eastAsia="Times New Roman" w:hAnsi="Times New Roman" w:cs="Times New Roman"/>
          <w:i/>
          <w:sz w:val="24"/>
          <w:szCs w:val="24"/>
          <w:lang w:val="ru-RU" w:eastAsia="de-DE"/>
        </w:rPr>
      </w:pPr>
      <w:r w:rsidRPr="005A1DC3">
        <w:rPr>
          <w:rFonts w:ascii="Times New Roman" w:eastAsia="Times New Roman" w:hAnsi="Times New Roman" w:cs="Times New Roman"/>
          <w:i/>
          <w:sz w:val="24"/>
          <w:szCs w:val="24"/>
          <w:lang w:val="ru-RU" w:eastAsia="de-DE"/>
        </w:rPr>
        <w:t>Перехід із застосування агоністів вітаміну К (АВК) на</w:t>
      </w:r>
      <w:r w:rsidRPr="00FC64FB">
        <w:rPr>
          <w:rFonts w:ascii="Times New Roman" w:eastAsia="Times New Roman" w:hAnsi="Times New Roman" w:cs="Times New Roman"/>
          <w:i/>
          <w:sz w:val="24"/>
          <w:szCs w:val="24"/>
          <w:lang w:val="ru-RU" w:eastAsia="de-DE"/>
        </w:rPr>
        <w:t xml:space="preserve"> застосування ПРАДАКСИ</w:t>
      </w:r>
      <w:r w:rsidRPr="005A1DC3">
        <w:rPr>
          <w:rFonts w:ascii="Times New Roman" w:eastAsia="Times New Roman" w:hAnsi="Times New Roman" w:cs="Times New Roman"/>
          <w:i/>
          <w:sz w:val="24"/>
          <w:szCs w:val="24"/>
          <w:lang w:val="ru-RU" w:eastAsia="de-DE"/>
        </w:rPr>
        <w:t>.</w:t>
      </w:r>
    </w:p>
    <w:p w:rsidR="005A1DC3" w:rsidRPr="005A1DC3" w:rsidRDefault="005A1DC3" w:rsidP="005A1DC3">
      <w:pPr>
        <w:spacing w:after="0"/>
        <w:rPr>
          <w:rFonts w:ascii="Times New Roman" w:hAnsi="Times New Roman" w:cs="Times New Roman"/>
          <w:b/>
          <w:sz w:val="24"/>
          <w:szCs w:val="24"/>
          <w:lang w:val="ru-RU"/>
        </w:rPr>
      </w:pPr>
      <w:r w:rsidRPr="00FC64FB">
        <w:rPr>
          <w:rFonts w:ascii="Times New Roman" w:eastAsia="Times New Roman" w:hAnsi="Times New Roman" w:cs="Times New Roman"/>
          <w:snapToGrid w:val="0"/>
          <w:sz w:val="24"/>
          <w:szCs w:val="24"/>
          <w:lang w:val="ru-RU" w:eastAsia="de-DE"/>
        </w:rPr>
        <w:t xml:space="preserve">Застосування антагоністів вітаміну К слід припинити. Дабігатрану етексилат можна застосовувати, як тільки </w:t>
      </w:r>
      <w:r w:rsidRPr="00FC64FB">
        <w:rPr>
          <w:rFonts w:ascii="Times New Roman" w:eastAsia="Times New Roman" w:hAnsi="Times New Roman" w:cs="Times New Roman"/>
          <w:color w:val="000000"/>
          <w:sz w:val="24"/>
          <w:szCs w:val="24"/>
          <w:lang w:val="ru-RU" w:eastAsia="de-DE"/>
        </w:rPr>
        <w:t>міжнародне нормалізоване відношення (МНВ)</w:t>
      </w:r>
      <w:r w:rsidRPr="00FC64FB">
        <w:rPr>
          <w:rFonts w:ascii="Times New Roman" w:eastAsia="Times New Roman" w:hAnsi="Times New Roman" w:cs="Times New Roman"/>
          <w:snapToGrid w:val="0"/>
          <w:sz w:val="24"/>
          <w:szCs w:val="24"/>
          <w:lang w:val="ru-RU" w:eastAsia="de-DE"/>
        </w:rPr>
        <w:t xml:space="preserve"> становить &lt; 2</w:t>
      </w:r>
      <w:r w:rsidRPr="005A1DC3">
        <w:rPr>
          <w:rFonts w:ascii="Times New Roman" w:eastAsia="Times New Roman" w:hAnsi="Times New Roman" w:cs="Times New Roman"/>
          <w:snapToGrid w:val="0"/>
          <w:sz w:val="24"/>
          <w:szCs w:val="24"/>
          <w:lang w:val="ru-RU" w:eastAsia="de-DE"/>
        </w:rPr>
        <w:t>.</w:t>
      </w:r>
    </w:p>
    <w:p w:rsidR="009F1BC9" w:rsidRDefault="009F1BC9">
      <w:pPr>
        <w:spacing w:line="276" w:lineRule="auto"/>
        <w:rPr>
          <w:rFonts w:ascii="Times New Roman" w:hAnsi="Times New Roman" w:cs="Times New Roman"/>
          <w:sz w:val="24"/>
          <w:szCs w:val="24"/>
          <w:lang w:val="uk-UA"/>
        </w:rPr>
      </w:pPr>
    </w:p>
    <w:p w:rsidR="00481B98" w:rsidRPr="00481B98" w:rsidRDefault="00481B98" w:rsidP="00481B98">
      <w:pPr>
        <w:tabs>
          <w:tab w:val="left" w:pos="284"/>
          <w:tab w:val="left" w:pos="7920"/>
        </w:tabs>
        <w:spacing w:after="0"/>
        <w:rPr>
          <w:rFonts w:ascii="Times New Roman" w:eastAsia="Times New Roman" w:hAnsi="Times New Roman" w:cs="Times New Roman"/>
          <w:i/>
          <w:snapToGrid w:val="0"/>
          <w:sz w:val="24"/>
          <w:szCs w:val="24"/>
          <w:lang w:val="uk-UA" w:eastAsia="de-DE"/>
        </w:rPr>
      </w:pPr>
      <w:r w:rsidRPr="00481B98">
        <w:rPr>
          <w:rFonts w:ascii="Times New Roman" w:hAnsi="Times New Roman" w:cs="Times New Roman"/>
          <w:b/>
          <w:sz w:val="24"/>
          <w:szCs w:val="24"/>
          <w:lang w:val="uk-UA"/>
        </w:rPr>
        <w:t xml:space="preserve">Кардіоверсія </w:t>
      </w:r>
      <w:r w:rsidRPr="00481B98">
        <w:rPr>
          <w:rFonts w:ascii="Times New Roman" w:eastAsia="Times New Roman" w:hAnsi="Times New Roman" w:cs="Times New Roman"/>
          <w:i/>
          <w:sz w:val="24"/>
          <w:szCs w:val="24"/>
          <w:lang w:val="uk-UA" w:eastAsia="de-DE"/>
        </w:rPr>
        <w:t>(запобігання ІНФП, ТГВ/ЛЕ)</w:t>
      </w:r>
      <w:r w:rsidRPr="00481B98">
        <w:rPr>
          <w:rFonts w:ascii="Times New Roman" w:eastAsia="Times New Roman" w:hAnsi="Times New Roman" w:cs="Times New Roman"/>
          <w:i/>
          <w:snapToGrid w:val="0"/>
          <w:sz w:val="24"/>
          <w:szCs w:val="24"/>
          <w:lang w:val="uk-UA" w:eastAsia="de-DE"/>
        </w:rPr>
        <w:t>.</w:t>
      </w:r>
    </w:p>
    <w:p w:rsidR="00481B98" w:rsidRPr="00481B98" w:rsidRDefault="00481B98" w:rsidP="00481B98">
      <w:pPr>
        <w:spacing w:after="0"/>
        <w:rPr>
          <w:rFonts w:ascii="Times New Roman" w:hAnsi="Times New Roman" w:cs="Times New Roman"/>
          <w:b/>
          <w:sz w:val="24"/>
          <w:szCs w:val="24"/>
          <w:lang w:val="ru-RU"/>
        </w:rPr>
      </w:pPr>
      <w:r w:rsidRPr="00481B98">
        <w:rPr>
          <w:rFonts w:ascii="Times New Roman" w:eastAsia="Times New Roman" w:hAnsi="Times New Roman" w:cs="Times New Roman"/>
          <w:snapToGrid w:val="0"/>
          <w:sz w:val="24"/>
          <w:szCs w:val="24"/>
          <w:lang w:val="ru-RU" w:eastAsia="de-DE"/>
        </w:rPr>
        <w:t>Пацієнти можуть застосовувати дабігатрану етексилат при кардіоверсії.</w:t>
      </w:r>
    </w:p>
    <w:p w:rsidR="00481B98" w:rsidRPr="005A1DC3" w:rsidRDefault="00481B98" w:rsidP="008F11E8">
      <w:pPr>
        <w:spacing w:after="0"/>
        <w:rPr>
          <w:rFonts w:ascii="Times New Roman" w:hAnsi="Times New Roman" w:cs="Times New Roman"/>
          <w:b/>
          <w:sz w:val="24"/>
          <w:szCs w:val="24"/>
          <w:lang w:val="uk-UA"/>
        </w:rPr>
      </w:pPr>
    </w:p>
    <w:p w:rsidR="003113EE" w:rsidRPr="001646C8" w:rsidRDefault="00AB78E5" w:rsidP="0029557E">
      <w:pPr>
        <w:spacing w:line="276" w:lineRule="auto"/>
        <w:rPr>
          <w:b/>
          <w:lang w:val="uk-UA"/>
        </w:rPr>
      </w:pPr>
      <w:r w:rsidRPr="00AB78E5">
        <w:rPr>
          <w:rFonts w:ascii="Times New Roman" w:hAnsi="Times New Roman" w:cs="Times New Roman"/>
          <w:b/>
          <w:sz w:val="24"/>
          <w:szCs w:val="24"/>
          <w:lang w:val="uk-UA"/>
        </w:rPr>
        <w:t>Операції та втручання</w:t>
      </w:r>
    </w:p>
    <w:p w:rsidR="003113EE" w:rsidRDefault="00AB78E5" w:rsidP="008F11E8">
      <w:pPr>
        <w:spacing w:after="0"/>
        <w:rPr>
          <w:rFonts w:ascii="Times New Roman" w:eastAsia="Times New Roman" w:hAnsi="Times New Roman" w:cs="Times New Roman"/>
          <w:sz w:val="24"/>
          <w:szCs w:val="24"/>
          <w:lang w:val="ru-RU" w:eastAsia="fr-FR"/>
        </w:rPr>
      </w:pPr>
      <w:r w:rsidRPr="001646C8">
        <w:rPr>
          <w:rFonts w:ascii="Times New Roman" w:eastAsia="Times New Roman" w:hAnsi="Times New Roman" w:cs="Times New Roman"/>
          <w:sz w:val="24"/>
          <w:szCs w:val="24"/>
          <w:lang w:val="uk-UA" w:eastAsia="fr-FR"/>
        </w:rPr>
        <w:lastRenderedPageBreak/>
        <w:t>Пацієнти, які застосовують дабігатрану етексилат та</w:t>
      </w:r>
      <w:r w:rsidR="00E4185D">
        <w:rPr>
          <w:rFonts w:ascii="Times New Roman" w:eastAsia="Times New Roman" w:hAnsi="Times New Roman" w:cs="Times New Roman"/>
          <w:sz w:val="24"/>
          <w:szCs w:val="24"/>
          <w:lang w:val="uk-UA" w:eastAsia="fr-FR"/>
        </w:rPr>
        <w:t>, яким необхідні</w:t>
      </w:r>
      <w:r w:rsidRPr="001646C8">
        <w:rPr>
          <w:rFonts w:ascii="Times New Roman" w:eastAsia="Times New Roman" w:hAnsi="Times New Roman" w:cs="Times New Roman"/>
          <w:sz w:val="24"/>
          <w:szCs w:val="24"/>
          <w:lang w:val="uk-UA" w:eastAsia="fr-FR"/>
        </w:rPr>
        <w:t xml:space="preserve"> хірургічні або інвазивні процедури, мають підвищений ризик кровотечі. </w:t>
      </w:r>
      <w:r w:rsidRPr="00AB78E5">
        <w:rPr>
          <w:rFonts w:ascii="Times New Roman" w:eastAsia="Times New Roman" w:hAnsi="Times New Roman" w:cs="Times New Roman"/>
          <w:sz w:val="24"/>
          <w:szCs w:val="24"/>
          <w:lang w:val="ru-RU" w:eastAsia="fr-FR"/>
        </w:rPr>
        <w:t>Тому хірургічне втручання може потребувати тимчасового припинення застосування дабігатрану етексилату.</w:t>
      </w:r>
    </w:p>
    <w:p w:rsidR="00AB78E5" w:rsidRDefault="00AB78E5" w:rsidP="008F11E8">
      <w:pPr>
        <w:spacing w:after="0"/>
        <w:rPr>
          <w:rFonts w:ascii="Times New Roman" w:eastAsia="Times New Roman" w:hAnsi="Times New Roman" w:cs="Times New Roman"/>
          <w:sz w:val="24"/>
          <w:szCs w:val="24"/>
          <w:lang w:val="ru-RU" w:eastAsia="fr-FR"/>
        </w:rPr>
      </w:pPr>
    </w:p>
    <w:p w:rsidR="00AB78E5" w:rsidRDefault="00AB78E5" w:rsidP="008F11E8">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Кліренс дабігатрану у пацієнтів з нирковою недостатністю може тривати довше</w:t>
      </w:r>
      <w:r>
        <w:rPr>
          <w:rFonts w:ascii="Times New Roman" w:eastAsia="Times New Roman" w:hAnsi="Times New Roman" w:cs="Times New Roman"/>
          <w:sz w:val="24"/>
          <w:szCs w:val="24"/>
          <w:lang w:val="ru-RU" w:eastAsia="fr-FR"/>
        </w:rPr>
        <w:t>. Це має бути прийняте до уваги до початку будь-який процедур.</w:t>
      </w:r>
    </w:p>
    <w:p w:rsidR="00AB78E5" w:rsidRPr="00A1665B" w:rsidRDefault="00AB78E5" w:rsidP="008F11E8">
      <w:pPr>
        <w:spacing w:after="0"/>
        <w:rPr>
          <w:rFonts w:ascii="Times New Roman" w:eastAsia="Times New Roman" w:hAnsi="Times New Roman" w:cs="Times New Roman"/>
          <w:color w:val="000000" w:themeColor="text1"/>
          <w:sz w:val="24"/>
          <w:szCs w:val="24"/>
          <w:lang w:val="ru-RU" w:eastAsia="fr-FR"/>
        </w:rPr>
      </w:pPr>
    </w:p>
    <w:p w:rsidR="005078F0" w:rsidRPr="00A1665B" w:rsidRDefault="005078F0" w:rsidP="005078F0">
      <w:pPr>
        <w:autoSpaceDE w:val="0"/>
        <w:autoSpaceDN w:val="0"/>
        <w:adjustRightInd w:val="0"/>
        <w:spacing w:after="0"/>
        <w:rPr>
          <w:rFonts w:ascii="Calibri" w:hAnsi="Calibri" w:cs="Calibri"/>
          <w:i/>
          <w:iCs/>
          <w:color w:val="000000" w:themeColor="text1"/>
          <w:lang w:val="ru-RU"/>
        </w:rPr>
      </w:pPr>
      <w:r w:rsidRPr="00A1665B">
        <w:rPr>
          <w:rFonts w:ascii="Times New Roman" w:hAnsi="Times New Roman" w:cs="Times New Roman"/>
          <w:i/>
          <w:iCs/>
          <w:color w:val="000000" w:themeColor="text1"/>
          <w:sz w:val="24"/>
          <w:szCs w:val="24"/>
          <w:lang w:val="uk-UA"/>
        </w:rPr>
        <w:t>Невідкладна хірургія або ургентні процедури</w:t>
      </w:r>
      <w:r w:rsidRPr="00A1665B">
        <w:rPr>
          <w:rFonts w:ascii="Calibri" w:hAnsi="Calibri" w:cs="Calibri"/>
          <w:i/>
          <w:iCs/>
          <w:color w:val="000000" w:themeColor="text1"/>
          <w:lang w:val="uk-UA"/>
        </w:rPr>
        <w:t xml:space="preserve"> </w:t>
      </w:r>
    </w:p>
    <w:p w:rsidR="005078F0" w:rsidRPr="00A1665B" w:rsidRDefault="005078F0" w:rsidP="005078F0">
      <w:pPr>
        <w:autoSpaceDE w:val="0"/>
        <w:autoSpaceDN w:val="0"/>
        <w:adjustRightInd w:val="0"/>
        <w:spacing w:after="0"/>
        <w:rPr>
          <w:rFonts w:ascii="Calibri" w:hAnsi="Calibri" w:cs="Calibri"/>
          <w:color w:val="000000" w:themeColor="text1"/>
          <w:lang w:val="ru-RU"/>
        </w:rPr>
      </w:pPr>
    </w:p>
    <w:p w:rsidR="005078F0" w:rsidRPr="00A1665B" w:rsidRDefault="005078F0" w:rsidP="005078F0">
      <w:pPr>
        <w:autoSpaceDE w:val="0"/>
        <w:autoSpaceDN w:val="0"/>
        <w:adjustRightInd w:val="0"/>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 xml:space="preserve">Препарат </w:t>
      </w:r>
      <w:r w:rsidR="003850EA" w:rsidRPr="00A1665B">
        <w:rPr>
          <w:rFonts w:ascii="Times New Roman" w:hAnsi="Times New Roman" w:cs="Times New Roman"/>
          <w:color w:val="000000" w:themeColor="text1"/>
          <w:sz w:val="24"/>
          <w:szCs w:val="24"/>
          <w:lang w:val="uk-UA"/>
        </w:rPr>
        <w:t>ПРАДАКСА потрібно тимчасово відмінити</w:t>
      </w:r>
      <w:r w:rsidR="00A146EE" w:rsidRPr="00A1665B">
        <w:rPr>
          <w:rFonts w:ascii="Times New Roman" w:hAnsi="Times New Roman" w:cs="Times New Roman"/>
          <w:color w:val="000000" w:themeColor="text1"/>
          <w:sz w:val="24"/>
          <w:szCs w:val="24"/>
          <w:lang w:val="uk-UA"/>
        </w:rPr>
        <w:t>.</w:t>
      </w:r>
      <w:r w:rsidR="003850EA" w:rsidRPr="00A1665B">
        <w:rPr>
          <w:rFonts w:ascii="Times New Roman" w:hAnsi="Times New Roman" w:cs="Times New Roman"/>
          <w:color w:val="000000" w:themeColor="text1"/>
          <w:sz w:val="24"/>
          <w:szCs w:val="24"/>
          <w:lang w:val="uk-UA"/>
        </w:rPr>
        <w:t xml:space="preserve"> </w:t>
      </w:r>
      <w:r w:rsidR="00A146EE" w:rsidRPr="00A1665B">
        <w:rPr>
          <w:rFonts w:ascii="Times New Roman" w:hAnsi="Times New Roman" w:cs="Times New Roman"/>
          <w:color w:val="000000" w:themeColor="text1"/>
          <w:sz w:val="24"/>
          <w:szCs w:val="24"/>
          <w:lang w:val="uk-UA"/>
        </w:rPr>
        <w:t>У випадках коли необхідно швидке зниження антикоагулянтної дії дабігатрану</w:t>
      </w:r>
      <w:r w:rsidR="007618C9" w:rsidRPr="00A1665B">
        <w:rPr>
          <w:rFonts w:ascii="Times New Roman" w:hAnsi="Times New Roman" w:cs="Times New Roman"/>
          <w:color w:val="000000" w:themeColor="text1"/>
          <w:sz w:val="24"/>
          <w:szCs w:val="24"/>
          <w:lang w:val="uk-UA"/>
        </w:rPr>
        <w:t>, існує специфічний</w:t>
      </w:r>
      <w:r w:rsidR="00A146EE" w:rsidRPr="00A1665B">
        <w:rPr>
          <w:rFonts w:ascii="Times New Roman" w:hAnsi="Times New Roman" w:cs="Times New Roman"/>
          <w:color w:val="000000" w:themeColor="text1"/>
          <w:sz w:val="24"/>
          <w:szCs w:val="24"/>
          <w:lang w:val="uk-UA"/>
        </w:rPr>
        <w:t xml:space="preserve"> </w:t>
      </w:r>
      <w:r w:rsidR="007618C9" w:rsidRPr="00A1665B">
        <w:rPr>
          <w:rFonts w:ascii="Times New Roman" w:hAnsi="Times New Roman" w:cs="Times New Roman"/>
          <w:color w:val="000000" w:themeColor="text1"/>
          <w:sz w:val="24"/>
          <w:szCs w:val="24"/>
          <w:lang w:val="uk-UA"/>
        </w:rPr>
        <w:t xml:space="preserve">препарат зворотної дії </w:t>
      </w:r>
      <w:r w:rsidR="007618C9" w:rsidRPr="00A1665B">
        <w:rPr>
          <w:rFonts w:ascii="Times New Roman" w:eastAsia="Times New Roman" w:hAnsi="Times New Roman" w:cs="Times New Roman"/>
          <w:color w:val="000000" w:themeColor="text1"/>
          <w:sz w:val="24"/>
          <w:szCs w:val="24"/>
          <w:lang w:val="uk-UA" w:eastAsia="fr-FR"/>
        </w:rPr>
        <w:t>(</w:t>
      </w:r>
      <w:r w:rsidR="005A1433" w:rsidRPr="00A1665B">
        <w:rPr>
          <w:rFonts w:ascii="Times New Roman" w:eastAsia="Times New Roman" w:hAnsi="Times New Roman" w:cs="Times New Roman"/>
          <w:color w:val="000000" w:themeColor="text1"/>
          <w:sz w:val="24"/>
          <w:szCs w:val="24"/>
          <w:lang w:val="uk-UA" w:eastAsia="fr-FR"/>
        </w:rPr>
        <w:t>ПРАКСБАЙНД</w:t>
      </w:r>
      <w:r w:rsidR="007618C9" w:rsidRPr="00A1665B">
        <w:rPr>
          <w:rFonts w:ascii="Times New Roman" w:eastAsia="Times New Roman" w:hAnsi="Times New Roman" w:cs="Times New Roman"/>
          <w:color w:val="000000" w:themeColor="text1"/>
          <w:sz w:val="24"/>
          <w:szCs w:val="24"/>
          <w:lang w:val="uk-UA" w:eastAsia="fr-FR"/>
        </w:rPr>
        <w:t>, ідаруц</w:t>
      </w:r>
      <w:r w:rsidR="005A1433" w:rsidRPr="00A1665B">
        <w:rPr>
          <w:rFonts w:ascii="Times New Roman" w:eastAsia="Times New Roman" w:hAnsi="Times New Roman" w:cs="Times New Roman"/>
          <w:color w:val="000000" w:themeColor="text1"/>
          <w:sz w:val="24"/>
          <w:szCs w:val="24"/>
          <w:lang w:val="uk-UA" w:eastAsia="fr-FR"/>
        </w:rPr>
        <w:t>и</w:t>
      </w:r>
      <w:r w:rsidR="007618C9" w:rsidRPr="00A1665B">
        <w:rPr>
          <w:rFonts w:ascii="Times New Roman" w:eastAsia="Times New Roman" w:hAnsi="Times New Roman" w:cs="Times New Roman"/>
          <w:color w:val="000000" w:themeColor="text1"/>
          <w:sz w:val="24"/>
          <w:szCs w:val="24"/>
          <w:lang w:val="uk-UA" w:eastAsia="fr-FR"/>
        </w:rPr>
        <w:t>зумаб)</w:t>
      </w:r>
      <w:r w:rsidR="007618C9" w:rsidRPr="00A1665B">
        <w:rPr>
          <w:rFonts w:ascii="Times New Roman" w:hAnsi="Times New Roman" w:cs="Times New Roman"/>
          <w:color w:val="000000" w:themeColor="text1"/>
          <w:sz w:val="24"/>
          <w:szCs w:val="24"/>
          <w:lang w:val="uk-UA"/>
        </w:rPr>
        <w:t xml:space="preserve"> до ПРАДАКСА. </w:t>
      </w:r>
    </w:p>
    <w:p w:rsidR="00ED21FE" w:rsidRPr="00A1665B" w:rsidRDefault="00ED21FE" w:rsidP="005078F0">
      <w:pPr>
        <w:autoSpaceDE w:val="0"/>
        <w:autoSpaceDN w:val="0"/>
        <w:adjustRightInd w:val="0"/>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 xml:space="preserve">Відміна дії дабігатрану спостерігається у пацієнтів з ризиками тромбозу, внаслідок їх основного захворювання. Лікування </w:t>
      </w:r>
      <w:r w:rsidR="005A1433" w:rsidRPr="00A1665B">
        <w:rPr>
          <w:rFonts w:ascii="Times New Roman" w:hAnsi="Times New Roman" w:cs="Times New Roman"/>
          <w:color w:val="000000" w:themeColor="text1"/>
          <w:sz w:val="24"/>
          <w:szCs w:val="24"/>
          <w:lang w:val="uk-UA"/>
        </w:rPr>
        <w:t>ПРАДАКСОЮ</w:t>
      </w:r>
      <w:r w:rsidRPr="00A1665B">
        <w:rPr>
          <w:rFonts w:ascii="Times New Roman" w:hAnsi="Times New Roman" w:cs="Times New Roman"/>
          <w:color w:val="000000" w:themeColor="text1"/>
          <w:sz w:val="24"/>
          <w:szCs w:val="24"/>
          <w:lang w:val="uk-UA"/>
        </w:rPr>
        <w:t>, може бути відновле</w:t>
      </w:r>
      <w:r w:rsidR="000465E1" w:rsidRPr="00A1665B">
        <w:rPr>
          <w:rFonts w:ascii="Times New Roman" w:hAnsi="Times New Roman" w:cs="Times New Roman"/>
          <w:color w:val="000000" w:themeColor="text1"/>
          <w:sz w:val="24"/>
          <w:szCs w:val="24"/>
          <w:lang w:val="uk-UA"/>
        </w:rPr>
        <w:t xml:space="preserve">но через 24 години після прийому </w:t>
      </w:r>
      <w:r w:rsidR="005A1433" w:rsidRPr="00A1665B">
        <w:rPr>
          <w:rFonts w:ascii="Times New Roman" w:eastAsia="Times New Roman" w:hAnsi="Times New Roman" w:cs="Times New Roman"/>
          <w:color w:val="000000" w:themeColor="text1"/>
          <w:sz w:val="24"/>
          <w:szCs w:val="24"/>
          <w:lang w:val="uk-UA" w:eastAsia="fr-FR"/>
        </w:rPr>
        <w:t>ПРАКСБАЙНД</w:t>
      </w:r>
      <w:r w:rsidR="000465E1" w:rsidRPr="00A1665B">
        <w:rPr>
          <w:rFonts w:ascii="Times New Roman" w:eastAsia="Times New Roman" w:hAnsi="Times New Roman" w:cs="Times New Roman"/>
          <w:color w:val="000000" w:themeColor="text1"/>
          <w:sz w:val="24"/>
          <w:szCs w:val="24"/>
          <w:lang w:val="uk-UA" w:eastAsia="fr-FR"/>
        </w:rPr>
        <w:t xml:space="preserve"> (ідаруц</w:t>
      </w:r>
      <w:r w:rsidR="005A1433" w:rsidRPr="00A1665B">
        <w:rPr>
          <w:rFonts w:ascii="Times New Roman" w:eastAsia="Times New Roman" w:hAnsi="Times New Roman" w:cs="Times New Roman"/>
          <w:color w:val="000000" w:themeColor="text1"/>
          <w:sz w:val="24"/>
          <w:szCs w:val="24"/>
          <w:lang w:val="uk-UA" w:eastAsia="fr-FR"/>
        </w:rPr>
        <w:t>и</w:t>
      </w:r>
      <w:r w:rsidR="000465E1" w:rsidRPr="00A1665B">
        <w:rPr>
          <w:rFonts w:ascii="Times New Roman" w:eastAsia="Times New Roman" w:hAnsi="Times New Roman" w:cs="Times New Roman"/>
          <w:color w:val="000000" w:themeColor="text1"/>
          <w:sz w:val="24"/>
          <w:szCs w:val="24"/>
          <w:lang w:val="uk-UA" w:eastAsia="fr-FR"/>
        </w:rPr>
        <w:t>зумаб), якщо стан пацієнта клінічно стабільний, та було досягнуто адекватного гемостазу.</w:t>
      </w:r>
    </w:p>
    <w:p w:rsidR="00ED21FE" w:rsidRPr="00A1665B" w:rsidRDefault="00ED21FE" w:rsidP="005078F0">
      <w:pPr>
        <w:autoSpaceDE w:val="0"/>
        <w:autoSpaceDN w:val="0"/>
        <w:adjustRightInd w:val="0"/>
        <w:spacing w:after="0"/>
        <w:rPr>
          <w:rFonts w:ascii="Times New Roman" w:hAnsi="Times New Roman" w:cs="Times New Roman"/>
          <w:color w:val="000000" w:themeColor="text1"/>
          <w:sz w:val="24"/>
          <w:szCs w:val="24"/>
          <w:lang w:val="uk-UA"/>
        </w:rPr>
      </w:pPr>
    </w:p>
    <w:p w:rsidR="00ED21FE" w:rsidRPr="00A1665B" w:rsidRDefault="00ED21FE" w:rsidP="005078F0">
      <w:pPr>
        <w:autoSpaceDE w:val="0"/>
        <w:autoSpaceDN w:val="0"/>
        <w:adjustRightInd w:val="0"/>
        <w:spacing w:after="0"/>
        <w:rPr>
          <w:rFonts w:ascii="Calibri" w:hAnsi="Calibri" w:cs="Calibri"/>
          <w:i/>
          <w:iCs/>
          <w:color w:val="000000" w:themeColor="text1"/>
          <w:lang w:val="uk-UA"/>
        </w:rPr>
      </w:pPr>
    </w:p>
    <w:p w:rsidR="005078F0" w:rsidRPr="00A1665B" w:rsidRDefault="00D05BA9" w:rsidP="005078F0">
      <w:pPr>
        <w:autoSpaceDE w:val="0"/>
        <w:autoSpaceDN w:val="0"/>
        <w:adjustRightInd w:val="0"/>
        <w:spacing w:after="0"/>
        <w:rPr>
          <w:rFonts w:ascii="Times New Roman" w:hAnsi="Times New Roman" w:cs="Times New Roman"/>
          <w:i/>
          <w:iCs/>
          <w:color w:val="000000" w:themeColor="text1"/>
          <w:sz w:val="24"/>
          <w:szCs w:val="24"/>
          <w:lang w:val="uk-UA"/>
        </w:rPr>
      </w:pPr>
      <w:r w:rsidRPr="00A1665B">
        <w:rPr>
          <w:rFonts w:ascii="Times New Roman" w:hAnsi="Times New Roman" w:cs="Times New Roman"/>
          <w:i/>
          <w:iCs/>
          <w:color w:val="000000" w:themeColor="text1"/>
          <w:sz w:val="24"/>
          <w:szCs w:val="24"/>
          <w:lang w:val="uk-UA"/>
        </w:rPr>
        <w:t>Підгостра хірургія/оперативні втручання</w:t>
      </w:r>
      <w:r w:rsidR="005078F0" w:rsidRPr="00A1665B">
        <w:rPr>
          <w:rFonts w:ascii="Times New Roman" w:hAnsi="Times New Roman" w:cs="Times New Roman"/>
          <w:i/>
          <w:iCs/>
          <w:color w:val="000000" w:themeColor="text1"/>
          <w:sz w:val="24"/>
          <w:szCs w:val="24"/>
          <w:lang w:val="uk-UA"/>
        </w:rPr>
        <w:t xml:space="preserve"> </w:t>
      </w:r>
    </w:p>
    <w:p w:rsidR="00860A7F" w:rsidRPr="00A1665B" w:rsidRDefault="00860A7F" w:rsidP="005078F0">
      <w:pPr>
        <w:autoSpaceDE w:val="0"/>
        <w:autoSpaceDN w:val="0"/>
        <w:adjustRightInd w:val="0"/>
        <w:spacing w:after="0"/>
        <w:rPr>
          <w:rFonts w:ascii="Times New Roman" w:hAnsi="Times New Roman" w:cs="Times New Roman"/>
          <w:i/>
          <w:iCs/>
          <w:color w:val="000000" w:themeColor="text1"/>
          <w:sz w:val="24"/>
          <w:szCs w:val="24"/>
          <w:lang w:val="uk-UA"/>
        </w:rPr>
      </w:pPr>
    </w:p>
    <w:p w:rsidR="005078F0" w:rsidRPr="00A1665B" w:rsidRDefault="00D05BA9" w:rsidP="005078F0">
      <w:pPr>
        <w:autoSpaceDE w:val="0"/>
        <w:autoSpaceDN w:val="0"/>
        <w:adjustRightInd w:val="0"/>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Препарат ПРАДАКСА потрібно тимчасово відмінити.</w:t>
      </w:r>
      <w:r w:rsidR="005078F0" w:rsidRPr="00A1665B">
        <w:rPr>
          <w:rFonts w:ascii="Times New Roman" w:hAnsi="Times New Roman" w:cs="Times New Roman"/>
          <w:color w:val="000000" w:themeColor="text1"/>
          <w:sz w:val="24"/>
          <w:szCs w:val="24"/>
          <w:lang w:val="uk-UA"/>
        </w:rPr>
        <w:t xml:space="preserve"> </w:t>
      </w:r>
      <w:r w:rsidRPr="00A1665B">
        <w:rPr>
          <w:rFonts w:ascii="Times New Roman" w:hAnsi="Times New Roman" w:cs="Times New Roman"/>
          <w:color w:val="000000" w:themeColor="text1"/>
          <w:sz w:val="24"/>
          <w:szCs w:val="24"/>
          <w:lang w:val="uk-UA"/>
        </w:rPr>
        <w:t xml:space="preserve">Хірургічні втручання необхідно відкласти, по можливості на 12 годин після прийому останньої дози.  Якщо операцію неможливо перенести можливе збільшення ризику кровотечі. Потрібно </w:t>
      </w:r>
      <w:r w:rsidR="00860A7F" w:rsidRPr="00A1665B">
        <w:rPr>
          <w:rFonts w:ascii="Times New Roman" w:hAnsi="Times New Roman" w:cs="Times New Roman"/>
          <w:color w:val="000000" w:themeColor="text1"/>
          <w:sz w:val="24"/>
          <w:szCs w:val="24"/>
          <w:lang w:val="uk-UA"/>
        </w:rPr>
        <w:t>провести аналіз співвідношення</w:t>
      </w:r>
      <w:r w:rsidRPr="00A1665B">
        <w:rPr>
          <w:rFonts w:ascii="Times New Roman" w:hAnsi="Times New Roman" w:cs="Times New Roman"/>
          <w:color w:val="000000" w:themeColor="text1"/>
          <w:sz w:val="24"/>
          <w:szCs w:val="24"/>
          <w:lang w:val="uk-UA"/>
        </w:rPr>
        <w:t xml:space="preserve"> ризиків кровотечі та невідкладності </w:t>
      </w:r>
      <w:r w:rsidR="00860A7F" w:rsidRPr="00A1665B">
        <w:rPr>
          <w:rFonts w:ascii="Times New Roman" w:hAnsi="Times New Roman" w:cs="Times New Roman"/>
          <w:color w:val="000000" w:themeColor="text1"/>
          <w:sz w:val="24"/>
          <w:szCs w:val="24"/>
          <w:lang w:val="uk-UA"/>
        </w:rPr>
        <w:t>операції.</w:t>
      </w:r>
      <w:r w:rsidRPr="00A1665B">
        <w:rPr>
          <w:rFonts w:ascii="Times New Roman" w:hAnsi="Times New Roman" w:cs="Times New Roman"/>
          <w:color w:val="000000" w:themeColor="text1"/>
          <w:sz w:val="24"/>
          <w:szCs w:val="24"/>
          <w:lang w:val="uk-UA"/>
        </w:rPr>
        <w:t xml:space="preserve"> </w:t>
      </w:r>
      <w:r w:rsidR="005078F0" w:rsidRPr="00A1665B">
        <w:rPr>
          <w:rFonts w:ascii="Times New Roman" w:hAnsi="Times New Roman" w:cs="Times New Roman"/>
          <w:color w:val="000000" w:themeColor="text1"/>
          <w:sz w:val="24"/>
          <w:szCs w:val="24"/>
          <w:lang w:val="uk-UA"/>
        </w:rPr>
        <w:t>(</w:t>
      </w:r>
      <w:r w:rsidR="00860A7F" w:rsidRPr="00A1665B">
        <w:rPr>
          <w:rFonts w:ascii="Times New Roman" w:hAnsi="Times New Roman" w:cs="Times New Roman"/>
          <w:color w:val="000000" w:themeColor="text1"/>
          <w:sz w:val="24"/>
          <w:szCs w:val="24"/>
          <w:lang w:val="uk-UA"/>
        </w:rPr>
        <w:t>для кардіоверсії див нижче</w:t>
      </w:r>
      <w:r w:rsidR="005A1433" w:rsidRPr="00A1665B">
        <w:rPr>
          <w:rFonts w:ascii="Times New Roman" w:hAnsi="Times New Roman" w:cs="Times New Roman"/>
          <w:color w:val="000000" w:themeColor="text1"/>
          <w:sz w:val="24"/>
          <w:szCs w:val="24"/>
          <w:lang w:val="uk-UA"/>
        </w:rPr>
        <w:t>).</w:t>
      </w:r>
    </w:p>
    <w:p w:rsidR="00860A7F" w:rsidRPr="00A1665B" w:rsidRDefault="00860A7F" w:rsidP="005078F0">
      <w:pPr>
        <w:autoSpaceDE w:val="0"/>
        <w:autoSpaceDN w:val="0"/>
        <w:adjustRightInd w:val="0"/>
        <w:spacing w:after="0"/>
        <w:rPr>
          <w:rFonts w:ascii="Times New Roman" w:hAnsi="Times New Roman" w:cs="Times New Roman"/>
          <w:color w:val="000000" w:themeColor="text1"/>
          <w:sz w:val="24"/>
          <w:szCs w:val="24"/>
          <w:lang w:val="uk-UA"/>
        </w:rPr>
      </w:pPr>
    </w:p>
    <w:p w:rsidR="005078F0" w:rsidRPr="00A1665B" w:rsidRDefault="00D4481E" w:rsidP="005078F0">
      <w:pPr>
        <w:autoSpaceDE w:val="0"/>
        <w:autoSpaceDN w:val="0"/>
        <w:adjustRightInd w:val="0"/>
        <w:spacing w:after="0"/>
        <w:rPr>
          <w:rFonts w:ascii="Times New Roman" w:hAnsi="Times New Roman" w:cs="Times New Roman"/>
          <w:i/>
          <w:iCs/>
          <w:color w:val="000000" w:themeColor="text1"/>
          <w:sz w:val="24"/>
          <w:szCs w:val="24"/>
          <w:lang w:val="uk-UA"/>
        </w:rPr>
      </w:pPr>
      <w:r w:rsidRPr="00A1665B">
        <w:rPr>
          <w:rFonts w:ascii="Times New Roman" w:hAnsi="Times New Roman" w:cs="Times New Roman"/>
          <w:i/>
          <w:iCs/>
          <w:color w:val="000000" w:themeColor="text1"/>
          <w:sz w:val="24"/>
          <w:szCs w:val="24"/>
          <w:lang w:val="uk-UA"/>
        </w:rPr>
        <w:t xml:space="preserve">Планова хірургія </w:t>
      </w:r>
    </w:p>
    <w:p w:rsidR="00D05BA9" w:rsidRPr="00A1665B" w:rsidRDefault="00D05BA9" w:rsidP="005078F0">
      <w:pPr>
        <w:autoSpaceDE w:val="0"/>
        <w:autoSpaceDN w:val="0"/>
        <w:adjustRightInd w:val="0"/>
        <w:spacing w:after="0"/>
        <w:rPr>
          <w:rFonts w:ascii="Calibri" w:hAnsi="Calibri" w:cs="Calibri"/>
          <w:color w:val="000000" w:themeColor="text1"/>
          <w:lang w:val="uk-UA"/>
        </w:rPr>
      </w:pPr>
    </w:p>
    <w:p w:rsidR="005078F0" w:rsidRPr="00A1665B" w:rsidRDefault="00D4481E" w:rsidP="00B44B9D">
      <w:pPr>
        <w:autoSpaceDE w:val="0"/>
        <w:autoSpaceDN w:val="0"/>
        <w:adjustRightInd w:val="0"/>
        <w:spacing w:after="0"/>
        <w:rPr>
          <w:rFonts w:ascii="Times New Roman" w:hAnsi="Times New Roman" w:cs="Times New Roman"/>
          <w:color w:val="000000" w:themeColor="text1"/>
          <w:sz w:val="24"/>
          <w:szCs w:val="24"/>
          <w:lang w:val="uk-UA"/>
        </w:rPr>
      </w:pPr>
      <w:r w:rsidRPr="00A1665B">
        <w:rPr>
          <w:rFonts w:ascii="Times New Roman" w:hAnsi="Times New Roman" w:cs="Times New Roman"/>
          <w:color w:val="000000" w:themeColor="text1"/>
          <w:sz w:val="24"/>
          <w:szCs w:val="24"/>
          <w:lang w:val="uk-UA"/>
        </w:rPr>
        <w:t>Якщо можливо, препарат ПРАДАКСА</w:t>
      </w:r>
      <w:r w:rsidR="005078F0" w:rsidRPr="00A1665B">
        <w:rPr>
          <w:rFonts w:ascii="Times New Roman" w:hAnsi="Times New Roman" w:cs="Times New Roman"/>
          <w:color w:val="000000" w:themeColor="text1"/>
          <w:sz w:val="24"/>
          <w:szCs w:val="24"/>
          <w:lang w:val="uk-UA"/>
        </w:rPr>
        <w:t xml:space="preserve">, </w:t>
      </w:r>
      <w:r w:rsidRPr="00A1665B">
        <w:rPr>
          <w:rFonts w:ascii="Times New Roman" w:hAnsi="Times New Roman" w:cs="Times New Roman"/>
          <w:color w:val="000000" w:themeColor="text1"/>
          <w:sz w:val="24"/>
          <w:szCs w:val="24"/>
          <w:lang w:val="uk-UA"/>
        </w:rPr>
        <w:t xml:space="preserve">повинен бути відмінено, щонайменше за 24 години перед </w:t>
      </w:r>
      <w:r w:rsidR="00CB4940" w:rsidRPr="00A1665B">
        <w:rPr>
          <w:rFonts w:ascii="Times New Roman" w:hAnsi="Times New Roman" w:cs="Times New Roman"/>
          <w:color w:val="000000" w:themeColor="text1"/>
          <w:sz w:val="24"/>
          <w:szCs w:val="24"/>
          <w:lang w:val="uk-UA"/>
        </w:rPr>
        <w:t>інвазивними</w:t>
      </w:r>
      <w:r w:rsidRPr="00A1665B">
        <w:rPr>
          <w:rFonts w:ascii="Times New Roman" w:hAnsi="Times New Roman" w:cs="Times New Roman"/>
          <w:color w:val="000000" w:themeColor="text1"/>
          <w:sz w:val="24"/>
          <w:szCs w:val="24"/>
          <w:lang w:val="uk-UA"/>
        </w:rPr>
        <w:t xml:space="preserve"> </w:t>
      </w:r>
      <w:r w:rsidR="00CB4940" w:rsidRPr="00A1665B">
        <w:rPr>
          <w:rFonts w:ascii="Times New Roman" w:hAnsi="Times New Roman" w:cs="Times New Roman"/>
          <w:color w:val="000000" w:themeColor="text1"/>
          <w:sz w:val="24"/>
          <w:szCs w:val="24"/>
          <w:lang w:val="uk-UA"/>
        </w:rPr>
        <w:t>або хірургічними процедурами</w:t>
      </w:r>
      <w:r w:rsidR="005078F0" w:rsidRPr="00A1665B">
        <w:rPr>
          <w:rFonts w:ascii="Times New Roman" w:hAnsi="Times New Roman" w:cs="Times New Roman"/>
          <w:color w:val="000000" w:themeColor="text1"/>
          <w:sz w:val="24"/>
          <w:szCs w:val="24"/>
          <w:lang w:val="uk-UA"/>
        </w:rPr>
        <w:t xml:space="preserve">. </w:t>
      </w:r>
      <w:r w:rsidR="00EF1640" w:rsidRPr="00A1665B">
        <w:rPr>
          <w:rFonts w:ascii="Times New Roman" w:hAnsi="Times New Roman" w:cs="Times New Roman"/>
          <w:color w:val="000000" w:themeColor="text1"/>
          <w:sz w:val="24"/>
          <w:szCs w:val="24"/>
          <w:lang w:val="uk-UA"/>
        </w:rPr>
        <w:t xml:space="preserve">У пацієнтів з високим ризиком кровотечі або при масивних хірургічних втручаннях, коли може бути необхідним застосування гемостазу, приймається рішення про припинення застосування ПРАДАКСА за 2-4 дні перед операцією. </w:t>
      </w:r>
      <w:r w:rsidR="000E1BA1" w:rsidRPr="00A1665B">
        <w:rPr>
          <w:rFonts w:ascii="Times New Roman" w:hAnsi="Times New Roman" w:cs="Times New Roman"/>
          <w:color w:val="000000" w:themeColor="text1"/>
          <w:sz w:val="24"/>
          <w:szCs w:val="24"/>
          <w:lang w:val="uk-UA"/>
        </w:rPr>
        <w:t>Період виведення дабігатрану у пацієнтів з нирковою недостатністю може подовжуватися. Це потрібно враховувати перед проведенням будь-яких процедур</w:t>
      </w:r>
      <w:r w:rsidR="005078F0" w:rsidRPr="00A1665B">
        <w:rPr>
          <w:rFonts w:ascii="Times New Roman" w:hAnsi="Times New Roman" w:cs="Times New Roman"/>
          <w:color w:val="000000" w:themeColor="text1"/>
          <w:sz w:val="24"/>
          <w:szCs w:val="24"/>
          <w:lang w:val="uk-UA"/>
        </w:rPr>
        <w:t>.</w:t>
      </w:r>
    </w:p>
    <w:p w:rsidR="005078F0" w:rsidRPr="00D4481E" w:rsidRDefault="005078F0" w:rsidP="00AB78E5">
      <w:pPr>
        <w:spacing w:after="0"/>
        <w:rPr>
          <w:rFonts w:ascii="Times New Roman" w:hAnsi="Times New Roman" w:cs="Times New Roman"/>
          <w:color w:val="FF0000"/>
          <w:sz w:val="24"/>
          <w:szCs w:val="24"/>
          <w:lang w:val="uk-UA"/>
        </w:rPr>
      </w:pPr>
    </w:p>
    <w:p w:rsidR="00AB78E5" w:rsidRPr="00AB78E5" w:rsidRDefault="00AB78E5" w:rsidP="00AB78E5">
      <w:pPr>
        <w:spacing w:after="0"/>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Т</w:t>
      </w:r>
      <w:r w:rsidRPr="00AB78E5">
        <w:rPr>
          <w:rFonts w:ascii="Times New Roman" w:eastAsia="Times New Roman" w:hAnsi="Times New Roman" w:cs="Times New Roman"/>
          <w:sz w:val="24"/>
          <w:szCs w:val="24"/>
          <w:lang w:val="ru-RU" w:eastAsia="fr-FR"/>
        </w:rPr>
        <w:t>аблиц</w:t>
      </w:r>
      <w:r>
        <w:rPr>
          <w:rFonts w:ascii="Times New Roman" w:eastAsia="Times New Roman" w:hAnsi="Times New Roman" w:cs="Times New Roman"/>
          <w:sz w:val="24"/>
          <w:szCs w:val="24"/>
          <w:lang w:val="ru-RU" w:eastAsia="fr-FR"/>
        </w:rPr>
        <w:t>я</w:t>
      </w:r>
      <w:r w:rsidRPr="00AB78E5">
        <w:rPr>
          <w:rFonts w:ascii="Times New Roman" w:eastAsia="Times New Roman" w:hAnsi="Times New Roman" w:cs="Times New Roman"/>
          <w:sz w:val="24"/>
          <w:szCs w:val="24"/>
          <w:lang w:val="ru-RU" w:eastAsia="fr-FR"/>
        </w:rPr>
        <w:t xml:space="preserve"> </w:t>
      </w:r>
      <w:r>
        <w:rPr>
          <w:rFonts w:ascii="Times New Roman" w:eastAsia="Times New Roman" w:hAnsi="Times New Roman" w:cs="Times New Roman"/>
          <w:sz w:val="24"/>
          <w:szCs w:val="24"/>
          <w:lang w:val="ru-RU" w:eastAsia="fr-FR"/>
        </w:rPr>
        <w:t>2</w:t>
      </w:r>
      <w:r w:rsidRPr="00AB78E5">
        <w:rPr>
          <w:rFonts w:ascii="Times New Roman" w:eastAsia="Times New Roman" w:hAnsi="Times New Roman" w:cs="Times New Roman"/>
          <w:sz w:val="24"/>
          <w:szCs w:val="24"/>
          <w:lang w:val="ru-RU" w:eastAsia="fr-FR"/>
        </w:rPr>
        <w:t xml:space="preserve"> </w:t>
      </w:r>
      <w:r>
        <w:rPr>
          <w:rFonts w:ascii="Times New Roman" w:eastAsia="Times New Roman" w:hAnsi="Times New Roman" w:cs="Times New Roman"/>
          <w:sz w:val="24"/>
          <w:szCs w:val="24"/>
          <w:lang w:val="ru-RU" w:eastAsia="fr-FR"/>
        </w:rPr>
        <w:t>містить</w:t>
      </w:r>
      <w:r w:rsidRPr="00AB78E5">
        <w:rPr>
          <w:rFonts w:ascii="Times New Roman" w:eastAsia="Times New Roman" w:hAnsi="Times New Roman" w:cs="Times New Roman"/>
          <w:sz w:val="24"/>
          <w:szCs w:val="24"/>
          <w:lang w:val="ru-RU" w:eastAsia="fr-FR"/>
        </w:rPr>
        <w:t xml:space="preserve"> правила припинення лікування перед інвазивними або хірургічними процедурами.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975"/>
        <w:gridCol w:w="3166"/>
        <w:gridCol w:w="2665"/>
      </w:tblGrid>
      <w:tr w:rsidR="00AB78E5" w:rsidRPr="00A1665B" w:rsidTr="00AB78E5">
        <w:tc>
          <w:tcPr>
            <w:tcW w:w="1662" w:type="dxa"/>
            <w:vMerge w:val="restart"/>
          </w:tcPr>
          <w:p w:rsidR="00AB78E5" w:rsidRPr="00AB78E5" w:rsidRDefault="00AB78E5" w:rsidP="005071BD">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Ниркова функція (кліренс креатиніну, мл/хв)</w:t>
            </w:r>
          </w:p>
        </w:tc>
        <w:tc>
          <w:tcPr>
            <w:tcW w:w="1975" w:type="dxa"/>
            <w:vMerge w:val="restart"/>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Передбачуваний</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період</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напіввиведення</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години</w:t>
            </w:r>
            <w:proofErr w:type="spellEnd"/>
            <w:r w:rsidRPr="00FC64FB">
              <w:rPr>
                <w:rFonts w:ascii="Times New Roman" w:eastAsia="Times New Roman" w:hAnsi="Times New Roman" w:cs="Times New Roman"/>
                <w:sz w:val="24"/>
                <w:szCs w:val="24"/>
                <w:lang w:eastAsia="fr-FR"/>
              </w:rPr>
              <w:t>)</w:t>
            </w:r>
          </w:p>
        </w:tc>
        <w:tc>
          <w:tcPr>
            <w:tcW w:w="5831" w:type="dxa"/>
            <w:gridSpan w:val="2"/>
          </w:tcPr>
          <w:p w:rsidR="00AB78E5" w:rsidRPr="00AB78E5" w:rsidRDefault="00AB78E5" w:rsidP="005071BD">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Припинення застосування дабігатрану до хірургічного втручання</w:t>
            </w:r>
          </w:p>
        </w:tc>
      </w:tr>
      <w:tr w:rsidR="00AB78E5" w:rsidRPr="00FC64FB" w:rsidTr="00AB78E5">
        <w:tc>
          <w:tcPr>
            <w:tcW w:w="1662" w:type="dxa"/>
            <w:vMerge/>
          </w:tcPr>
          <w:p w:rsidR="00AB78E5" w:rsidRPr="00AB78E5" w:rsidRDefault="00AB78E5" w:rsidP="005071BD">
            <w:pPr>
              <w:spacing w:after="0"/>
              <w:rPr>
                <w:rFonts w:ascii="Times New Roman" w:eastAsia="Times New Roman" w:hAnsi="Times New Roman" w:cs="Times New Roman"/>
                <w:sz w:val="24"/>
                <w:szCs w:val="24"/>
                <w:lang w:val="ru-RU" w:eastAsia="fr-FR"/>
              </w:rPr>
            </w:pPr>
          </w:p>
        </w:tc>
        <w:tc>
          <w:tcPr>
            <w:tcW w:w="1975" w:type="dxa"/>
            <w:vMerge/>
          </w:tcPr>
          <w:p w:rsidR="00AB78E5" w:rsidRPr="00AB78E5" w:rsidRDefault="00AB78E5" w:rsidP="005071BD">
            <w:pPr>
              <w:spacing w:after="0"/>
              <w:rPr>
                <w:rFonts w:ascii="Times New Roman" w:eastAsia="Times New Roman" w:hAnsi="Times New Roman" w:cs="Times New Roman"/>
                <w:sz w:val="24"/>
                <w:szCs w:val="24"/>
                <w:lang w:val="ru-RU" w:eastAsia="fr-FR"/>
              </w:rPr>
            </w:pPr>
          </w:p>
        </w:tc>
        <w:tc>
          <w:tcPr>
            <w:tcW w:w="3166" w:type="dxa"/>
          </w:tcPr>
          <w:p w:rsidR="00AB78E5" w:rsidRPr="00AB78E5" w:rsidRDefault="00AB78E5" w:rsidP="005071BD">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 xml:space="preserve">Високий ризик кровотечі або значного оперативного втручання </w:t>
            </w:r>
          </w:p>
        </w:tc>
        <w:tc>
          <w:tcPr>
            <w:tcW w:w="2665" w:type="dxa"/>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Стандартний</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ризик</w:t>
            </w:r>
            <w:proofErr w:type="spellEnd"/>
          </w:p>
        </w:tc>
      </w:tr>
      <w:tr w:rsidR="00AB78E5" w:rsidRPr="00FC64FB" w:rsidTr="00AB78E5">
        <w:tc>
          <w:tcPr>
            <w:tcW w:w="1662" w:type="dxa"/>
          </w:tcPr>
          <w:p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80</w:t>
            </w:r>
          </w:p>
        </w:tc>
        <w:tc>
          <w:tcPr>
            <w:tcW w:w="1975" w:type="dxa"/>
          </w:tcPr>
          <w:p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13</w:t>
            </w:r>
          </w:p>
        </w:tc>
        <w:tc>
          <w:tcPr>
            <w:tcW w:w="3166" w:type="dxa"/>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 </w:t>
            </w:r>
            <w:proofErr w:type="spellStart"/>
            <w:r w:rsidRPr="00FC64FB">
              <w:rPr>
                <w:rFonts w:ascii="Times New Roman" w:eastAsia="Times New Roman" w:hAnsi="Times New Roman" w:cs="Times New Roman"/>
                <w:sz w:val="24"/>
                <w:szCs w:val="24"/>
                <w:lang w:eastAsia="fr-FR"/>
              </w:rPr>
              <w:t>доби</w:t>
            </w:r>
            <w:proofErr w:type="spellEnd"/>
          </w:p>
        </w:tc>
        <w:tc>
          <w:tcPr>
            <w:tcW w:w="2665" w:type="dxa"/>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24 </w:t>
            </w:r>
            <w:proofErr w:type="spellStart"/>
            <w:r w:rsidRPr="00FC64FB">
              <w:rPr>
                <w:rFonts w:ascii="Times New Roman" w:eastAsia="Times New Roman" w:hAnsi="Times New Roman" w:cs="Times New Roman"/>
                <w:sz w:val="24"/>
                <w:szCs w:val="24"/>
                <w:lang w:eastAsia="fr-FR"/>
              </w:rPr>
              <w:t>години</w:t>
            </w:r>
            <w:proofErr w:type="spellEnd"/>
          </w:p>
        </w:tc>
      </w:tr>
      <w:tr w:rsidR="00AB78E5" w:rsidRPr="00FC64FB" w:rsidTr="00AB78E5">
        <w:tc>
          <w:tcPr>
            <w:tcW w:w="1662" w:type="dxa"/>
          </w:tcPr>
          <w:p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50 - &lt; 80</w:t>
            </w:r>
          </w:p>
        </w:tc>
        <w:tc>
          <w:tcPr>
            <w:tcW w:w="1975" w:type="dxa"/>
          </w:tcPr>
          <w:p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15</w:t>
            </w:r>
          </w:p>
        </w:tc>
        <w:tc>
          <w:tcPr>
            <w:tcW w:w="3166" w:type="dxa"/>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2–3 </w:t>
            </w:r>
            <w:proofErr w:type="spellStart"/>
            <w:r w:rsidRPr="00FC64FB">
              <w:rPr>
                <w:rFonts w:ascii="Times New Roman" w:eastAsia="Times New Roman" w:hAnsi="Times New Roman" w:cs="Times New Roman"/>
                <w:sz w:val="24"/>
                <w:szCs w:val="24"/>
                <w:lang w:eastAsia="fr-FR"/>
              </w:rPr>
              <w:t>доби</w:t>
            </w:r>
            <w:proofErr w:type="spellEnd"/>
          </w:p>
        </w:tc>
        <w:tc>
          <w:tcPr>
            <w:tcW w:w="2665" w:type="dxa"/>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1–2 </w:t>
            </w:r>
            <w:proofErr w:type="spellStart"/>
            <w:r w:rsidRPr="00FC64FB">
              <w:rPr>
                <w:rFonts w:ascii="Times New Roman" w:eastAsia="Times New Roman" w:hAnsi="Times New Roman" w:cs="Times New Roman"/>
                <w:sz w:val="24"/>
                <w:szCs w:val="24"/>
                <w:lang w:eastAsia="fr-FR"/>
              </w:rPr>
              <w:t>доби</w:t>
            </w:r>
            <w:proofErr w:type="spellEnd"/>
          </w:p>
        </w:tc>
      </w:tr>
      <w:tr w:rsidR="00AB78E5" w:rsidRPr="00FC64FB" w:rsidTr="00AB78E5">
        <w:tc>
          <w:tcPr>
            <w:tcW w:w="1662" w:type="dxa"/>
          </w:tcPr>
          <w:p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30 - &lt; 50</w:t>
            </w:r>
          </w:p>
        </w:tc>
        <w:tc>
          <w:tcPr>
            <w:tcW w:w="1975" w:type="dxa"/>
          </w:tcPr>
          <w:p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18</w:t>
            </w:r>
          </w:p>
        </w:tc>
        <w:tc>
          <w:tcPr>
            <w:tcW w:w="3166" w:type="dxa"/>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4 </w:t>
            </w:r>
            <w:proofErr w:type="spellStart"/>
            <w:r w:rsidRPr="00FC64FB">
              <w:rPr>
                <w:rFonts w:ascii="Times New Roman" w:eastAsia="Times New Roman" w:hAnsi="Times New Roman" w:cs="Times New Roman"/>
                <w:sz w:val="24"/>
                <w:szCs w:val="24"/>
                <w:lang w:eastAsia="fr-FR"/>
              </w:rPr>
              <w:t>доби</w:t>
            </w:r>
            <w:proofErr w:type="spellEnd"/>
          </w:p>
        </w:tc>
        <w:tc>
          <w:tcPr>
            <w:tcW w:w="2665" w:type="dxa"/>
          </w:tcPr>
          <w:p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2–3 </w:t>
            </w:r>
            <w:proofErr w:type="spellStart"/>
            <w:r w:rsidRPr="00FC64FB">
              <w:rPr>
                <w:rFonts w:ascii="Times New Roman" w:eastAsia="Times New Roman" w:hAnsi="Times New Roman" w:cs="Times New Roman"/>
                <w:sz w:val="24"/>
                <w:szCs w:val="24"/>
                <w:lang w:eastAsia="fr-FR"/>
              </w:rPr>
              <w:t>доби</w:t>
            </w:r>
            <w:proofErr w:type="spellEnd"/>
            <w:r w:rsidRPr="00FC64FB">
              <w:rPr>
                <w:rFonts w:ascii="Times New Roman" w:eastAsia="Times New Roman" w:hAnsi="Times New Roman" w:cs="Times New Roman"/>
                <w:sz w:val="24"/>
                <w:szCs w:val="24"/>
                <w:lang w:eastAsia="fr-FR"/>
              </w:rPr>
              <w:t xml:space="preserve"> (&gt; 48 </w:t>
            </w:r>
            <w:proofErr w:type="spellStart"/>
            <w:r w:rsidRPr="00FC64FB">
              <w:rPr>
                <w:rFonts w:ascii="Times New Roman" w:eastAsia="Times New Roman" w:hAnsi="Times New Roman" w:cs="Times New Roman"/>
                <w:sz w:val="24"/>
                <w:szCs w:val="24"/>
                <w:lang w:eastAsia="fr-FR"/>
              </w:rPr>
              <w:t>годин</w:t>
            </w:r>
            <w:proofErr w:type="spellEnd"/>
            <w:r w:rsidRPr="00FC64FB">
              <w:rPr>
                <w:rFonts w:ascii="Times New Roman" w:eastAsia="Times New Roman" w:hAnsi="Times New Roman" w:cs="Times New Roman"/>
                <w:sz w:val="24"/>
                <w:szCs w:val="24"/>
                <w:lang w:eastAsia="fr-FR"/>
              </w:rPr>
              <w:t>)</w:t>
            </w:r>
          </w:p>
        </w:tc>
      </w:tr>
    </w:tbl>
    <w:p w:rsidR="00AB78E5" w:rsidRDefault="00AB78E5" w:rsidP="008F11E8">
      <w:pPr>
        <w:spacing w:after="0"/>
        <w:rPr>
          <w:rFonts w:ascii="Times New Roman" w:eastAsia="Times New Roman" w:hAnsi="Times New Roman" w:cs="Times New Roman"/>
          <w:sz w:val="24"/>
          <w:szCs w:val="24"/>
          <w:lang w:val="ru-RU" w:eastAsia="fr-FR"/>
        </w:rPr>
      </w:pPr>
    </w:p>
    <w:p w:rsidR="000A0D98" w:rsidRDefault="000A0D98" w:rsidP="000A5532">
      <w:pPr>
        <w:tabs>
          <w:tab w:val="left" w:pos="3399"/>
        </w:tabs>
        <w:spacing w:after="0"/>
        <w:contextualSpacing/>
        <w:rPr>
          <w:rFonts w:ascii="Times New Roman" w:eastAsia="Times New Roman" w:hAnsi="Times New Roman" w:cs="Times New Roman"/>
          <w:i/>
          <w:sz w:val="24"/>
          <w:szCs w:val="24"/>
          <w:lang w:val="ru-RU" w:eastAsia="fr-FR"/>
        </w:rPr>
      </w:pPr>
    </w:p>
    <w:p w:rsidR="0051077C" w:rsidRDefault="00AB78E5" w:rsidP="000A5532">
      <w:pPr>
        <w:tabs>
          <w:tab w:val="left" w:pos="3399"/>
        </w:tabs>
        <w:spacing w:after="0"/>
        <w:contextualSpacing/>
        <w:rPr>
          <w:rFonts w:ascii="Times New Roman" w:eastAsia="Times New Roman" w:hAnsi="Times New Roman" w:cs="Times New Roman"/>
          <w:i/>
          <w:sz w:val="24"/>
          <w:szCs w:val="24"/>
          <w:lang w:val="ru-RU" w:eastAsia="fr-FR"/>
        </w:rPr>
      </w:pPr>
      <w:r w:rsidRPr="00AB78E5">
        <w:rPr>
          <w:rFonts w:ascii="Times New Roman" w:eastAsia="Times New Roman" w:hAnsi="Times New Roman" w:cs="Times New Roman"/>
          <w:i/>
          <w:sz w:val="24"/>
          <w:szCs w:val="24"/>
          <w:lang w:val="ru-RU" w:eastAsia="fr-FR"/>
        </w:rPr>
        <w:t>Спинномозкова анестезія/епідуральна анестезія/люмбальна пункція.</w:t>
      </w:r>
    </w:p>
    <w:p w:rsidR="000A0D98" w:rsidRDefault="00AB78E5" w:rsidP="000A5532">
      <w:pPr>
        <w:tabs>
          <w:tab w:val="left" w:pos="3399"/>
        </w:tabs>
        <w:spacing w:after="0"/>
        <w:contextualSpacing/>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 xml:space="preserve">Процедури, такі як спинномозкова анестезія, можуть потребувати повної гемостатичної функції. </w:t>
      </w:r>
    </w:p>
    <w:p w:rsidR="00AB78E5" w:rsidRDefault="00AB78E5" w:rsidP="000A5532">
      <w:pPr>
        <w:tabs>
          <w:tab w:val="left" w:pos="3399"/>
        </w:tabs>
        <w:spacing w:after="0"/>
        <w:contextualSpacing/>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Ризик появи спинномозкової чи епідуральної гематоми може підвищитись у випадках травматичної чи повторної пункції та подовженого післяопераційного застосування епідуральних катетерів. Після вилучення катетера слід зачекати щонайменше</w:t>
      </w:r>
      <w:r w:rsidRPr="00FC64FB">
        <w:rPr>
          <w:rFonts w:ascii="Times New Roman" w:eastAsia="Times New Roman" w:hAnsi="Times New Roman" w:cs="Times New Roman"/>
          <w:sz w:val="24"/>
          <w:szCs w:val="24"/>
          <w:lang w:val="ru-RU" w:eastAsia="fr-FR"/>
        </w:rPr>
        <w:t xml:space="preserve"> </w:t>
      </w:r>
      <w:r w:rsidRPr="00AB78E5">
        <w:rPr>
          <w:rFonts w:ascii="Times New Roman" w:eastAsia="Times New Roman" w:hAnsi="Times New Roman" w:cs="Times New Roman"/>
          <w:sz w:val="24"/>
          <w:szCs w:val="24"/>
          <w:lang w:val="ru-RU" w:eastAsia="fr-FR"/>
        </w:rPr>
        <w:t xml:space="preserve">2 години до прийому першої дози </w:t>
      </w:r>
      <w:r w:rsidR="001C0BB0">
        <w:rPr>
          <w:rFonts w:ascii="Times New Roman" w:eastAsia="Times New Roman" w:hAnsi="Times New Roman" w:cs="Times New Roman"/>
          <w:sz w:val="24"/>
          <w:szCs w:val="24"/>
          <w:lang w:val="ru-RU" w:eastAsia="fr-FR"/>
        </w:rPr>
        <w:t>ПРАДАКСА</w:t>
      </w:r>
      <w:r w:rsidRPr="00AB78E5">
        <w:rPr>
          <w:rFonts w:ascii="Times New Roman" w:eastAsia="Times New Roman" w:hAnsi="Times New Roman" w:cs="Times New Roman"/>
          <w:sz w:val="24"/>
          <w:szCs w:val="24"/>
          <w:lang w:val="ru-RU" w:eastAsia="fr-FR"/>
        </w:rPr>
        <w:t>. Такі пацієнти потребують ретельного спостереження щодо неврологічних симптомів та симптомів спинномозкової або епідуральної гематоми.</w:t>
      </w:r>
    </w:p>
    <w:p w:rsidR="00AB78E5" w:rsidRDefault="00AB78E5" w:rsidP="000A5532">
      <w:pPr>
        <w:tabs>
          <w:tab w:val="left" w:pos="3399"/>
        </w:tabs>
        <w:spacing w:after="0"/>
        <w:contextualSpacing/>
        <w:rPr>
          <w:rFonts w:ascii="Times New Roman" w:eastAsia="Times New Roman" w:hAnsi="Times New Roman" w:cs="Times New Roman"/>
          <w:sz w:val="24"/>
          <w:szCs w:val="24"/>
          <w:lang w:val="ru-RU" w:eastAsia="fr-FR"/>
        </w:rPr>
      </w:pPr>
    </w:p>
    <w:p w:rsidR="003113EE" w:rsidRDefault="000A0D98" w:rsidP="0029557E">
      <w:pPr>
        <w:spacing w:line="276" w:lineRule="auto"/>
        <w:rPr>
          <w:rFonts w:ascii="Times New Roman" w:hAnsi="Times New Roman" w:cs="Times New Roman"/>
          <w:b/>
          <w:i/>
          <w:sz w:val="24"/>
          <w:szCs w:val="24"/>
          <w:vertAlign w:val="superscript"/>
          <w:lang w:val="ru-RU"/>
        </w:rPr>
      </w:pPr>
      <w:r w:rsidRPr="00CB2940">
        <w:rPr>
          <w:rFonts w:ascii="Times New Roman" w:hAnsi="Times New Roman" w:cs="Times New Roman"/>
          <w:b/>
          <w:i/>
          <w:sz w:val="24"/>
          <w:szCs w:val="24"/>
          <w:lang w:val="uk-UA"/>
        </w:rPr>
        <w:t>Коагуляційні тести та їх інтерпретація</w:t>
      </w:r>
    </w:p>
    <w:p w:rsidR="003D6F28" w:rsidRDefault="003D6F28" w:rsidP="003D6F28">
      <w:pPr>
        <w:spacing w:after="0"/>
        <w:rPr>
          <w:rFonts w:ascii="Times New Roman" w:eastAsia="Times New Roman" w:hAnsi="Times New Roman" w:cs="Times New Roman"/>
          <w:sz w:val="24"/>
          <w:szCs w:val="24"/>
          <w:vertAlign w:val="superscript"/>
          <w:lang w:val="ru-RU" w:eastAsia="fr-FR"/>
        </w:rPr>
      </w:pPr>
      <w:r w:rsidRPr="003D6F28">
        <w:rPr>
          <w:rFonts w:ascii="Times New Roman" w:eastAsia="Times New Roman" w:hAnsi="Times New Roman" w:cs="Times New Roman"/>
          <w:sz w:val="24"/>
          <w:szCs w:val="24"/>
          <w:lang w:val="ru-RU" w:eastAsia="fr-FR"/>
        </w:rPr>
        <w:t>ПРАДАКСА</w:t>
      </w:r>
      <w:r w:rsidR="00E4185D">
        <w:rPr>
          <w:rFonts w:ascii="Times New Roman" w:eastAsia="Times New Roman" w:hAnsi="Times New Roman" w:cs="Times New Roman"/>
          <w:sz w:val="24"/>
          <w:szCs w:val="24"/>
          <w:lang w:val="ru-RU" w:eastAsia="fr-FR"/>
        </w:rPr>
        <w:t>,</w:t>
      </w:r>
      <w:r w:rsidRPr="003D6F28">
        <w:rPr>
          <w:rFonts w:ascii="Times New Roman" w:eastAsia="Times New Roman" w:hAnsi="Times New Roman" w:cs="Times New Roman"/>
          <w:sz w:val="24"/>
          <w:szCs w:val="24"/>
          <w:lang w:val="ru-RU" w:eastAsia="fr-FR"/>
        </w:rPr>
        <w:t xml:space="preserve"> в цілому</w:t>
      </w:r>
      <w:r w:rsidR="00E4185D">
        <w:rPr>
          <w:rFonts w:ascii="Times New Roman" w:eastAsia="Times New Roman" w:hAnsi="Times New Roman" w:cs="Times New Roman"/>
          <w:sz w:val="24"/>
          <w:szCs w:val="24"/>
          <w:lang w:val="ru-RU" w:eastAsia="fr-FR"/>
        </w:rPr>
        <w:t>,</w:t>
      </w:r>
      <w:r w:rsidRPr="003D6F28">
        <w:rPr>
          <w:rFonts w:ascii="Times New Roman" w:eastAsia="Times New Roman" w:hAnsi="Times New Roman" w:cs="Times New Roman"/>
          <w:sz w:val="24"/>
          <w:szCs w:val="24"/>
          <w:lang w:val="ru-RU" w:eastAsia="fr-FR"/>
        </w:rPr>
        <w:t xml:space="preserve"> не потребує </w:t>
      </w:r>
      <w:r>
        <w:rPr>
          <w:rFonts w:ascii="Times New Roman" w:eastAsia="Times New Roman" w:hAnsi="Times New Roman" w:cs="Times New Roman"/>
          <w:sz w:val="24"/>
          <w:szCs w:val="24"/>
          <w:lang w:val="ru-RU" w:eastAsia="fr-FR"/>
        </w:rPr>
        <w:t xml:space="preserve">рутинного клінічного </w:t>
      </w:r>
      <w:r w:rsidRPr="003D6F28">
        <w:rPr>
          <w:rFonts w:ascii="Times New Roman" w:eastAsia="Times New Roman" w:hAnsi="Times New Roman" w:cs="Times New Roman"/>
          <w:sz w:val="24"/>
          <w:szCs w:val="24"/>
          <w:lang w:val="ru-RU" w:eastAsia="fr-FR"/>
        </w:rPr>
        <w:t>моніторингу</w:t>
      </w:r>
      <w:r>
        <w:rPr>
          <w:rFonts w:ascii="Times New Roman" w:eastAsia="Times New Roman" w:hAnsi="Times New Roman" w:cs="Times New Roman"/>
          <w:sz w:val="24"/>
          <w:szCs w:val="24"/>
          <w:lang w:val="ru-RU" w:eastAsia="fr-FR"/>
        </w:rPr>
        <w:t xml:space="preserve">, </w:t>
      </w:r>
      <w:r w:rsidRPr="003D6F28">
        <w:rPr>
          <w:rFonts w:ascii="Times New Roman" w:eastAsia="Times New Roman" w:hAnsi="Times New Roman" w:cs="Times New Roman"/>
          <w:sz w:val="24"/>
          <w:szCs w:val="24"/>
          <w:lang w:val="ru-RU" w:eastAsia="fr-FR"/>
        </w:rPr>
        <w:t>ні для короткострокового, ні для довгострокового лікування.</w:t>
      </w:r>
      <w:r>
        <w:rPr>
          <w:rFonts w:ascii="Times New Roman" w:eastAsia="Times New Roman" w:hAnsi="Times New Roman" w:cs="Times New Roman"/>
          <w:sz w:val="24"/>
          <w:szCs w:val="24"/>
          <w:vertAlign w:val="superscript"/>
          <w:lang w:val="ru-RU" w:eastAsia="fr-FR"/>
        </w:rPr>
        <w:t>3,4</w:t>
      </w:r>
    </w:p>
    <w:p w:rsidR="003D6F28" w:rsidRPr="003D6F28" w:rsidRDefault="003D6F28" w:rsidP="003D6F28">
      <w:pPr>
        <w:autoSpaceDE w:val="0"/>
        <w:autoSpaceDN w:val="0"/>
        <w:adjustRightInd w:val="0"/>
        <w:spacing w:after="0" w:line="201" w:lineRule="atLeast"/>
        <w:rPr>
          <w:rFonts w:ascii="Times New Roman" w:eastAsia="Times New Roman" w:hAnsi="Times New Roman" w:cs="Times New Roman"/>
          <w:sz w:val="24"/>
          <w:szCs w:val="24"/>
          <w:lang w:val="ru-RU" w:eastAsia="fr-FR"/>
        </w:rPr>
      </w:pPr>
      <w:r w:rsidRPr="003D6F28">
        <w:rPr>
          <w:rFonts w:ascii="Times New Roman" w:eastAsia="Times New Roman" w:hAnsi="Times New Roman" w:cs="Times New Roman"/>
          <w:sz w:val="24"/>
          <w:szCs w:val="24"/>
          <w:lang w:val="ru-RU" w:eastAsia="fr-FR"/>
        </w:rPr>
        <w:t xml:space="preserve">Однак, у випадку підозри на передозування хворих, які приймали </w:t>
      </w:r>
      <w:r>
        <w:rPr>
          <w:rFonts w:ascii="Times New Roman" w:eastAsia="Times New Roman" w:hAnsi="Times New Roman" w:cs="Times New Roman"/>
          <w:sz w:val="24"/>
          <w:szCs w:val="24"/>
          <w:lang w:val="ru-RU" w:eastAsia="fr-FR"/>
        </w:rPr>
        <w:t>препарат Прадакса</w:t>
      </w:r>
      <w:r w:rsidRPr="003D6F28">
        <w:rPr>
          <w:rFonts w:ascii="Times New Roman" w:eastAsia="Times New Roman" w:hAnsi="Times New Roman" w:cs="Times New Roman"/>
          <w:sz w:val="24"/>
          <w:szCs w:val="24"/>
          <w:lang w:val="ru-RU" w:eastAsia="fr-FR"/>
        </w:rPr>
        <w:t>®, після потрапляння у відділення невідкладної допомоги, це може бути доцільно для оцінки анти</w:t>
      </w:r>
      <w:r>
        <w:rPr>
          <w:rFonts w:ascii="Times New Roman" w:eastAsia="Times New Roman" w:hAnsi="Times New Roman" w:cs="Times New Roman"/>
          <w:sz w:val="24"/>
          <w:szCs w:val="24"/>
          <w:lang w:val="ru-RU" w:eastAsia="fr-FR"/>
        </w:rPr>
        <w:t>коагулянт</w:t>
      </w:r>
      <w:r w:rsidR="00947A34">
        <w:rPr>
          <w:rFonts w:ascii="Times New Roman" w:eastAsia="Times New Roman" w:hAnsi="Times New Roman" w:cs="Times New Roman"/>
          <w:sz w:val="24"/>
          <w:szCs w:val="24"/>
          <w:lang w:val="ru-RU" w:eastAsia="fr-FR"/>
        </w:rPr>
        <w:t>ного стану.</w:t>
      </w:r>
    </w:p>
    <w:p w:rsidR="003D6F28" w:rsidRPr="003D6F28" w:rsidRDefault="003D6F28" w:rsidP="003D6F28">
      <w:pPr>
        <w:spacing w:after="0"/>
        <w:rPr>
          <w:rFonts w:ascii="Times New Roman" w:eastAsia="Times New Roman" w:hAnsi="Times New Roman" w:cs="Times New Roman"/>
          <w:sz w:val="24"/>
          <w:szCs w:val="24"/>
          <w:lang w:val="ru-RU" w:eastAsia="fr-FR"/>
        </w:rPr>
      </w:pPr>
      <w:r w:rsidRPr="003D6F28">
        <w:rPr>
          <w:rFonts w:ascii="Times New Roman" w:eastAsia="Times New Roman" w:hAnsi="Times New Roman" w:cs="Times New Roman"/>
          <w:sz w:val="24"/>
          <w:szCs w:val="24"/>
          <w:lang w:val="ru-RU" w:eastAsia="fr-FR"/>
        </w:rPr>
        <w:t>Існує тісний взаємозв’язок між концентрацією в плазмі дабігатрану і ступенем еффекту</w:t>
      </w:r>
      <w:r w:rsidR="00947A34">
        <w:rPr>
          <w:rFonts w:ascii="Times New Roman" w:eastAsia="Times New Roman" w:hAnsi="Times New Roman" w:cs="Times New Roman"/>
          <w:sz w:val="24"/>
          <w:szCs w:val="24"/>
          <w:vertAlign w:val="superscript"/>
          <w:lang w:val="ru-RU" w:eastAsia="fr-FR"/>
        </w:rPr>
        <w:t xml:space="preserve"> </w:t>
      </w:r>
      <w:r w:rsidR="00947A34">
        <w:rPr>
          <w:rFonts w:ascii="Times New Roman" w:eastAsia="Times New Roman" w:hAnsi="Times New Roman" w:cs="Times New Roman"/>
          <w:sz w:val="24"/>
          <w:szCs w:val="24"/>
          <w:lang w:val="ru-RU" w:eastAsia="fr-FR"/>
        </w:rPr>
        <w:t xml:space="preserve"> </w:t>
      </w:r>
      <w:r w:rsidRPr="003D6F28">
        <w:rPr>
          <w:rFonts w:ascii="Times New Roman" w:eastAsia="Times New Roman" w:hAnsi="Times New Roman" w:cs="Times New Roman"/>
          <w:sz w:val="24"/>
          <w:szCs w:val="24"/>
          <w:lang w:val="ru-RU" w:eastAsia="fr-FR"/>
        </w:rPr>
        <w:t>антикоагулянту</w:t>
      </w:r>
      <w:r w:rsidR="00947A34">
        <w:rPr>
          <w:rFonts w:ascii="Times New Roman" w:eastAsia="Times New Roman" w:hAnsi="Times New Roman" w:cs="Times New Roman"/>
          <w:sz w:val="24"/>
          <w:szCs w:val="24"/>
          <w:vertAlign w:val="superscript"/>
          <w:lang w:val="ru-RU" w:eastAsia="fr-FR"/>
        </w:rPr>
        <w:t>1,2</w:t>
      </w:r>
      <w:r w:rsidR="00947A34">
        <w:rPr>
          <w:rFonts w:ascii="Times New Roman" w:eastAsia="Times New Roman" w:hAnsi="Times New Roman" w:cs="Times New Roman"/>
          <w:sz w:val="24"/>
          <w:szCs w:val="24"/>
          <w:lang w:val="ru-RU" w:eastAsia="fr-FR"/>
        </w:rPr>
        <w:t>.</w:t>
      </w:r>
      <w:r w:rsidRPr="003D6F28">
        <w:rPr>
          <w:rFonts w:ascii="Times New Roman" w:eastAsia="Times New Roman" w:hAnsi="Times New Roman" w:cs="Times New Roman"/>
          <w:sz w:val="24"/>
          <w:szCs w:val="24"/>
          <w:lang w:val="ru-RU" w:eastAsia="fr-FR"/>
        </w:rPr>
        <w:t xml:space="preserve"> </w:t>
      </w:r>
      <w:r w:rsidR="00947A34">
        <w:rPr>
          <w:rFonts w:ascii="Times New Roman" w:eastAsia="Times New Roman" w:hAnsi="Times New Roman" w:cs="Times New Roman"/>
          <w:sz w:val="24"/>
          <w:szCs w:val="24"/>
          <w:lang w:val="ru-RU" w:eastAsia="fr-FR"/>
        </w:rPr>
        <w:t>Т</w:t>
      </w:r>
      <w:r w:rsidRPr="003D6F28">
        <w:rPr>
          <w:rFonts w:ascii="Times New Roman" w:eastAsia="Times New Roman" w:hAnsi="Times New Roman" w:cs="Times New Roman"/>
          <w:sz w:val="24"/>
          <w:szCs w:val="24"/>
          <w:lang w:val="ru-RU" w:eastAsia="fr-FR"/>
        </w:rPr>
        <w:t>ромбінов</w:t>
      </w:r>
      <w:r w:rsidR="00947A34">
        <w:rPr>
          <w:rFonts w:ascii="Times New Roman" w:eastAsia="Times New Roman" w:hAnsi="Times New Roman" w:cs="Times New Roman"/>
          <w:sz w:val="24"/>
          <w:szCs w:val="24"/>
          <w:lang w:val="ru-RU" w:eastAsia="fr-FR"/>
        </w:rPr>
        <w:t>ий</w:t>
      </w:r>
      <w:r w:rsidRPr="003D6F28">
        <w:rPr>
          <w:rFonts w:ascii="Times New Roman" w:eastAsia="Times New Roman" w:hAnsi="Times New Roman" w:cs="Times New Roman"/>
          <w:sz w:val="24"/>
          <w:szCs w:val="24"/>
          <w:lang w:val="ru-RU" w:eastAsia="fr-FR"/>
        </w:rPr>
        <w:t xml:space="preserve"> час (ТЧ), </w:t>
      </w:r>
      <w:r w:rsidR="00947A34" w:rsidRPr="00947A34">
        <w:rPr>
          <w:rFonts w:ascii="Times New Roman" w:eastAsia="Times New Roman" w:hAnsi="Times New Roman" w:cs="Times New Roman"/>
          <w:sz w:val="24"/>
          <w:szCs w:val="24"/>
          <w:lang w:val="ru-RU" w:eastAsia="fr-FR"/>
        </w:rPr>
        <w:t>час згортання крові (ЧЗК) та</w:t>
      </w:r>
      <w:r w:rsidR="00947A34" w:rsidRPr="00FC64FB">
        <w:rPr>
          <w:rFonts w:ascii="Times New Roman" w:eastAsia="Times New Roman" w:hAnsi="Times New Roman" w:cs="Times New Roman"/>
          <w:sz w:val="24"/>
          <w:szCs w:val="24"/>
          <w:lang w:val="ru-RU" w:eastAsia="fr-FR"/>
        </w:rPr>
        <w:t xml:space="preserve"> </w:t>
      </w:r>
      <w:r w:rsidR="00947A34" w:rsidRPr="00947A34">
        <w:rPr>
          <w:rFonts w:ascii="Times New Roman" w:eastAsia="Times New Roman" w:hAnsi="Times New Roman" w:cs="Times New Roman"/>
          <w:sz w:val="24"/>
          <w:szCs w:val="24"/>
          <w:lang w:val="ru-RU" w:eastAsia="fr-FR"/>
        </w:rPr>
        <w:t>активований частковий тромбопластиновий час (</w:t>
      </w:r>
      <w:r w:rsidR="005071BD">
        <w:rPr>
          <w:rFonts w:ascii="Times New Roman" w:eastAsia="Times New Roman" w:hAnsi="Times New Roman" w:cs="Times New Roman"/>
          <w:sz w:val="24"/>
          <w:szCs w:val="24"/>
          <w:lang w:val="ru-RU" w:eastAsia="fr-FR"/>
        </w:rPr>
        <w:t>а</w:t>
      </w:r>
      <w:r w:rsidR="00947A34" w:rsidRPr="00947A34">
        <w:rPr>
          <w:rFonts w:ascii="Times New Roman" w:eastAsia="Times New Roman" w:hAnsi="Times New Roman" w:cs="Times New Roman"/>
          <w:sz w:val="24"/>
          <w:szCs w:val="24"/>
          <w:lang w:val="ru-RU" w:eastAsia="fr-FR"/>
        </w:rPr>
        <w:t>ЧТЧ) можуть надати корисну інформацію, але тести не стандартизовані і результати слід інтерпретувати з обережністю</w:t>
      </w:r>
      <w:r>
        <w:rPr>
          <w:rFonts w:ascii="Times New Roman" w:eastAsia="Times New Roman" w:hAnsi="Times New Roman" w:cs="Times New Roman"/>
          <w:sz w:val="24"/>
          <w:szCs w:val="24"/>
          <w:lang w:val="ru-RU" w:eastAsia="fr-FR"/>
        </w:rPr>
        <w:t>.</w:t>
      </w:r>
    </w:p>
    <w:p w:rsidR="003D6F28" w:rsidRPr="003D6F28" w:rsidRDefault="003D6F28" w:rsidP="003D6F28">
      <w:pPr>
        <w:spacing w:after="0"/>
        <w:rPr>
          <w:rFonts w:ascii="Times New Roman" w:eastAsia="Times New Roman" w:hAnsi="Times New Roman" w:cs="Times New Roman"/>
          <w:sz w:val="24"/>
          <w:szCs w:val="24"/>
          <w:lang w:val="ru-RU" w:eastAsia="fr-FR"/>
        </w:rPr>
      </w:pPr>
    </w:p>
    <w:p w:rsidR="005071BD" w:rsidRPr="005071BD" w:rsidRDefault="005071BD"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r w:rsidRPr="005071BD">
        <w:rPr>
          <w:rFonts w:ascii="Times New Roman" w:eastAsia="Times New Roman" w:hAnsi="Times New Roman" w:cs="Times New Roman"/>
          <w:i/>
          <w:sz w:val="24"/>
          <w:szCs w:val="24"/>
          <w:lang w:val="ru-RU" w:eastAsia="fr-FR"/>
        </w:rPr>
        <w:t xml:space="preserve">aЧТЧ </w:t>
      </w:r>
    </w:p>
    <w:p w:rsidR="005071BD" w:rsidRPr="00450263" w:rsidRDefault="005071BD" w:rsidP="005071BD">
      <w:pPr>
        <w:autoSpaceDE w:val="0"/>
        <w:autoSpaceDN w:val="0"/>
        <w:adjustRightInd w:val="0"/>
        <w:spacing w:after="0" w:line="201" w:lineRule="atLeast"/>
        <w:rPr>
          <w:rFonts w:ascii="Times New Roman" w:eastAsia="Times New Roman" w:hAnsi="Times New Roman" w:cs="Times New Roman"/>
          <w:sz w:val="24"/>
          <w:szCs w:val="24"/>
          <w:lang w:val="ru-RU" w:eastAsia="fr-FR"/>
        </w:rPr>
      </w:pPr>
      <w:r w:rsidRPr="005071BD">
        <w:rPr>
          <w:rFonts w:ascii="Times New Roman" w:eastAsia="Times New Roman" w:hAnsi="Times New Roman" w:cs="Times New Roman"/>
          <w:sz w:val="24"/>
          <w:szCs w:val="24"/>
          <w:lang w:val="ru-RU" w:eastAsia="fr-FR"/>
        </w:rPr>
        <w:t>Тест aЧТЧ є широко доступним і забезпечує приблизний пок</w:t>
      </w:r>
      <w:r>
        <w:rPr>
          <w:rFonts w:ascii="Times New Roman" w:eastAsia="Times New Roman" w:hAnsi="Times New Roman" w:cs="Times New Roman"/>
          <w:sz w:val="24"/>
          <w:szCs w:val="24"/>
          <w:lang w:val="ru-RU" w:eastAsia="fr-FR"/>
        </w:rPr>
        <w:t>азник інтенсивності антикоагуля</w:t>
      </w:r>
      <w:r w:rsidRPr="005071BD">
        <w:rPr>
          <w:rFonts w:ascii="Times New Roman" w:eastAsia="Times New Roman" w:hAnsi="Times New Roman" w:cs="Times New Roman"/>
          <w:sz w:val="24"/>
          <w:szCs w:val="24"/>
          <w:lang w:val="ru-RU" w:eastAsia="fr-FR"/>
        </w:rPr>
        <w:t>ції, яка досягається за допомогою дабігатрану. Однак, тест аЧТЧ має обмежену чутливість і не підходить для точного кількісного визначення ан</w:t>
      </w:r>
      <w:r w:rsidRPr="005071BD">
        <w:rPr>
          <w:rFonts w:ascii="Times New Roman" w:eastAsia="Times New Roman" w:hAnsi="Times New Roman" w:cs="Times New Roman"/>
          <w:sz w:val="24"/>
          <w:szCs w:val="24"/>
          <w:lang w:val="ru-RU" w:eastAsia="fr-FR"/>
        </w:rPr>
        <w:softHyphen/>
        <w:t xml:space="preserve">тикоагулянтного ефекту, особливо при високих концентраціях </w:t>
      </w:r>
      <w:r w:rsidRPr="00450263">
        <w:rPr>
          <w:rFonts w:ascii="Times New Roman" w:eastAsia="Times New Roman" w:hAnsi="Times New Roman" w:cs="Times New Roman"/>
          <w:sz w:val="24"/>
          <w:szCs w:val="24"/>
          <w:lang w:val="ru-RU" w:eastAsia="fr-FR"/>
        </w:rPr>
        <w:t>дабігатрану у плазмі. Високі значення аЧТЧ слід інтерпретувати з обережністю.</w:t>
      </w:r>
    </w:p>
    <w:p w:rsidR="004132AD" w:rsidRDefault="004132AD"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p>
    <w:p w:rsidR="005071BD" w:rsidRPr="005071BD" w:rsidRDefault="005071BD"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r w:rsidRPr="005071BD">
        <w:rPr>
          <w:rFonts w:ascii="Times New Roman" w:eastAsia="Times New Roman" w:hAnsi="Times New Roman" w:cs="Times New Roman"/>
          <w:i/>
          <w:sz w:val="24"/>
          <w:szCs w:val="24"/>
          <w:lang w:val="ru-RU" w:eastAsia="fr-FR"/>
        </w:rPr>
        <w:t xml:space="preserve">МНВ </w:t>
      </w:r>
    </w:p>
    <w:p w:rsidR="005071BD" w:rsidRPr="005071BD" w:rsidRDefault="005071BD" w:rsidP="005071BD">
      <w:pPr>
        <w:autoSpaceDE w:val="0"/>
        <w:autoSpaceDN w:val="0"/>
        <w:adjustRightInd w:val="0"/>
        <w:spacing w:after="0" w:line="201" w:lineRule="atLeast"/>
        <w:rPr>
          <w:rFonts w:ascii="Times New Roman" w:eastAsia="Times New Roman" w:hAnsi="Times New Roman" w:cs="Times New Roman"/>
          <w:sz w:val="24"/>
          <w:szCs w:val="24"/>
          <w:lang w:val="ru-RU" w:eastAsia="fr-FR"/>
        </w:rPr>
      </w:pPr>
      <w:r w:rsidRPr="005071BD">
        <w:rPr>
          <w:rFonts w:ascii="Times New Roman" w:eastAsia="Times New Roman" w:hAnsi="Times New Roman" w:cs="Times New Roman"/>
          <w:sz w:val="24"/>
          <w:szCs w:val="24"/>
          <w:lang w:val="ru-RU" w:eastAsia="fr-FR"/>
        </w:rPr>
        <w:t>Тест МНВ є ненадійним для пацієнтів, я</w:t>
      </w:r>
      <w:r>
        <w:rPr>
          <w:rFonts w:ascii="Times New Roman" w:eastAsia="Times New Roman" w:hAnsi="Times New Roman" w:cs="Times New Roman"/>
          <w:sz w:val="24"/>
          <w:szCs w:val="24"/>
          <w:lang w:val="ru-RU" w:eastAsia="fr-FR"/>
        </w:rPr>
        <w:t>кі при</w:t>
      </w:r>
      <w:r w:rsidRPr="005071BD">
        <w:rPr>
          <w:rFonts w:ascii="Times New Roman" w:eastAsia="Times New Roman" w:hAnsi="Times New Roman" w:cs="Times New Roman"/>
          <w:sz w:val="24"/>
          <w:szCs w:val="24"/>
          <w:lang w:val="ru-RU" w:eastAsia="fr-FR"/>
        </w:rPr>
        <w:t>ймають</w:t>
      </w:r>
      <w:r>
        <w:rPr>
          <w:rFonts w:ascii="Times New Roman" w:eastAsia="Times New Roman" w:hAnsi="Times New Roman" w:cs="Times New Roman"/>
          <w:sz w:val="24"/>
          <w:szCs w:val="24"/>
          <w:lang w:val="ru-RU" w:eastAsia="fr-FR"/>
        </w:rPr>
        <w:t xml:space="preserve"> препарат </w:t>
      </w:r>
      <w:r w:rsidR="005A1433">
        <w:rPr>
          <w:rFonts w:ascii="Times New Roman" w:eastAsia="Times New Roman" w:hAnsi="Times New Roman" w:cs="Times New Roman"/>
          <w:sz w:val="24"/>
          <w:szCs w:val="24"/>
          <w:lang w:val="ru-RU" w:eastAsia="fr-FR"/>
        </w:rPr>
        <w:t>ПРАДАКСА</w:t>
      </w:r>
      <w:r w:rsidRPr="005071BD">
        <w:rPr>
          <w:rFonts w:ascii="Times New Roman" w:eastAsia="Times New Roman" w:hAnsi="Times New Roman" w:cs="Times New Roman"/>
          <w:sz w:val="24"/>
          <w:szCs w:val="24"/>
          <w:lang w:val="ru-RU" w:eastAsia="fr-FR"/>
        </w:rPr>
        <w:t>, та може мати хибні позитивні показники МНВ. Тому тести МНВ не слід застосо</w:t>
      </w:r>
      <w:r>
        <w:rPr>
          <w:rFonts w:ascii="Times New Roman" w:eastAsia="Times New Roman" w:hAnsi="Times New Roman" w:cs="Times New Roman"/>
          <w:sz w:val="24"/>
          <w:szCs w:val="24"/>
          <w:lang w:val="ru-RU" w:eastAsia="fr-FR"/>
        </w:rPr>
        <w:t>вувати.</w:t>
      </w:r>
    </w:p>
    <w:p w:rsidR="004132AD" w:rsidRDefault="004132AD"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p>
    <w:p w:rsidR="005071BD" w:rsidRPr="005071BD" w:rsidRDefault="005071BD"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r w:rsidRPr="005071BD">
        <w:rPr>
          <w:rFonts w:ascii="Times New Roman" w:eastAsia="Times New Roman" w:hAnsi="Times New Roman" w:cs="Times New Roman"/>
          <w:i/>
          <w:sz w:val="24"/>
          <w:szCs w:val="24"/>
          <w:lang w:val="ru-RU" w:eastAsia="fr-FR"/>
        </w:rPr>
        <w:t xml:space="preserve">Вимірювання концентрації дабігатрану в плазмі </w:t>
      </w:r>
    </w:p>
    <w:p w:rsidR="003D6F28" w:rsidRPr="005071BD" w:rsidRDefault="005071BD" w:rsidP="005071BD">
      <w:pPr>
        <w:spacing w:line="276" w:lineRule="auto"/>
        <w:rPr>
          <w:rFonts w:ascii="Times New Roman" w:eastAsia="Times New Roman" w:hAnsi="Times New Roman" w:cs="Times New Roman"/>
          <w:sz w:val="24"/>
          <w:szCs w:val="24"/>
          <w:lang w:val="ru-RU" w:eastAsia="fr-FR"/>
        </w:rPr>
      </w:pPr>
      <w:r w:rsidRPr="005071BD">
        <w:rPr>
          <w:rFonts w:ascii="Times New Roman" w:eastAsia="Times New Roman" w:hAnsi="Times New Roman" w:cs="Times New Roman"/>
          <w:sz w:val="24"/>
          <w:szCs w:val="24"/>
          <w:lang w:val="ru-RU" w:eastAsia="fr-FR"/>
        </w:rPr>
        <w:t>Для кількісного вимірювання концентрації дабігатрану в плазмі, існує кілька аналізів дабігатрану на основі тромбінованого часу з розведенням (</w:t>
      </w:r>
      <w:r>
        <w:rPr>
          <w:rFonts w:ascii="Times New Roman" w:eastAsia="Times New Roman" w:hAnsi="Times New Roman" w:cs="Times New Roman"/>
          <w:sz w:val="24"/>
          <w:szCs w:val="24"/>
          <w:lang w:val="ru-RU" w:eastAsia="fr-FR"/>
        </w:rPr>
        <w:t>р</w:t>
      </w:r>
      <w:r w:rsidRPr="005071BD">
        <w:rPr>
          <w:rFonts w:ascii="Times New Roman" w:eastAsia="Times New Roman" w:hAnsi="Times New Roman" w:cs="Times New Roman"/>
          <w:sz w:val="24"/>
          <w:szCs w:val="24"/>
          <w:lang w:val="ru-RU" w:eastAsia="fr-FR"/>
        </w:rPr>
        <w:t xml:space="preserve">ТЧ). Визначення </w:t>
      </w:r>
      <w:r>
        <w:rPr>
          <w:rFonts w:ascii="Times New Roman" w:eastAsia="Times New Roman" w:hAnsi="Times New Roman" w:cs="Times New Roman"/>
          <w:sz w:val="24"/>
          <w:szCs w:val="24"/>
          <w:lang w:val="ru-RU" w:eastAsia="fr-FR"/>
        </w:rPr>
        <w:t>р</w:t>
      </w:r>
      <w:r w:rsidRPr="005071BD">
        <w:rPr>
          <w:rFonts w:ascii="Times New Roman" w:eastAsia="Times New Roman" w:hAnsi="Times New Roman" w:cs="Times New Roman"/>
          <w:sz w:val="24"/>
          <w:szCs w:val="24"/>
          <w:lang w:val="ru-RU" w:eastAsia="fr-FR"/>
        </w:rPr>
        <w:t>ТЧ</w:t>
      </w:r>
      <w:r w:rsidRPr="005071BD">
        <w:rPr>
          <w:rFonts w:ascii="Times New Roman" w:eastAsia="Times New Roman" w:hAnsi="Times New Roman" w:cs="Times New Roman"/>
          <w:sz w:val="24"/>
          <w:szCs w:val="24"/>
          <w:vertAlign w:val="superscript"/>
          <w:lang w:val="ru-RU" w:eastAsia="fr-FR"/>
        </w:rPr>
        <w:t>1</w:t>
      </w:r>
      <w:r w:rsidR="004132AD">
        <w:rPr>
          <w:rFonts w:ascii="Times New Roman" w:eastAsia="Times New Roman" w:hAnsi="Times New Roman" w:cs="Times New Roman"/>
          <w:sz w:val="24"/>
          <w:szCs w:val="24"/>
          <w:lang w:val="ru-RU" w:eastAsia="fr-FR"/>
        </w:rPr>
        <w:t xml:space="preserve"> &gt; 200</w:t>
      </w:r>
      <w:r w:rsidRPr="005071BD">
        <w:rPr>
          <w:rFonts w:ascii="Times New Roman" w:eastAsia="Times New Roman" w:hAnsi="Times New Roman" w:cs="Times New Roman"/>
          <w:sz w:val="24"/>
          <w:szCs w:val="24"/>
          <w:lang w:val="ru-RU" w:eastAsia="fr-FR"/>
        </w:rPr>
        <w:t xml:space="preserve"> нг/мл концентрації дабігатрину в плазмі до наступного прийому препарату може бути пов’язаним з більш високим ризиком виникнення кровотечі</w:t>
      </w:r>
      <w:r w:rsidR="00576944" w:rsidRPr="005071BD">
        <w:rPr>
          <w:rFonts w:ascii="Times New Roman" w:eastAsia="Times New Roman" w:hAnsi="Times New Roman" w:cs="Times New Roman"/>
          <w:sz w:val="24"/>
          <w:szCs w:val="24"/>
          <w:vertAlign w:val="superscript"/>
          <w:lang w:val="ru-RU" w:eastAsia="fr-FR"/>
        </w:rPr>
        <w:t>1</w:t>
      </w:r>
      <w:r w:rsidRPr="005071BD">
        <w:rPr>
          <w:rFonts w:ascii="Times New Roman" w:eastAsia="Times New Roman" w:hAnsi="Times New Roman" w:cs="Times New Roman"/>
          <w:sz w:val="24"/>
          <w:szCs w:val="24"/>
          <w:lang w:val="ru-RU" w:eastAsia="fr-FR"/>
        </w:rPr>
        <w:t xml:space="preserve">. Звичайне визначення </w:t>
      </w:r>
      <w:r>
        <w:rPr>
          <w:rFonts w:ascii="Times New Roman" w:eastAsia="Times New Roman" w:hAnsi="Times New Roman" w:cs="Times New Roman"/>
          <w:sz w:val="24"/>
          <w:szCs w:val="24"/>
          <w:lang w:val="ru-RU" w:eastAsia="fr-FR"/>
        </w:rPr>
        <w:t>р</w:t>
      </w:r>
      <w:r w:rsidRPr="005071BD">
        <w:rPr>
          <w:rFonts w:ascii="Times New Roman" w:eastAsia="Times New Roman" w:hAnsi="Times New Roman" w:cs="Times New Roman"/>
          <w:sz w:val="24"/>
          <w:szCs w:val="24"/>
          <w:lang w:val="ru-RU" w:eastAsia="fr-FR"/>
        </w:rPr>
        <w:t>ТЧ не вказує на жодні клінічно значущі антикоагулянт</w:t>
      </w:r>
      <w:r>
        <w:rPr>
          <w:rFonts w:ascii="Times New Roman" w:eastAsia="Times New Roman" w:hAnsi="Times New Roman" w:cs="Times New Roman"/>
          <w:sz w:val="24"/>
          <w:szCs w:val="24"/>
          <w:lang w:val="ru-RU" w:eastAsia="fr-FR"/>
        </w:rPr>
        <w:t>н</w:t>
      </w:r>
      <w:r w:rsidRPr="005071BD">
        <w:rPr>
          <w:rFonts w:ascii="Times New Roman" w:eastAsia="Times New Roman" w:hAnsi="Times New Roman" w:cs="Times New Roman"/>
          <w:sz w:val="24"/>
          <w:szCs w:val="24"/>
          <w:lang w:val="ru-RU" w:eastAsia="fr-FR"/>
        </w:rPr>
        <w:t>і впливи дабігатрану.</w:t>
      </w:r>
    </w:p>
    <w:p w:rsidR="009F1BC9" w:rsidRDefault="009F1BC9">
      <w:pPr>
        <w:spacing w:line="276" w:lineRule="auto"/>
        <w:rPr>
          <w:rFonts w:ascii="Times New Roman" w:hAnsi="Times New Roman" w:cs="Times New Roman"/>
          <w:sz w:val="24"/>
          <w:szCs w:val="24"/>
          <w:lang w:val="uk-UA"/>
        </w:rPr>
      </w:pPr>
    </w:p>
    <w:p w:rsidR="009D7485" w:rsidRDefault="009D7485" w:rsidP="00B23289">
      <w:pPr>
        <w:spacing w:after="0"/>
        <w:contextualSpacing/>
        <w:rPr>
          <w:rFonts w:ascii="Times New Roman" w:hAnsi="Times New Roman" w:cs="Times New Roman"/>
          <w:lang w:val="uk-UA"/>
        </w:rPr>
      </w:pPr>
    </w:p>
    <w:p w:rsidR="005071BD" w:rsidRDefault="005071BD" w:rsidP="005071BD">
      <w:pPr>
        <w:autoSpaceDE w:val="0"/>
        <w:autoSpaceDN w:val="0"/>
        <w:adjustRightInd w:val="0"/>
        <w:spacing w:after="340" w:line="221" w:lineRule="atLeast"/>
        <w:ind w:left="220"/>
        <w:rPr>
          <w:rFonts w:ascii="Times New Roman" w:hAnsi="Times New Roman" w:cs="Times New Roman"/>
          <w:b/>
          <w:bCs/>
          <w:sz w:val="24"/>
          <w:szCs w:val="24"/>
          <w:lang w:val="uk-UA"/>
        </w:rPr>
      </w:pPr>
      <w:r w:rsidRPr="00BD22FD">
        <w:rPr>
          <w:rFonts w:ascii="Times New Roman" w:hAnsi="Times New Roman" w:cs="Times New Roman"/>
          <w:b/>
          <w:bCs/>
          <w:sz w:val="24"/>
          <w:szCs w:val="24"/>
          <w:lang w:val="uk-UA"/>
        </w:rPr>
        <w:t>Таблиця 3 показує порогові значення коагуляційного т</w:t>
      </w:r>
      <w:r w:rsidR="00BD22FD">
        <w:rPr>
          <w:rFonts w:ascii="Times New Roman" w:hAnsi="Times New Roman" w:cs="Times New Roman"/>
          <w:b/>
          <w:bCs/>
          <w:sz w:val="24"/>
          <w:szCs w:val="24"/>
          <w:lang w:val="uk-UA"/>
        </w:rPr>
        <w:t>есту (тобто перед наступним при</w:t>
      </w:r>
      <w:r w:rsidRPr="00BD22FD">
        <w:rPr>
          <w:rFonts w:ascii="Times New Roman" w:hAnsi="Times New Roman" w:cs="Times New Roman"/>
          <w:b/>
          <w:bCs/>
          <w:sz w:val="24"/>
          <w:szCs w:val="24"/>
          <w:lang w:val="uk-UA"/>
        </w:rPr>
        <w:t>йомом препарату), що може бути пов’язано з підвищеним ризиком кровотечі. Зверніть увагу: у перші</w:t>
      </w:r>
      <w:r w:rsidR="00BD22FD">
        <w:rPr>
          <w:rFonts w:ascii="Times New Roman" w:hAnsi="Times New Roman" w:cs="Times New Roman"/>
          <w:b/>
          <w:bCs/>
          <w:sz w:val="24"/>
          <w:szCs w:val="24"/>
          <w:lang w:val="uk-UA"/>
        </w:rPr>
        <w:t xml:space="preserve"> </w:t>
      </w:r>
      <w:r w:rsidR="00BD22FD" w:rsidRPr="00BD22FD">
        <w:rPr>
          <w:rFonts w:ascii="Times New Roman" w:hAnsi="Times New Roman" w:cs="Times New Roman"/>
          <w:b/>
          <w:bCs/>
          <w:sz w:val="24"/>
          <w:szCs w:val="24"/>
          <w:lang w:val="uk-UA"/>
        </w:rPr>
        <w:t>2</w:t>
      </w:r>
      <w:r w:rsidR="00BD22FD">
        <w:rPr>
          <w:rFonts w:ascii="Times New Roman" w:hAnsi="Times New Roman" w:cs="Times New Roman"/>
          <w:b/>
          <w:bCs/>
          <w:sz w:val="24"/>
          <w:szCs w:val="24"/>
          <w:lang w:val="uk-UA"/>
        </w:rPr>
        <w:t>-</w:t>
      </w:r>
      <w:r w:rsidR="00BD22FD" w:rsidRPr="00BD22FD">
        <w:rPr>
          <w:rFonts w:ascii="Times New Roman" w:hAnsi="Times New Roman" w:cs="Times New Roman"/>
          <w:b/>
          <w:bCs/>
          <w:sz w:val="24"/>
          <w:szCs w:val="24"/>
          <w:lang w:val="uk-UA"/>
        </w:rPr>
        <w:t>3</w:t>
      </w:r>
      <w:r w:rsidRPr="00BD22FD">
        <w:rPr>
          <w:rFonts w:ascii="Times New Roman" w:hAnsi="Times New Roman" w:cs="Times New Roman"/>
          <w:b/>
          <w:bCs/>
          <w:sz w:val="24"/>
          <w:szCs w:val="24"/>
          <w:lang w:val="uk-UA"/>
        </w:rPr>
        <w:t xml:space="preserve"> дні після операції можуть бути виявлені помилкові тривалі показники.</w:t>
      </w:r>
      <w:r w:rsidR="00BD22FD" w:rsidRPr="00BD22FD">
        <w:rPr>
          <w:rFonts w:ascii="Times New Roman" w:hAnsi="Times New Roman" w:cs="Times New Roman"/>
          <w:b/>
          <w:bCs/>
          <w:sz w:val="24"/>
          <w:szCs w:val="24"/>
          <w:vertAlign w:val="superscript"/>
          <w:lang w:val="uk-UA"/>
        </w:rPr>
        <w:t>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3356"/>
      </w:tblGrid>
      <w:tr w:rsidR="00E4185D" w:rsidRPr="00FC64FB" w:rsidTr="0016764D">
        <w:trPr>
          <w:trHeight w:val="795"/>
        </w:trPr>
        <w:tc>
          <w:tcPr>
            <w:tcW w:w="3181" w:type="dxa"/>
          </w:tcPr>
          <w:p w:rsidR="00E4185D" w:rsidRPr="00FC64FB" w:rsidRDefault="00E4185D" w:rsidP="003A0F04">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lastRenderedPageBreak/>
              <w:t>Тест</w:t>
            </w:r>
            <w:proofErr w:type="spellEnd"/>
          </w:p>
        </w:tc>
        <w:tc>
          <w:tcPr>
            <w:tcW w:w="3356" w:type="dxa"/>
            <w:shd w:val="clear" w:color="auto" w:fill="auto"/>
          </w:tcPr>
          <w:p w:rsidR="00E4185D" w:rsidRPr="00227400" w:rsidRDefault="00E4185D">
            <w:pPr>
              <w:spacing w:line="276" w:lineRule="auto"/>
              <w:rPr>
                <w:rFonts w:ascii="Times New Roman" w:hAnsi="Times New Roman" w:cs="Times New Roman"/>
                <w:lang w:val="uk-UA"/>
              </w:rPr>
            </w:pPr>
            <w:r w:rsidRPr="00227400">
              <w:rPr>
                <w:rFonts w:ascii="Times New Roman" w:hAnsi="Times New Roman" w:cs="Times New Roman"/>
                <w:sz w:val="24"/>
                <w:lang w:val="uk-UA"/>
              </w:rPr>
              <w:t>Результат</w:t>
            </w:r>
          </w:p>
        </w:tc>
      </w:tr>
      <w:tr w:rsidR="00BD22FD" w:rsidRPr="00FC64FB" w:rsidTr="00E4185D">
        <w:tc>
          <w:tcPr>
            <w:tcW w:w="3181" w:type="dxa"/>
          </w:tcPr>
          <w:p w:rsidR="00BD22FD" w:rsidRPr="00FC64FB" w:rsidRDefault="00BD22FD" w:rsidP="003A0F04">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рТЧ</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нг</w:t>
            </w:r>
            <w:proofErr w:type="spellEnd"/>
            <w:r w:rsidRPr="00FC64FB">
              <w:rPr>
                <w:rFonts w:ascii="Times New Roman" w:eastAsia="Times New Roman" w:hAnsi="Times New Roman" w:cs="Times New Roman"/>
                <w:sz w:val="24"/>
                <w:szCs w:val="24"/>
                <w:lang w:eastAsia="fr-FR"/>
              </w:rPr>
              <w:t>/</w:t>
            </w:r>
            <w:proofErr w:type="spellStart"/>
            <w:r w:rsidRPr="00FC64FB">
              <w:rPr>
                <w:rFonts w:ascii="Times New Roman" w:eastAsia="Times New Roman" w:hAnsi="Times New Roman" w:cs="Times New Roman"/>
                <w:sz w:val="24"/>
                <w:szCs w:val="24"/>
                <w:lang w:eastAsia="fr-FR"/>
              </w:rPr>
              <w:t>мл</w:t>
            </w:r>
            <w:proofErr w:type="spellEnd"/>
            <w:r w:rsidRPr="00FC64FB">
              <w:rPr>
                <w:rFonts w:ascii="Times New Roman" w:eastAsia="Times New Roman" w:hAnsi="Times New Roman" w:cs="Times New Roman"/>
                <w:sz w:val="24"/>
                <w:szCs w:val="24"/>
                <w:lang w:eastAsia="fr-FR"/>
              </w:rPr>
              <w:t>]</w:t>
            </w:r>
          </w:p>
        </w:tc>
        <w:tc>
          <w:tcPr>
            <w:tcW w:w="3356" w:type="dxa"/>
          </w:tcPr>
          <w:p w:rsidR="00BD22FD" w:rsidRPr="004132AD" w:rsidRDefault="00BD22FD" w:rsidP="004132AD">
            <w:pPr>
              <w:spacing w:after="0"/>
              <w:rPr>
                <w:rFonts w:ascii="Times New Roman" w:eastAsia="Times New Roman" w:hAnsi="Times New Roman" w:cs="Times New Roman"/>
                <w:sz w:val="24"/>
                <w:szCs w:val="24"/>
                <w:lang w:val="uk-UA" w:eastAsia="fr-FR"/>
              </w:rPr>
            </w:pPr>
            <w:r w:rsidRPr="00FC64FB">
              <w:rPr>
                <w:rFonts w:ascii="Times New Roman" w:eastAsia="Times New Roman" w:hAnsi="Times New Roman" w:cs="Times New Roman"/>
                <w:sz w:val="24"/>
                <w:szCs w:val="24"/>
                <w:lang w:eastAsia="fr-FR"/>
              </w:rPr>
              <w:t xml:space="preserve">&gt; </w:t>
            </w:r>
            <w:r w:rsidR="004132AD">
              <w:rPr>
                <w:rFonts w:ascii="Times New Roman" w:eastAsia="Times New Roman" w:hAnsi="Times New Roman" w:cs="Times New Roman"/>
                <w:sz w:val="24"/>
                <w:szCs w:val="24"/>
                <w:lang w:val="uk-UA" w:eastAsia="fr-FR"/>
              </w:rPr>
              <w:t>200</w:t>
            </w:r>
          </w:p>
        </w:tc>
      </w:tr>
      <w:tr w:rsidR="004132AD" w:rsidRPr="00FC64FB" w:rsidTr="00E4185D">
        <w:tc>
          <w:tcPr>
            <w:tcW w:w="3181" w:type="dxa"/>
          </w:tcPr>
          <w:p w:rsidR="004132AD" w:rsidRPr="00BD22FD" w:rsidRDefault="004132AD" w:rsidP="003A0F04">
            <w:pPr>
              <w:spacing w:after="0"/>
              <w:rPr>
                <w:rFonts w:ascii="Times New Roman" w:eastAsia="Times New Roman" w:hAnsi="Times New Roman" w:cs="Times New Roman"/>
                <w:sz w:val="24"/>
                <w:szCs w:val="24"/>
                <w:lang w:val="ru-RU" w:eastAsia="fr-FR"/>
              </w:rPr>
            </w:pPr>
            <w:r w:rsidRPr="00BD22FD">
              <w:rPr>
                <w:rFonts w:ascii="Times New Roman" w:eastAsia="Times New Roman" w:hAnsi="Times New Roman" w:cs="Times New Roman"/>
                <w:sz w:val="24"/>
                <w:szCs w:val="24"/>
                <w:lang w:val="ru-RU" w:eastAsia="fr-FR"/>
              </w:rPr>
              <w:t xml:space="preserve">ЧЗК </w:t>
            </w:r>
            <w:r w:rsidRPr="00FC64FB">
              <w:rPr>
                <w:rFonts w:ascii="Times New Roman" w:eastAsia="Times New Roman" w:hAnsi="Times New Roman" w:cs="Times New Roman"/>
                <w:sz w:val="24"/>
                <w:szCs w:val="24"/>
                <w:lang w:val="ru-RU" w:eastAsia="fr-FR"/>
              </w:rPr>
              <w:t>[</w:t>
            </w:r>
            <w:r w:rsidRPr="00BD22FD">
              <w:rPr>
                <w:rFonts w:ascii="Times New Roman" w:eastAsia="Times New Roman" w:hAnsi="Times New Roman" w:cs="Times New Roman"/>
                <w:sz w:val="24"/>
                <w:szCs w:val="24"/>
                <w:lang w:val="ru-RU" w:eastAsia="fr-FR"/>
              </w:rPr>
              <w:t>х-кратна верхня межа норми</w:t>
            </w:r>
            <w:r w:rsidRPr="00FC64FB">
              <w:rPr>
                <w:rFonts w:ascii="Times New Roman" w:eastAsia="Times New Roman" w:hAnsi="Times New Roman" w:cs="Times New Roman"/>
                <w:sz w:val="24"/>
                <w:szCs w:val="24"/>
                <w:lang w:val="ru-RU" w:eastAsia="fr-FR"/>
              </w:rPr>
              <w:t>]</w:t>
            </w:r>
          </w:p>
        </w:tc>
        <w:tc>
          <w:tcPr>
            <w:tcW w:w="3356" w:type="dxa"/>
          </w:tcPr>
          <w:p w:rsidR="004132AD" w:rsidRPr="00FC64FB" w:rsidRDefault="004132AD" w:rsidP="004132A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&gt; 3</w:t>
            </w:r>
          </w:p>
        </w:tc>
      </w:tr>
      <w:tr w:rsidR="00BD22FD" w:rsidRPr="00FC64FB" w:rsidTr="00E4185D">
        <w:tc>
          <w:tcPr>
            <w:tcW w:w="3181" w:type="dxa"/>
          </w:tcPr>
          <w:p w:rsidR="00BD22FD" w:rsidRPr="00BD22FD" w:rsidRDefault="00BD22FD" w:rsidP="003A0F04">
            <w:pPr>
              <w:spacing w:after="0"/>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а</w:t>
            </w:r>
            <w:r w:rsidRPr="00BD22FD">
              <w:rPr>
                <w:rFonts w:ascii="Times New Roman" w:eastAsia="Times New Roman" w:hAnsi="Times New Roman" w:cs="Times New Roman"/>
                <w:sz w:val="24"/>
                <w:szCs w:val="24"/>
                <w:lang w:val="ru-RU" w:eastAsia="fr-FR"/>
              </w:rPr>
              <w:t xml:space="preserve">ЧТЧ </w:t>
            </w:r>
            <w:r w:rsidRPr="00FC64FB">
              <w:rPr>
                <w:rFonts w:ascii="Times New Roman" w:eastAsia="Times New Roman" w:hAnsi="Times New Roman" w:cs="Times New Roman"/>
                <w:sz w:val="24"/>
                <w:szCs w:val="24"/>
                <w:lang w:val="ru-RU" w:eastAsia="fr-FR"/>
              </w:rPr>
              <w:t>[</w:t>
            </w:r>
            <w:r w:rsidRPr="00BD22FD">
              <w:rPr>
                <w:rFonts w:ascii="Times New Roman" w:eastAsia="Times New Roman" w:hAnsi="Times New Roman" w:cs="Times New Roman"/>
                <w:sz w:val="24"/>
                <w:szCs w:val="24"/>
                <w:lang w:val="ru-RU" w:eastAsia="fr-FR"/>
              </w:rPr>
              <w:t>х-кратна верхня межа норми</w:t>
            </w:r>
            <w:r w:rsidRPr="00FC64FB">
              <w:rPr>
                <w:rFonts w:ascii="Times New Roman" w:eastAsia="Times New Roman" w:hAnsi="Times New Roman" w:cs="Times New Roman"/>
                <w:sz w:val="24"/>
                <w:szCs w:val="24"/>
                <w:lang w:val="ru-RU" w:eastAsia="fr-FR"/>
              </w:rPr>
              <w:t>]</w:t>
            </w:r>
          </w:p>
        </w:tc>
        <w:tc>
          <w:tcPr>
            <w:tcW w:w="3356" w:type="dxa"/>
          </w:tcPr>
          <w:p w:rsidR="00BD22FD" w:rsidRPr="004132AD" w:rsidRDefault="00BD22FD" w:rsidP="004132AD">
            <w:pPr>
              <w:spacing w:after="0"/>
              <w:rPr>
                <w:rFonts w:ascii="Times New Roman" w:eastAsia="Times New Roman" w:hAnsi="Times New Roman" w:cs="Times New Roman"/>
                <w:sz w:val="24"/>
                <w:szCs w:val="24"/>
                <w:lang w:val="uk-UA" w:eastAsia="fr-FR"/>
              </w:rPr>
            </w:pPr>
            <w:r w:rsidRPr="00FC64FB">
              <w:rPr>
                <w:rFonts w:ascii="Times New Roman" w:eastAsia="Times New Roman" w:hAnsi="Times New Roman" w:cs="Times New Roman"/>
                <w:sz w:val="24"/>
                <w:szCs w:val="24"/>
                <w:lang w:eastAsia="fr-FR"/>
              </w:rPr>
              <w:t xml:space="preserve">&gt; </w:t>
            </w:r>
            <w:r w:rsidR="004132AD">
              <w:rPr>
                <w:rFonts w:ascii="Times New Roman" w:eastAsia="Times New Roman" w:hAnsi="Times New Roman" w:cs="Times New Roman"/>
                <w:sz w:val="24"/>
                <w:szCs w:val="24"/>
                <w:lang w:val="uk-UA" w:eastAsia="fr-FR"/>
              </w:rPr>
              <w:t>2</w:t>
            </w:r>
          </w:p>
        </w:tc>
      </w:tr>
      <w:tr w:rsidR="00BD22FD" w:rsidRPr="00FC64FB" w:rsidTr="00E4185D">
        <w:tc>
          <w:tcPr>
            <w:tcW w:w="3181" w:type="dxa"/>
          </w:tcPr>
          <w:p w:rsidR="00BD22FD" w:rsidRPr="00FC64FB" w:rsidRDefault="00BD22FD" w:rsidP="003A0F04">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МНВ</w:t>
            </w:r>
          </w:p>
        </w:tc>
        <w:tc>
          <w:tcPr>
            <w:tcW w:w="3356" w:type="dxa"/>
          </w:tcPr>
          <w:p w:rsidR="00BD22FD" w:rsidRPr="00FC64FB" w:rsidRDefault="00BD22FD" w:rsidP="003A0F04">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не</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потрібно</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проводити</w:t>
            </w:r>
            <w:proofErr w:type="spellEnd"/>
          </w:p>
        </w:tc>
      </w:tr>
    </w:tbl>
    <w:p w:rsidR="004132AD" w:rsidRDefault="004132AD" w:rsidP="005071BD">
      <w:pPr>
        <w:spacing w:after="0"/>
        <w:contextualSpacing/>
        <w:rPr>
          <w:rFonts w:ascii="Times New Roman" w:hAnsi="Times New Roman" w:cs="Times New Roman"/>
          <w:b/>
          <w:bCs/>
          <w:sz w:val="24"/>
          <w:szCs w:val="24"/>
          <w:lang w:val="uk-UA"/>
        </w:rPr>
      </w:pPr>
    </w:p>
    <w:p w:rsidR="005071BD" w:rsidRDefault="005071BD" w:rsidP="005071BD">
      <w:pPr>
        <w:spacing w:after="0"/>
        <w:contextualSpacing/>
        <w:rPr>
          <w:rFonts w:ascii="Times New Roman" w:hAnsi="Times New Roman" w:cs="Times New Roman"/>
          <w:sz w:val="24"/>
          <w:szCs w:val="24"/>
          <w:lang w:val="uk-UA"/>
        </w:rPr>
      </w:pPr>
      <w:r w:rsidRPr="00BD22FD">
        <w:rPr>
          <w:rFonts w:ascii="Times New Roman" w:hAnsi="Times New Roman" w:cs="Times New Roman"/>
          <w:b/>
          <w:bCs/>
          <w:sz w:val="24"/>
          <w:szCs w:val="24"/>
          <w:lang w:val="uk-UA"/>
        </w:rPr>
        <w:t xml:space="preserve">Часова точка: </w:t>
      </w:r>
      <w:r w:rsidRPr="00BD22FD">
        <w:rPr>
          <w:rFonts w:ascii="Times New Roman" w:hAnsi="Times New Roman" w:cs="Times New Roman"/>
          <w:sz w:val="24"/>
          <w:szCs w:val="24"/>
          <w:lang w:val="uk-UA"/>
        </w:rPr>
        <w:t xml:space="preserve">антикоагулянтні параметри залежать від часу, коли брали пробу крові по відношенню до часу, коли попередня доза була прийнята. Проба крові, отримана через 2 години після прийому </w:t>
      </w:r>
      <w:r w:rsidR="00BD22FD">
        <w:rPr>
          <w:rFonts w:ascii="Times New Roman" w:hAnsi="Times New Roman" w:cs="Times New Roman"/>
          <w:sz w:val="24"/>
          <w:szCs w:val="24"/>
          <w:lang w:val="uk-UA"/>
        </w:rPr>
        <w:t>препарату Прадакса</w:t>
      </w:r>
      <w:r w:rsidRPr="00BD22FD">
        <w:rPr>
          <w:rFonts w:ascii="Times New Roman" w:hAnsi="Times New Roman" w:cs="Times New Roman"/>
          <w:sz w:val="24"/>
          <w:szCs w:val="24"/>
          <w:lang w:val="uk-UA"/>
        </w:rPr>
        <w:t xml:space="preserve">® — (пік рівня) матиме різні (більш високі) результати по всіх тестах згортання в порівнянні із зразком крові, взятої через </w:t>
      </w:r>
      <w:r w:rsidR="004132AD">
        <w:rPr>
          <w:rFonts w:ascii="Times New Roman" w:hAnsi="Times New Roman" w:cs="Times New Roman"/>
          <w:sz w:val="24"/>
          <w:szCs w:val="24"/>
          <w:lang w:val="uk-UA"/>
        </w:rPr>
        <w:t>10</w:t>
      </w:r>
      <w:r w:rsidRPr="00BD22FD">
        <w:rPr>
          <w:rFonts w:ascii="Times New Roman" w:hAnsi="Times New Roman" w:cs="Times New Roman"/>
          <w:sz w:val="24"/>
          <w:szCs w:val="24"/>
          <w:lang w:val="uk-UA"/>
        </w:rPr>
        <w:t>–</w:t>
      </w:r>
      <w:r w:rsidR="004132AD">
        <w:rPr>
          <w:rFonts w:ascii="Times New Roman" w:hAnsi="Times New Roman" w:cs="Times New Roman"/>
          <w:sz w:val="24"/>
          <w:szCs w:val="24"/>
          <w:lang w:val="uk-UA"/>
        </w:rPr>
        <w:t>16</w:t>
      </w:r>
      <w:r w:rsidRPr="00BD22FD">
        <w:rPr>
          <w:rFonts w:ascii="Times New Roman" w:hAnsi="Times New Roman" w:cs="Times New Roman"/>
          <w:sz w:val="24"/>
          <w:szCs w:val="24"/>
          <w:lang w:val="uk-UA"/>
        </w:rPr>
        <w:t xml:space="preserve"> годин після прийому тієї ж дози препарату</w:t>
      </w:r>
    </w:p>
    <w:p w:rsidR="00BD22FD" w:rsidRPr="00BD22FD" w:rsidRDefault="00BD22FD" w:rsidP="005071BD">
      <w:pPr>
        <w:spacing w:after="0"/>
        <w:contextualSpacing/>
        <w:rPr>
          <w:rFonts w:ascii="Times New Roman" w:hAnsi="Times New Roman" w:cs="Times New Roman"/>
          <w:sz w:val="24"/>
          <w:szCs w:val="24"/>
          <w:lang w:val="uk-UA"/>
        </w:rPr>
      </w:pPr>
    </w:p>
    <w:p w:rsidR="004E0C5C" w:rsidRDefault="004E0C5C">
      <w:pPr>
        <w:spacing w:line="276" w:lineRule="auto"/>
        <w:rPr>
          <w:rFonts w:ascii="Times New Roman" w:hAnsi="Times New Roman" w:cs="Times New Roman"/>
          <w:sz w:val="24"/>
          <w:szCs w:val="24"/>
          <w:lang w:val="uk-UA"/>
        </w:rPr>
      </w:pPr>
    </w:p>
    <w:p w:rsidR="00BD22FD" w:rsidRPr="00BD22FD" w:rsidRDefault="00BD22FD" w:rsidP="008F11E8">
      <w:pPr>
        <w:spacing w:after="0"/>
        <w:rPr>
          <w:rFonts w:ascii="Times New Roman" w:hAnsi="Times New Roman" w:cs="Times New Roman"/>
          <w:b/>
          <w:sz w:val="24"/>
          <w:szCs w:val="24"/>
          <w:lang w:val="uk-UA"/>
        </w:rPr>
      </w:pPr>
      <w:r w:rsidRPr="00BD22FD">
        <w:rPr>
          <w:rFonts w:ascii="Times New Roman" w:hAnsi="Times New Roman" w:cs="Times New Roman"/>
          <w:b/>
          <w:sz w:val="24"/>
          <w:szCs w:val="24"/>
          <w:lang w:val="uk-UA"/>
        </w:rPr>
        <w:t>Рекомендації у випадку передозування</w:t>
      </w:r>
    </w:p>
    <w:p w:rsidR="00BD22FD" w:rsidRPr="00227400" w:rsidRDefault="00BD22FD" w:rsidP="008F11E8">
      <w:pPr>
        <w:spacing w:after="0"/>
        <w:rPr>
          <w:lang w:val="ru-RU"/>
        </w:rPr>
      </w:pPr>
    </w:p>
    <w:p w:rsidR="00BD22FD" w:rsidRDefault="00450263" w:rsidP="008F11E8">
      <w:pPr>
        <w:spacing w:after="0"/>
        <w:contextualSpacing/>
        <w:rPr>
          <w:rFonts w:ascii="Times New Roman" w:eastAsia="Times New Roman" w:hAnsi="Times New Roman" w:cs="Times New Roman"/>
          <w:sz w:val="24"/>
          <w:szCs w:val="24"/>
          <w:lang w:val="ru-RU" w:eastAsia="de-DE"/>
        </w:rPr>
      </w:pPr>
      <w:r>
        <w:rPr>
          <w:rFonts w:ascii="Times New Roman" w:eastAsia="Times New Roman" w:hAnsi="Times New Roman" w:cs="Times New Roman"/>
          <w:sz w:val="24"/>
          <w:szCs w:val="24"/>
          <w:lang w:val="ru-RU" w:eastAsia="de-DE"/>
        </w:rPr>
        <w:t>Дози ПРАДАКСА</w:t>
      </w:r>
      <w:r w:rsidR="00BD22FD" w:rsidRPr="00BD22FD">
        <w:rPr>
          <w:rFonts w:ascii="Times New Roman" w:eastAsia="Times New Roman" w:hAnsi="Times New Roman" w:cs="Times New Roman"/>
          <w:sz w:val="24"/>
          <w:szCs w:val="24"/>
          <w:lang w:val="ru-RU" w:eastAsia="de-DE"/>
        </w:rPr>
        <w:t>, що перевищують рекомендовані, призводять до підвищення ризику кровотечі.</w:t>
      </w:r>
    </w:p>
    <w:p w:rsidR="00BD22FD" w:rsidRDefault="00BD22FD" w:rsidP="00BD22FD">
      <w:pPr>
        <w:tabs>
          <w:tab w:val="left" w:pos="7920"/>
        </w:tabs>
        <w:spacing w:after="0"/>
        <w:rPr>
          <w:rFonts w:ascii="Times New Roman" w:eastAsia="Times New Roman" w:hAnsi="Times New Roman" w:cs="Times New Roman"/>
          <w:sz w:val="24"/>
          <w:szCs w:val="24"/>
          <w:lang w:val="ru-RU" w:eastAsia="de-DE"/>
        </w:rPr>
      </w:pPr>
      <w:r w:rsidRPr="00BD22FD">
        <w:rPr>
          <w:rFonts w:ascii="Times New Roman" w:eastAsia="Times New Roman" w:hAnsi="Times New Roman" w:cs="Times New Roman"/>
          <w:sz w:val="24"/>
          <w:szCs w:val="24"/>
          <w:lang w:val="ru-RU" w:eastAsia="de-DE"/>
        </w:rPr>
        <w:t>У випадку підозри на передозування тест на коагуляцію може допомогти визначити ризик кровотечі. Надмірна протидія згортанню може потребувати припинення лікування препаратом ПРАДАКСА</w:t>
      </w:r>
      <w:r>
        <w:rPr>
          <w:rFonts w:ascii="Times New Roman" w:eastAsia="Times New Roman" w:hAnsi="Times New Roman" w:cs="Times New Roman"/>
          <w:sz w:val="24"/>
          <w:szCs w:val="24"/>
          <w:lang w:val="ru-RU" w:eastAsia="de-DE"/>
        </w:rPr>
        <w:t>®</w:t>
      </w:r>
      <w:r w:rsidRPr="00BD22FD">
        <w:rPr>
          <w:rFonts w:ascii="Times New Roman" w:eastAsia="Times New Roman" w:hAnsi="Times New Roman" w:cs="Times New Roman"/>
          <w:sz w:val="24"/>
          <w:szCs w:val="24"/>
          <w:lang w:val="ru-RU" w:eastAsia="de-DE"/>
        </w:rPr>
        <w:t xml:space="preserve">. </w:t>
      </w:r>
    </w:p>
    <w:p w:rsidR="00FF72FB" w:rsidRPr="00A1665B" w:rsidRDefault="00BD22FD" w:rsidP="00FF72FB">
      <w:pPr>
        <w:pStyle w:val="Default"/>
        <w:rPr>
          <w:rFonts w:ascii="Times New Roman" w:eastAsia="Times New Roman" w:hAnsi="Times New Roman" w:cs="Times New Roman"/>
          <w:color w:val="000000" w:themeColor="text1"/>
          <w:lang w:val="uk-UA" w:eastAsia="de-DE"/>
        </w:rPr>
      </w:pPr>
      <w:r w:rsidRPr="00A1665B">
        <w:rPr>
          <w:rFonts w:ascii="Times New Roman" w:eastAsia="Times New Roman" w:hAnsi="Times New Roman" w:cs="Times New Roman"/>
          <w:color w:val="000000" w:themeColor="text1"/>
          <w:lang w:val="ru-RU" w:eastAsia="de-DE"/>
        </w:rPr>
        <w:t xml:space="preserve">У разі геморагічних ускладнень лікування слід припинити та з’ясувати джерело кровотечі. Оскільки дабігатран виводиться головним чином нирками, то слід підтримувати адекватний діурез. </w:t>
      </w:r>
      <w:r w:rsidR="00E55DCE" w:rsidRPr="00A1665B">
        <w:rPr>
          <w:rFonts w:ascii="Times New Roman" w:eastAsia="Times New Roman" w:hAnsi="Times New Roman" w:cs="Times New Roman"/>
          <w:color w:val="000000" w:themeColor="text1"/>
          <w:lang w:val="ru-RU" w:eastAsia="de-DE"/>
        </w:rPr>
        <w:t xml:space="preserve">В </w:t>
      </w:r>
      <w:r w:rsidR="00E55DCE" w:rsidRPr="00A1665B">
        <w:rPr>
          <w:rFonts w:ascii="Times New Roman" w:eastAsia="Times New Roman" w:hAnsi="Times New Roman" w:cs="Times New Roman"/>
          <w:color w:val="000000" w:themeColor="text1"/>
          <w:lang w:val="uk-UA" w:eastAsia="de-DE"/>
        </w:rPr>
        <w:t>залежності від клінічної ситуації, слід розглянути необхідність проведення відповідного лікування, наприклад хірургічного гемостазу чи відновлення об’єму циркулюючої крові.</w:t>
      </w:r>
      <w:r w:rsidR="00E55DCE" w:rsidRPr="00A1665B">
        <w:rPr>
          <w:rFonts w:ascii="Times New Roman" w:eastAsia="Times New Roman" w:hAnsi="Times New Roman" w:cs="Times New Roman"/>
          <w:color w:val="000000" w:themeColor="text1"/>
          <w:vertAlign w:val="superscript"/>
          <w:lang w:val="uk-UA" w:eastAsia="de-DE"/>
        </w:rPr>
        <w:t>1,2</w:t>
      </w:r>
      <w:r w:rsidR="00FF72FB" w:rsidRPr="00A1665B">
        <w:rPr>
          <w:rFonts w:ascii="Calibri" w:hAnsi="Calibri" w:cs="Calibri"/>
          <w:color w:val="000000" w:themeColor="text1"/>
          <w:sz w:val="14"/>
          <w:szCs w:val="14"/>
          <w:lang w:val="uk-UA"/>
        </w:rPr>
        <w:t xml:space="preserve"> </w:t>
      </w:r>
      <w:r w:rsidR="00E55DCE" w:rsidRPr="00A1665B">
        <w:rPr>
          <w:rFonts w:ascii="Calibri" w:hAnsi="Calibri" w:cs="Calibri"/>
          <w:color w:val="000000" w:themeColor="text1"/>
          <w:sz w:val="14"/>
          <w:szCs w:val="14"/>
          <w:lang w:val="uk-UA"/>
        </w:rPr>
        <w:t xml:space="preserve"> </w:t>
      </w:r>
      <w:r w:rsidR="00E55DCE" w:rsidRPr="00A1665B">
        <w:rPr>
          <w:rFonts w:ascii="Times New Roman" w:eastAsia="Times New Roman" w:hAnsi="Times New Roman" w:cs="Times New Roman"/>
          <w:color w:val="000000" w:themeColor="text1"/>
          <w:lang w:val="ru-RU" w:eastAsia="de-DE"/>
        </w:rPr>
        <w:t>Або переглянути можливість застосування препаратів свіжої цільної крові</w:t>
      </w:r>
      <w:r w:rsidR="000344B0" w:rsidRPr="00A1665B">
        <w:rPr>
          <w:rFonts w:ascii="Times New Roman" w:eastAsia="Times New Roman" w:hAnsi="Times New Roman" w:cs="Times New Roman"/>
          <w:color w:val="000000" w:themeColor="text1"/>
          <w:lang w:val="ru-RU" w:eastAsia="de-DE"/>
        </w:rPr>
        <w:t>,</w:t>
      </w:r>
      <w:r w:rsidR="00E55DCE" w:rsidRPr="00A1665B">
        <w:rPr>
          <w:rFonts w:ascii="Times New Roman" w:eastAsia="Times New Roman" w:hAnsi="Times New Roman" w:cs="Times New Roman"/>
          <w:color w:val="000000" w:themeColor="text1"/>
          <w:lang w:val="ru-RU" w:eastAsia="de-DE"/>
        </w:rPr>
        <w:t xml:space="preserve"> свіжозамороженої плазми </w:t>
      </w:r>
      <w:r w:rsidR="000344B0" w:rsidRPr="00A1665B">
        <w:rPr>
          <w:rFonts w:ascii="Times New Roman" w:eastAsia="Times New Roman" w:hAnsi="Times New Roman" w:cs="Times New Roman"/>
          <w:color w:val="000000" w:themeColor="text1"/>
          <w:lang w:val="ru-RU" w:eastAsia="de-DE"/>
        </w:rPr>
        <w:t>та</w:t>
      </w:r>
      <w:r w:rsidR="00E55DCE" w:rsidRPr="00A1665B">
        <w:rPr>
          <w:rFonts w:ascii="Times New Roman" w:eastAsia="Times New Roman" w:hAnsi="Times New Roman" w:cs="Times New Roman"/>
          <w:color w:val="000000" w:themeColor="text1"/>
          <w:lang w:val="ru-RU" w:eastAsia="de-DE"/>
        </w:rPr>
        <w:t>/</w:t>
      </w:r>
      <w:r w:rsidR="000344B0" w:rsidRPr="00A1665B">
        <w:rPr>
          <w:rFonts w:ascii="Times New Roman" w:eastAsia="Times New Roman" w:hAnsi="Times New Roman" w:cs="Times New Roman"/>
          <w:color w:val="000000" w:themeColor="text1"/>
          <w:lang w:val="ru-RU" w:eastAsia="de-DE"/>
        </w:rPr>
        <w:t xml:space="preserve">або тромбоцитарний концентрат у випадках, коли </w:t>
      </w:r>
      <w:r w:rsidR="00961D6D" w:rsidRPr="00A1665B">
        <w:rPr>
          <w:rFonts w:ascii="Times New Roman" w:eastAsia="Times New Roman" w:hAnsi="Times New Roman" w:cs="Times New Roman"/>
          <w:color w:val="000000" w:themeColor="text1"/>
          <w:lang w:val="ru-RU" w:eastAsia="de-DE"/>
        </w:rPr>
        <w:t>є тромбоцитопенія або застосовувалися антиагреганти тривалої дії</w:t>
      </w:r>
      <w:r w:rsidR="00E55DCE" w:rsidRPr="00A1665B">
        <w:rPr>
          <w:rFonts w:ascii="Times New Roman" w:eastAsia="Times New Roman" w:hAnsi="Times New Roman" w:cs="Times New Roman"/>
          <w:color w:val="000000" w:themeColor="text1"/>
          <w:lang w:val="ru-RU" w:eastAsia="de-DE"/>
        </w:rPr>
        <w:t>.</w:t>
      </w:r>
      <w:r w:rsidR="00E55DCE" w:rsidRPr="00A1665B">
        <w:rPr>
          <w:rFonts w:ascii="Times New Roman" w:eastAsia="Times New Roman" w:hAnsi="Times New Roman" w:cs="Times New Roman"/>
          <w:color w:val="000000" w:themeColor="text1"/>
          <w:lang w:val="uk-UA" w:eastAsia="de-DE"/>
        </w:rPr>
        <w:t xml:space="preserve"> Все симптоматич</w:t>
      </w:r>
      <w:r w:rsidR="004E001A" w:rsidRPr="00A1665B">
        <w:rPr>
          <w:rFonts w:ascii="Times New Roman" w:eastAsia="Times New Roman" w:hAnsi="Times New Roman" w:cs="Times New Roman"/>
          <w:color w:val="000000" w:themeColor="text1"/>
          <w:lang w:val="uk-UA" w:eastAsia="de-DE"/>
        </w:rPr>
        <w:t>не лікування, повинно застосовуватись лише за рішенням лікаря.</w:t>
      </w:r>
    </w:p>
    <w:p w:rsidR="001919C5" w:rsidRPr="00A1665B" w:rsidRDefault="001919C5" w:rsidP="00FF72FB">
      <w:pPr>
        <w:pStyle w:val="Default"/>
        <w:rPr>
          <w:rFonts w:ascii="Times New Roman" w:eastAsia="Times New Roman" w:hAnsi="Times New Roman" w:cs="Times New Roman"/>
          <w:color w:val="000000" w:themeColor="text1"/>
          <w:lang w:val="uk-UA" w:eastAsia="de-DE"/>
        </w:rPr>
      </w:pPr>
    </w:p>
    <w:p w:rsidR="001919C5" w:rsidRPr="00A1665B" w:rsidRDefault="001919C5" w:rsidP="001919C5">
      <w:pPr>
        <w:spacing w:after="0"/>
        <w:rPr>
          <w:rFonts w:ascii="Times New Roman" w:eastAsia="Times New Roman" w:hAnsi="Times New Roman" w:cs="Times New Roman"/>
          <w:color w:val="000000" w:themeColor="text1"/>
          <w:sz w:val="24"/>
          <w:szCs w:val="24"/>
          <w:lang w:val="uk-UA" w:eastAsia="fr-FR"/>
        </w:rPr>
      </w:pPr>
      <w:r w:rsidRPr="00A1665B">
        <w:rPr>
          <w:rFonts w:ascii="Times New Roman" w:eastAsia="Times New Roman" w:hAnsi="Times New Roman" w:cs="Times New Roman"/>
          <w:color w:val="000000" w:themeColor="text1"/>
          <w:sz w:val="24"/>
          <w:szCs w:val="24"/>
          <w:lang w:val="uk-UA" w:eastAsia="fr-FR"/>
        </w:rPr>
        <w:t>В ситуаціях, коли необхідна швидка відміна антикоагуляційного ефекту препарату ПРАДАКСА, (ризик для життя або неконтрольованої кровотечі, або для невідкладної хірургія/ургентних процедур) - доступний специфічний препарат зворотної дії (</w:t>
      </w:r>
      <w:r w:rsidR="00082CE1" w:rsidRPr="00A1665B">
        <w:rPr>
          <w:rFonts w:ascii="Times New Roman" w:eastAsia="Times New Roman" w:hAnsi="Times New Roman" w:cs="Times New Roman"/>
          <w:color w:val="000000" w:themeColor="text1"/>
          <w:sz w:val="24"/>
          <w:szCs w:val="24"/>
          <w:lang w:val="uk-UA" w:eastAsia="fr-FR"/>
        </w:rPr>
        <w:t>ПРАКСБАЙНД</w:t>
      </w:r>
      <w:r w:rsidRPr="00A1665B">
        <w:rPr>
          <w:rFonts w:ascii="Times New Roman" w:eastAsia="Times New Roman" w:hAnsi="Times New Roman" w:cs="Times New Roman"/>
          <w:color w:val="000000" w:themeColor="text1"/>
          <w:sz w:val="24"/>
          <w:szCs w:val="24"/>
          <w:lang w:val="uk-UA" w:eastAsia="fr-FR"/>
        </w:rPr>
        <w:t>, ідаруц</w:t>
      </w:r>
      <w:r w:rsidR="00082CE1" w:rsidRPr="00A1665B">
        <w:rPr>
          <w:rFonts w:ascii="Times New Roman" w:eastAsia="Times New Roman" w:hAnsi="Times New Roman" w:cs="Times New Roman"/>
          <w:color w:val="000000" w:themeColor="text1"/>
          <w:sz w:val="24"/>
          <w:szCs w:val="24"/>
          <w:lang w:val="uk-UA" w:eastAsia="fr-FR"/>
        </w:rPr>
        <w:t>и</w:t>
      </w:r>
      <w:r w:rsidRPr="00A1665B">
        <w:rPr>
          <w:rFonts w:ascii="Times New Roman" w:eastAsia="Times New Roman" w:hAnsi="Times New Roman" w:cs="Times New Roman"/>
          <w:color w:val="000000" w:themeColor="text1"/>
          <w:sz w:val="24"/>
          <w:szCs w:val="24"/>
          <w:lang w:val="uk-UA" w:eastAsia="fr-FR"/>
        </w:rPr>
        <w:t>зумаб).</w:t>
      </w:r>
    </w:p>
    <w:p w:rsidR="001919C5" w:rsidRPr="00A1665B" w:rsidRDefault="001919C5" w:rsidP="00FF72FB">
      <w:pPr>
        <w:pStyle w:val="Default"/>
        <w:rPr>
          <w:rFonts w:ascii="Calibri" w:hAnsi="Calibri" w:cs="Calibri"/>
          <w:color w:val="000000" w:themeColor="text1"/>
          <w:sz w:val="22"/>
          <w:szCs w:val="22"/>
          <w:lang w:val="uk-UA"/>
        </w:rPr>
      </w:pPr>
    </w:p>
    <w:p w:rsidR="00820723" w:rsidRPr="00A1665B" w:rsidRDefault="00820723" w:rsidP="00820723">
      <w:pPr>
        <w:tabs>
          <w:tab w:val="left" w:pos="7920"/>
        </w:tabs>
        <w:spacing w:after="0"/>
        <w:rPr>
          <w:rFonts w:ascii="Times New Roman" w:eastAsia="Times New Roman" w:hAnsi="Times New Roman" w:cs="Times New Roman"/>
          <w:color w:val="000000" w:themeColor="text1"/>
          <w:sz w:val="24"/>
          <w:szCs w:val="24"/>
          <w:lang w:val="uk-UA" w:eastAsia="fr-FR"/>
        </w:rPr>
      </w:pPr>
      <w:r w:rsidRPr="00A1665B">
        <w:rPr>
          <w:rFonts w:ascii="Times New Roman" w:eastAsia="Times New Roman" w:hAnsi="Times New Roman" w:cs="Times New Roman"/>
          <w:color w:val="000000" w:themeColor="text1"/>
          <w:sz w:val="24"/>
          <w:szCs w:val="24"/>
          <w:lang w:val="uk-UA" w:eastAsia="fr-FR"/>
        </w:rPr>
        <w:t>Можуть розглядатися концентрати коагуляційних факторів (активовані або не активовані) або рекомбінантного фактора VIIа</w:t>
      </w:r>
      <w:r w:rsidR="00FF72FB" w:rsidRPr="00A1665B">
        <w:rPr>
          <w:rFonts w:ascii="Times New Roman" w:eastAsia="Times New Roman" w:hAnsi="Times New Roman" w:cs="Times New Roman"/>
          <w:color w:val="000000" w:themeColor="text1"/>
          <w:sz w:val="24"/>
          <w:szCs w:val="24"/>
          <w:lang w:val="uk-UA" w:eastAsia="fr-FR"/>
        </w:rPr>
        <w:t xml:space="preserve">. </w:t>
      </w:r>
      <w:r w:rsidRPr="00A1665B">
        <w:rPr>
          <w:rFonts w:ascii="Times New Roman" w:eastAsia="Times New Roman" w:hAnsi="Times New Roman" w:cs="Times New Roman"/>
          <w:color w:val="000000" w:themeColor="text1"/>
          <w:sz w:val="24"/>
          <w:szCs w:val="24"/>
          <w:lang w:val="uk-UA" w:eastAsia="fr-FR"/>
        </w:rPr>
        <w:t>Існують деякі експериментальні дані щодо підтримки ролі зазначених агентів у реверсуванні антикоагуляційного ефекту дабігатрану, але дані щодо їх користі в клінічних проявах, а також можливого ризику відновлення симптом</w:t>
      </w:r>
      <w:r w:rsidR="00082CE1" w:rsidRPr="00A1665B">
        <w:rPr>
          <w:rFonts w:ascii="Times New Roman" w:eastAsia="Times New Roman" w:hAnsi="Times New Roman" w:cs="Times New Roman"/>
          <w:color w:val="000000" w:themeColor="text1"/>
          <w:sz w:val="24"/>
          <w:szCs w:val="24"/>
          <w:lang w:val="uk-UA" w:eastAsia="fr-FR"/>
        </w:rPr>
        <w:t>ів тромбоемболії дуже обмежені.</w:t>
      </w:r>
    </w:p>
    <w:p w:rsidR="00FF72FB" w:rsidRPr="00A1665B" w:rsidRDefault="00820723" w:rsidP="00654F35">
      <w:pPr>
        <w:tabs>
          <w:tab w:val="left" w:pos="7920"/>
        </w:tabs>
        <w:spacing w:after="0"/>
        <w:rPr>
          <w:rFonts w:ascii="Times New Roman" w:eastAsia="Times New Roman" w:hAnsi="Times New Roman" w:cs="Times New Roman"/>
          <w:color w:val="000000" w:themeColor="text1"/>
          <w:sz w:val="24"/>
          <w:szCs w:val="24"/>
          <w:lang w:val="uk-UA" w:eastAsia="fr-FR"/>
        </w:rPr>
      </w:pPr>
      <w:r w:rsidRPr="00A1665B">
        <w:rPr>
          <w:rFonts w:ascii="Times New Roman" w:eastAsia="Times New Roman" w:hAnsi="Times New Roman" w:cs="Times New Roman"/>
          <w:color w:val="000000" w:themeColor="text1"/>
          <w:sz w:val="24"/>
          <w:szCs w:val="24"/>
          <w:lang w:val="uk-UA" w:eastAsia="fr-FR"/>
        </w:rPr>
        <w:t xml:space="preserve">Коагуляційні тести можуть стати недостовірними після застосування запропонованих </w:t>
      </w:r>
      <w:r w:rsidR="00654F35" w:rsidRPr="00A1665B">
        <w:rPr>
          <w:rFonts w:ascii="Times New Roman" w:eastAsia="Times New Roman" w:hAnsi="Times New Roman" w:cs="Times New Roman"/>
          <w:color w:val="000000" w:themeColor="text1"/>
          <w:sz w:val="24"/>
          <w:szCs w:val="24"/>
          <w:lang w:val="uk-UA" w:eastAsia="fr-FR"/>
        </w:rPr>
        <w:t>концентратів коагуляційних факторів</w:t>
      </w:r>
      <w:r w:rsidRPr="00A1665B">
        <w:rPr>
          <w:rFonts w:ascii="Times New Roman" w:eastAsia="Times New Roman" w:hAnsi="Times New Roman" w:cs="Times New Roman"/>
          <w:color w:val="000000" w:themeColor="text1"/>
          <w:sz w:val="24"/>
          <w:szCs w:val="24"/>
          <w:lang w:val="uk-UA" w:eastAsia="fr-FR"/>
        </w:rPr>
        <w:t>. Слід виявляти обережн</w:t>
      </w:r>
      <w:r w:rsidR="00082CE1" w:rsidRPr="00A1665B">
        <w:rPr>
          <w:rFonts w:ascii="Times New Roman" w:eastAsia="Times New Roman" w:hAnsi="Times New Roman" w:cs="Times New Roman"/>
          <w:color w:val="000000" w:themeColor="text1"/>
          <w:sz w:val="24"/>
          <w:szCs w:val="24"/>
          <w:lang w:val="uk-UA" w:eastAsia="fr-FR"/>
        </w:rPr>
        <w:t>ість при тлумаченні цих тестів.</w:t>
      </w:r>
    </w:p>
    <w:p w:rsidR="00FF72FB" w:rsidRPr="00A1665B" w:rsidRDefault="00FF72FB" w:rsidP="00FF72FB">
      <w:pPr>
        <w:autoSpaceDE w:val="0"/>
        <w:autoSpaceDN w:val="0"/>
        <w:adjustRightInd w:val="0"/>
        <w:spacing w:after="0"/>
        <w:rPr>
          <w:rFonts w:ascii="Times New Roman" w:eastAsia="Times New Roman" w:hAnsi="Times New Roman" w:cs="Times New Roman"/>
          <w:color w:val="000000" w:themeColor="text1"/>
          <w:sz w:val="24"/>
          <w:szCs w:val="24"/>
          <w:lang w:val="uk-UA" w:eastAsia="fr-FR"/>
        </w:rPr>
      </w:pPr>
    </w:p>
    <w:p w:rsidR="00654F35" w:rsidRPr="00A1665B" w:rsidRDefault="00654F35" w:rsidP="00654F35">
      <w:pPr>
        <w:tabs>
          <w:tab w:val="left" w:pos="7920"/>
        </w:tabs>
        <w:spacing w:after="0"/>
        <w:rPr>
          <w:rFonts w:ascii="Times New Roman" w:eastAsia="Times New Roman" w:hAnsi="Times New Roman" w:cs="Times New Roman"/>
          <w:color w:val="000000" w:themeColor="text1"/>
          <w:sz w:val="24"/>
          <w:szCs w:val="24"/>
          <w:lang w:val="uk-UA" w:eastAsia="fr-FR"/>
        </w:rPr>
      </w:pPr>
      <w:r w:rsidRPr="00A1665B">
        <w:rPr>
          <w:rFonts w:ascii="Times New Roman" w:eastAsia="Times New Roman" w:hAnsi="Times New Roman" w:cs="Times New Roman"/>
          <w:color w:val="000000" w:themeColor="text1"/>
          <w:sz w:val="24"/>
          <w:szCs w:val="24"/>
          <w:lang w:val="uk-UA" w:eastAsia="fr-FR"/>
        </w:rPr>
        <w:lastRenderedPageBreak/>
        <w:t>Оскільки зв’язування з білками плазми низьке, дабігатран може виводитися за допомогою діалізу; клінічний досвід застосування діалізу обмежений.</w:t>
      </w:r>
    </w:p>
    <w:p w:rsidR="00654F35" w:rsidRPr="00A1665B" w:rsidRDefault="00654F35" w:rsidP="00FF72FB">
      <w:pPr>
        <w:autoSpaceDE w:val="0"/>
        <w:autoSpaceDN w:val="0"/>
        <w:adjustRightInd w:val="0"/>
        <w:spacing w:after="0"/>
        <w:rPr>
          <w:rFonts w:ascii="Calibri" w:hAnsi="Calibri" w:cs="Calibri"/>
          <w:color w:val="000000" w:themeColor="text1"/>
          <w:lang w:val="uk-UA"/>
        </w:rPr>
      </w:pPr>
    </w:p>
    <w:p w:rsidR="00313979" w:rsidRPr="00A1665B" w:rsidRDefault="00313979" w:rsidP="00313979">
      <w:pPr>
        <w:tabs>
          <w:tab w:val="left" w:pos="7920"/>
        </w:tabs>
        <w:spacing w:after="0"/>
        <w:rPr>
          <w:rFonts w:ascii="Times New Roman" w:eastAsia="Times New Roman" w:hAnsi="Times New Roman" w:cs="Times New Roman"/>
          <w:color w:val="000000" w:themeColor="text1"/>
          <w:sz w:val="24"/>
          <w:szCs w:val="24"/>
          <w:lang w:val="uk-UA" w:eastAsia="fr-FR"/>
        </w:rPr>
      </w:pPr>
      <w:r w:rsidRPr="00A1665B">
        <w:rPr>
          <w:rFonts w:ascii="Times New Roman" w:eastAsia="Times New Roman" w:hAnsi="Times New Roman" w:cs="Times New Roman"/>
          <w:color w:val="000000" w:themeColor="text1"/>
          <w:sz w:val="24"/>
          <w:szCs w:val="24"/>
          <w:lang w:val="uk-UA" w:eastAsia="fr-FR"/>
        </w:rPr>
        <w:t>Консультація експерта з коагуляції може бути розглянута у випадку значної кровотечі (при наявності данного експерта).</w:t>
      </w:r>
    </w:p>
    <w:p w:rsidR="00313979" w:rsidRPr="00A1665B" w:rsidRDefault="00313979" w:rsidP="00FF72FB">
      <w:pPr>
        <w:autoSpaceDE w:val="0"/>
        <w:autoSpaceDN w:val="0"/>
        <w:adjustRightInd w:val="0"/>
        <w:spacing w:after="0"/>
        <w:rPr>
          <w:rFonts w:ascii="Calibri" w:hAnsi="Calibri" w:cs="Calibri"/>
          <w:color w:val="000000" w:themeColor="text1"/>
          <w:lang w:val="ru-RU"/>
        </w:rPr>
      </w:pPr>
    </w:p>
    <w:p w:rsidR="003113EE" w:rsidRPr="00A37F59" w:rsidRDefault="00A37F59" w:rsidP="0029557E">
      <w:pPr>
        <w:spacing w:line="276" w:lineRule="auto"/>
        <w:rPr>
          <w:rFonts w:ascii="Times New Roman" w:hAnsi="Times New Roman" w:cs="Times New Roman"/>
          <w:b/>
          <w:sz w:val="24"/>
          <w:szCs w:val="24"/>
          <w:lang w:val="ru-RU"/>
        </w:rPr>
      </w:pPr>
      <w:r>
        <w:rPr>
          <w:rFonts w:ascii="Times New Roman" w:hAnsi="Times New Roman" w:cs="Times New Roman"/>
          <w:b/>
          <w:sz w:val="24"/>
          <w:szCs w:val="24"/>
          <w:lang w:val="uk-UA"/>
        </w:rPr>
        <w:t>Прадакса</w:t>
      </w:r>
      <w:r w:rsidR="003113EE" w:rsidRPr="00A37F59">
        <w:rPr>
          <w:rFonts w:ascii="Times New Roman" w:hAnsi="Times New Roman" w:cs="Times New Roman"/>
          <w:b/>
          <w:sz w:val="24"/>
          <w:szCs w:val="24"/>
          <w:lang w:val="ru-RU"/>
        </w:rPr>
        <w:t xml:space="preserve">® </w:t>
      </w:r>
      <w:r>
        <w:rPr>
          <w:rFonts w:ascii="Times New Roman" w:hAnsi="Times New Roman" w:cs="Times New Roman"/>
          <w:b/>
          <w:sz w:val="24"/>
          <w:szCs w:val="24"/>
          <w:lang w:val="uk-UA"/>
        </w:rPr>
        <w:t>Картка-пам</w:t>
      </w:r>
      <w:r w:rsidRPr="00A37F59">
        <w:rPr>
          <w:rFonts w:ascii="Times New Roman" w:hAnsi="Times New Roman" w:cs="Times New Roman"/>
          <w:b/>
          <w:sz w:val="24"/>
          <w:szCs w:val="24"/>
          <w:lang w:val="ru-RU"/>
        </w:rPr>
        <w:t>’</w:t>
      </w:r>
      <w:r>
        <w:rPr>
          <w:rFonts w:ascii="Times New Roman" w:hAnsi="Times New Roman" w:cs="Times New Roman"/>
          <w:b/>
          <w:sz w:val="24"/>
          <w:szCs w:val="24"/>
          <w:lang w:val="uk-UA"/>
        </w:rPr>
        <w:t>ятка пацієнта</w:t>
      </w:r>
    </w:p>
    <w:p w:rsidR="000E67A6" w:rsidRDefault="00A37F59" w:rsidP="008F11E8">
      <w:pPr>
        <w:spacing w:after="0"/>
        <w:contextualSpacing/>
        <w:rPr>
          <w:rFonts w:ascii="Times New Roman" w:hAnsi="Times New Roman" w:cs="Times New Roman"/>
          <w:sz w:val="24"/>
          <w:szCs w:val="24"/>
          <w:lang w:val="uk-UA"/>
        </w:rPr>
      </w:pPr>
      <w:r w:rsidRPr="00A37F59">
        <w:rPr>
          <w:rFonts w:ascii="Times New Roman" w:hAnsi="Times New Roman" w:cs="Times New Roman"/>
          <w:sz w:val="24"/>
          <w:szCs w:val="24"/>
          <w:lang w:val="uk-UA"/>
        </w:rPr>
        <w:t xml:space="preserve">Пацієнту необхідно пояснити як вести </w:t>
      </w:r>
      <w:r>
        <w:rPr>
          <w:rFonts w:ascii="Times New Roman" w:hAnsi="Times New Roman" w:cs="Times New Roman"/>
          <w:sz w:val="24"/>
          <w:szCs w:val="24"/>
          <w:lang w:val="uk-UA"/>
        </w:rPr>
        <w:t>картку-пам</w:t>
      </w:r>
      <w:r w:rsidRPr="00A37F59">
        <w:rPr>
          <w:rFonts w:ascii="Times New Roman" w:hAnsi="Times New Roman" w:cs="Times New Roman"/>
          <w:sz w:val="24"/>
          <w:szCs w:val="24"/>
          <w:lang w:val="ru-RU"/>
        </w:rPr>
        <w:t>’</w:t>
      </w:r>
      <w:r>
        <w:rPr>
          <w:rFonts w:ascii="Times New Roman" w:hAnsi="Times New Roman" w:cs="Times New Roman"/>
          <w:sz w:val="24"/>
          <w:szCs w:val="24"/>
          <w:lang w:val="ru-RU"/>
        </w:rPr>
        <w:t>ятку</w:t>
      </w:r>
      <w:r>
        <w:rPr>
          <w:rFonts w:ascii="Times New Roman" w:hAnsi="Times New Roman" w:cs="Times New Roman"/>
          <w:sz w:val="24"/>
          <w:szCs w:val="24"/>
          <w:lang w:val="uk-UA"/>
        </w:rPr>
        <w:t xml:space="preserve"> </w:t>
      </w:r>
      <w:r w:rsidRPr="00A37F59">
        <w:rPr>
          <w:rFonts w:ascii="Times New Roman" w:hAnsi="Times New Roman" w:cs="Times New Roman"/>
          <w:sz w:val="24"/>
          <w:szCs w:val="24"/>
          <w:lang w:val="uk-UA"/>
        </w:rPr>
        <w:t>та в яких випадках надавати її лікар</w:t>
      </w:r>
      <w:r>
        <w:rPr>
          <w:rFonts w:ascii="Times New Roman" w:hAnsi="Times New Roman" w:cs="Times New Roman"/>
          <w:sz w:val="24"/>
          <w:szCs w:val="24"/>
          <w:lang w:val="uk-UA"/>
        </w:rPr>
        <w:t>ям. Пацієнт</w:t>
      </w:r>
      <w:r w:rsidR="000E67A6">
        <w:rPr>
          <w:rFonts w:ascii="Times New Roman" w:hAnsi="Times New Roman" w:cs="Times New Roman"/>
          <w:sz w:val="24"/>
          <w:szCs w:val="24"/>
          <w:lang w:val="uk-UA"/>
        </w:rPr>
        <w:t>у</w:t>
      </w:r>
      <w:r>
        <w:rPr>
          <w:rFonts w:ascii="Times New Roman" w:hAnsi="Times New Roman" w:cs="Times New Roman"/>
          <w:sz w:val="24"/>
          <w:szCs w:val="24"/>
          <w:lang w:val="uk-UA"/>
        </w:rPr>
        <w:t xml:space="preserve"> слід зберігати картку-пам</w:t>
      </w:r>
      <w:r w:rsidRPr="00A37F59">
        <w:rPr>
          <w:rFonts w:ascii="Times New Roman" w:hAnsi="Times New Roman" w:cs="Times New Roman"/>
          <w:sz w:val="24"/>
          <w:szCs w:val="24"/>
          <w:lang w:val="ru-RU"/>
        </w:rPr>
        <w:t>’</w:t>
      </w:r>
      <w:r>
        <w:rPr>
          <w:rFonts w:ascii="Times New Roman" w:hAnsi="Times New Roman" w:cs="Times New Roman"/>
          <w:sz w:val="24"/>
          <w:szCs w:val="24"/>
          <w:lang w:val="ru-RU"/>
        </w:rPr>
        <w:t>ятку</w:t>
      </w:r>
      <w:r>
        <w:rPr>
          <w:rFonts w:ascii="Times New Roman" w:hAnsi="Times New Roman" w:cs="Times New Roman"/>
          <w:sz w:val="24"/>
          <w:szCs w:val="24"/>
          <w:lang w:val="uk-UA"/>
        </w:rPr>
        <w:t xml:space="preserve"> весь час та </w:t>
      </w:r>
      <w:r w:rsidR="000E67A6">
        <w:rPr>
          <w:rFonts w:ascii="Times New Roman" w:hAnsi="Times New Roman" w:cs="Times New Roman"/>
          <w:sz w:val="24"/>
          <w:szCs w:val="24"/>
          <w:lang w:val="uk-UA"/>
        </w:rPr>
        <w:t xml:space="preserve">показувати її під час візиту до лікаря. </w:t>
      </w:r>
    </w:p>
    <w:p w:rsidR="000E67A6" w:rsidRDefault="000E67A6" w:rsidP="008F11E8">
      <w:pPr>
        <w:spacing w:after="0"/>
        <w:contextualSpacing/>
        <w:rPr>
          <w:rFonts w:ascii="Times New Roman" w:hAnsi="Times New Roman" w:cs="Times New Roman"/>
          <w:sz w:val="24"/>
          <w:szCs w:val="24"/>
          <w:lang w:val="uk-UA"/>
        </w:rPr>
      </w:pPr>
      <w:r>
        <w:rPr>
          <w:rFonts w:ascii="Times New Roman" w:hAnsi="Times New Roman" w:cs="Times New Roman"/>
          <w:sz w:val="24"/>
          <w:szCs w:val="24"/>
          <w:lang w:val="uk-UA"/>
        </w:rPr>
        <w:t>Пацієнт має бути проінформований про необхідність інформувати про скарги та ознаки кровотечі та під час звернення за медичною допомогою.</w:t>
      </w:r>
    </w:p>
    <w:p w:rsidR="009F1BC9" w:rsidRDefault="009F1BC9" w:rsidP="008F11E8">
      <w:pPr>
        <w:spacing w:after="0"/>
        <w:rPr>
          <w:rFonts w:ascii="Times New Roman" w:hAnsi="Times New Roman" w:cs="Times New Roman"/>
          <w:b/>
          <w:sz w:val="24"/>
          <w:szCs w:val="24"/>
          <w:lang w:val="uk-UA"/>
        </w:rPr>
      </w:pPr>
    </w:p>
    <w:p w:rsidR="0053486C" w:rsidRPr="00227400" w:rsidRDefault="00A37F59" w:rsidP="008F11E8">
      <w:pPr>
        <w:spacing w:after="0"/>
        <w:rPr>
          <w:rFonts w:ascii="Times New Roman" w:hAnsi="Times New Roman" w:cs="Times New Roman"/>
          <w:b/>
          <w:sz w:val="24"/>
          <w:szCs w:val="24"/>
          <w:lang w:val="ru-RU"/>
        </w:rPr>
      </w:pPr>
      <w:r w:rsidRPr="00A37F59">
        <w:rPr>
          <w:rFonts w:ascii="Times New Roman" w:hAnsi="Times New Roman" w:cs="Times New Roman"/>
          <w:b/>
          <w:sz w:val="24"/>
          <w:szCs w:val="24"/>
          <w:lang w:val="uk-UA"/>
        </w:rPr>
        <w:t>Посилання</w:t>
      </w:r>
      <w:r w:rsidR="00B845EE" w:rsidRPr="00227400">
        <w:rPr>
          <w:rFonts w:ascii="Times New Roman" w:hAnsi="Times New Roman" w:cs="Times New Roman"/>
          <w:b/>
          <w:sz w:val="24"/>
          <w:szCs w:val="24"/>
          <w:lang w:val="ru-RU"/>
        </w:rPr>
        <w:t>:</w:t>
      </w:r>
    </w:p>
    <w:p w:rsidR="00EF1945" w:rsidRPr="00A37F59" w:rsidRDefault="00EF1945" w:rsidP="00EF1945">
      <w:pPr>
        <w:spacing w:after="0"/>
        <w:rPr>
          <w:rFonts w:ascii="Times New Roman" w:hAnsi="Times New Roman" w:cs="Times New Roman"/>
          <w:sz w:val="24"/>
          <w:szCs w:val="24"/>
          <w:lang w:val="de-DE"/>
        </w:rPr>
      </w:pPr>
      <w:r w:rsidRPr="00A37F59">
        <w:rPr>
          <w:rFonts w:ascii="Times New Roman" w:hAnsi="Times New Roman" w:cs="Times New Roman"/>
          <w:sz w:val="24"/>
          <w:szCs w:val="24"/>
          <w:lang w:val="ru-RU"/>
        </w:rPr>
        <w:t xml:space="preserve">1. </w:t>
      </w:r>
      <w:r w:rsidR="00A37F59" w:rsidRPr="00A37F59">
        <w:rPr>
          <w:rFonts w:ascii="Times New Roman" w:hAnsi="Times New Roman" w:cs="Times New Roman"/>
          <w:sz w:val="24"/>
          <w:szCs w:val="24"/>
          <w:lang w:val="uk-UA"/>
        </w:rPr>
        <w:t>Інструкція для медичного застосування препарату Прадакса</w:t>
      </w:r>
      <w:r w:rsidRPr="00A37F59">
        <w:rPr>
          <w:rFonts w:ascii="Times New Roman" w:hAnsi="Times New Roman" w:cs="Times New Roman"/>
          <w:sz w:val="24"/>
          <w:szCs w:val="24"/>
          <w:lang w:val="ru-RU"/>
        </w:rPr>
        <w:t>®</w:t>
      </w:r>
      <w:r w:rsidRPr="00A37F59">
        <w:rPr>
          <w:rFonts w:ascii="Times New Roman" w:hAnsi="Times New Roman" w:cs="Times New Roman"/>
          <w:sz w:val="24"/>
          <w:szCs w:val="24"/>
          <w:lang w:val="de-DE"/>
        </w:rPr>
        <w:t>.</w:t>
      </w:r>
    </w:p>
    <w:p w:rsidR="00EF1945" w:rsidRPr="00A37F59" w:rsidRDefault="00EF1945" w:rsidP="00EF1945">
      <w:pPr>
        <w:spacing w:after="0"/>
        <w:rPr>
          <w:rFonts w:ascii="Times New Roman" w:hAnsi="Times New Roman" w:cs="Times New Roman"/>
          <w:sz w:val="24"/>
          <w:szCs w:val="24"/>
        </w:rPr>
      </w:pPr>
      <w:r w:rsidRPr="00A37F59">
        <w:rPr>
          <w:rFonts w:ascii="Times New Roman" w:hAnsi="Times New Roman" w:cs="Times New Roman"/>
          <w:sz w:val="24"/>
          <w:szCs w:val="24"/>
          <w:lang w:val="de-DE"/>
        </w:rPr>
        <w:t xml:space="preserve">2. van Ryn J </w:t>
      </w:r>
      <w:r w:rsidRPr="00A37F59">
        <w:rPr>
          <w:rFonts w:ascii="Times New Roman" w:hAnsi="Times New Roman" w:cs="Times New Roman"/>
          <w:i/>
          <w:sz w:val="24"/>
          <w:szCs w:val="24"/>
          <w:lang w:val="de-DE"/>
        </w:rPr>
        <w:t xml:space="preserve">et al. </w:t>
      </w:r>
      <w:proofErr w:type="spellStart"/>
      <w:r w:rsidRPr="00A37F59">
        <w:rPr>
          <w:rFonts w:ascii="Times New Roman" w:hAnsi="Times New Roman" w:cs="Times New Roman"/>
          <w:i/>
          <w:sz w:val="24"/>
          <w:szCs w:val="24"/>
        </w:rPr>
        <w:t>Thromb</w:t>
      </w:r>
      <w:proofErr w:type="spellEnd"/>
      <w:r w:rsidRPr="00A37F59">
        <w:rPr>
          <w:rFonts w:ascii="Times New Roman" w:hAnsi="Times New Roman" w:cs="Times New Roman"/>
          <w:i/>
          <w:sz w:val="24"/>
          <w:szCs w:val="24"/>
        </w:rPr>
        <w:t xml:space="preserve"> </w:t>
      </w:r>
      <w:proofErr w:type="spellStart"/>
      <w:r w:rsidRPr="00A37F59">
        <w:rPr>
          <w:rFonts w:ascii="Times New Roman" w:hAnsi="Times New Roman" w:cs="Times New Roman"/>
          <w:i/>
          <w:sz w:val="24"/>
          <w:szCs w:val="24"/>
        </w:rPr>
        <w:t>Haemost</w:t>
      </w:r>
      <w:proofErr w:type="spellEnd"/>
      <w:r w:rsidRPr="00A37F59">
        <w:rPr>
          <w:rFonts w:ascii="Times New Roman" w:hAnsi="Times New Roman" w:cs="Times New Roman"/>
          <w:sz w:val="24"/>
          <w:szCs w:val="24"/>
        </w:rPr>
        <w:t xml:space="preserve"> 2010; </w:t>
      </w:r>
      <w:r w:rsidRPr="00A37F59">
        <w:rPr>
          <w:rFonts w:ascii="Times New Roman" w:hAnsi="Times New Roman" w:cs="Times New Roman"/>
          <w:b/>
          <w:sz w:val="24"/>
          <w:szCs w:val="24"/>
        </w:rPr>
        <w:t>103</w:t>
      </w:r>
      <w:r w:rsidRPr="00A37F59">
        <w:rPr>
          <w:rFonts w:ascii="Times New Roman" w:hAnsi="Times New Roman" w:cs="Times New Roman"/>
          <w:sz w:val="24"/>
          <w:szCs w:val="24"/>
        </w:rPr>
        <w:t>:1116–1127.</w:t>
      </w:r>
    </w:p>
    <w:p w:rsidR="00EF1945" w:rsidRDefault="00D46783" w:rsidP="00EF1945">
      <w:pPr>
        <w:spacing w:after="0"/>
        <w:rPr>
          <w:rFonts w:ascii="Times New Roman" w:hAnsi="Times New Roman" w:cs="Times New Roman"/>
          <w:sz w:val="24"/>
          <w:szCs w:val="24"/>
        </w:rPr>
      </w:pPr>
      <w:proofErr w:type="gramStart"/>
      <w:r w:rsidRPr="00A37F59">
        <w:rPr>
          <w:rFonts w:ascii="Times New Roman" w:hAnsi="Times New Roman" w:cs="Times New Roman"/>
          <w:sz w:val="24"/>
          <w:szCs w:val="24"/>
        </w:rPr>
        <w:t xml:space="preserve">3. </w:t>
      </w:r>
      <w:proofErr w:type="spellStart"/>
      <w:r w:rsidRPr="00A37F59">
        <w:rPr>
          <w:rFonts w:ascii="Times New Roman" w:hAnsi="Times New Roman" w:cs="Times New Roman"/>
          <w:sz w:val="24"/>
          <w:szCs w:val="24"/>
        </w:rPr>
        <w:t>Liesenfeld</w:t>
      </w:r>
      <w:proofErr w:type="spellEnd"/>
      <w:r w:rsidRPr="00A37F59">
        <w:rPr>
          <w:rFonts w:ascii="Times New Roman" w:hAnsi="Times New Roman" w:cs="Times New Roman"/>
          <w:sz w:val="24"/>
          <w:szCs w:val="24"/>
        </w:rPr>
        <w:t xml:space="preserve"> K-H </w:t>
      </w:r>
      <w:r w:rsidRPr="00A37F59">
        <w:rPr>
          <w:rFonts w:ascii="Times New Roman" w:hAnsi="Times New Roman" w:cs="Times New Roman"/>
          <w:i/>
          <w:sz w:val="24"/>
          <w:szCs w:val="24"/>
        </w:rPr>
        <w:t xml:space="preserve">et al. </w:t>
      </w:r>
      <w:r w:rsidR="00EF1945" w:rsidRPr="00A37F59">
        <w:rPr>
          <w:rFonts w:ascii="Times New Roman" w:hAnsi="Times New Roman" w:cs="Times New Roman"/>
          <w:i/>
          <w:sz w:val="24"/>
          <w:szCs w:val="24"/>
        </w:rPr>
        <w:t xml:space="preserve">Br J </w:t>
      </w:r>
      <w:proofErr w:type="spellStart"/>
      <w:r w:rsidR="00EF1945" w:rsidRPr="00A37F59">
        <w:rPr>
          <w:rFonts w:ascii="Times New Roman" w:hAnsi="Times New Roman" w:cs="Times New Roman"/>
          <w:i/>
          <w:sz w:val="24"/>
          <w:szCs w:val="24"/>
        </w:rPr>
        <w:t>Clin</w:t>
      </w:r>
      <w:proofErr w:type="spellEnd"/>
      <w:r w:rsidR="00EF1945" w:rsidRPr="00A37F59">
        <w:rPr>
          <w:rFonts w:ascii="Times New Roman" w:hAnsi="Times New Roman" w:cs="Times New Roman"/>
          <w:i/>
          <w:sz w:val="24"/>
          <w:szCs w:val="24"/>
        </w:rPr>
        <w:t xml:space="preserve"> </w:t>
      </w:r>
      <w:proofErr w:type="spellStart"/>
      <w:r w:rsidR="00EF1945" w:rsidRPr="00A37F59">
        <w:rPr>
          <w:rFonts w:ascii="Times New Roman" w:hAnsi="Times New Roman" w:cs="Times New Roman"/>
          <w:i/>
          <w:sz w:val="24"/>
          <w:szCs w:val="24"/>
        </w:rPr>
        <w:t>Pharmacol</w:t>
      </w:r>
      <w:proofErr w:type="spellEnd"/>
      <w:r w:rsidR="00EF1945" w:rsidRPr="00A37F59">
        <w:rPr>
          <w:rFonts w:ascii="Times New Roman" w:hAnsi="Times New Roman" w:cs="Times New Roman"/>
          <w:sz w:val="24"/>
          <w:szCs w:val="24"/>
        </w:rPr>
        <w:t xml:space="preserve"> 2006; </w:t>
      </w:r>
      <w:r w:rsidR="00EF1945" w:rsidRPr="00A37F59">
        <w:rPr>
          <w:rFonts w:ascii="Times New Roman" w:hAnsi="Times New Roman" w:cs="Times New Roman"/>
          <w:b/>
          <w:sz w:val="24"/>
          <w:szCs w:val="24"/>
        </w:rPr>
        <w:t>62</w:t>
      </w:r>
      <w:r w:rsidR="00EF1945" w:rsidRPr="00A37F59">
        <w:rPr>
          <w:rFonts w:ascii="Times New Roman" w:hAnsi="Times New Roman" w:cs="Times New Roman"/>
          <w:sz w:val="24"/>
          <w:szCs w:val="24"/>
        </w:rPr>
        <w:t>:527–537.</w:t>
      </w:r>
      <w:proofErr w:type="gramEnd"/>
    </w:p>
    <w:p w:rsidR="00576944" w:rsidRPr="00A37F59" w:rsidRDefault="00576944" w:rsidP="00EF1945">
      <w:pPr>
        <w:spacing w:after="0"/>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A37F59">
        <w:rPr>
          <w:rFonts w:ascii="Times New Roman" w:hAnsi="Times New Roman" w:cs="Times New Roman"/>
          <w:sz w:val="24"/>
          <w:szCs w:val="24"/>
        </w:rPr>
        <w:t>Stangier</w:t>
      </w:r>
      <w:proofErr w:type="spellEnd"/>
      <w:r w:rsidRPr="00A37F59">
        <w:rPr>
          <w:rFonts w:ascii="Times New Roman" w:hAnsi="Times New Roman" w:cs="Times New Roman"/>
          <w:sz w:val="24"/>
          <w:szCs w:val="24"/>
        </w:rPr>
        <w:t xml:space="preserve"> J </w:t>
      </w:r>
      <w:r w:rsidRPr="00A37F59">
        <w:rPr>
          <w:rFonts w:ascii="Times New Roman" w:hAnsi="Times New Roman" w:cs="Times New Roman"/>
          <w:i/>
          <w:sz w:val="24"/>
          <w:szCs w:val="24"/>
        </w:rPr>
        <w:t xml:space="preserve">et al. Br J </w:t>
      </w:r>
      <w:proofErr w:type="spellStart"/>
      <w:r w:rsidRPr="00A37F59">
        <w:rPr>
          <w:rFonts w:ascii="Times New Roman" w:hAnsi="Times New Roman" w:cs="Times New Roman"/>
          <w:i/>
          <w:sz w:val="24"/>
          <w:szCs w:val="24"/>
        </w:rPr>
        <w:t>Clin</w:t>
      </w:r>
      <w:proofErr w:type="spellEnd"/>
      <w:r w:rsidRPr="00A37F59">
        <w:rPr>
          <w:rFonts w:ascii="Times New Roman" w:hAnsi="Times New Roman" w:cs="Times New Roman"/>
          <w:i/>
          <w:sz w:val="24"/>
          <w:szCs w:val="24"/>
        </w:rPr>
        <w:t xml:space="preserve"> </w:t>
      </w:r>
      <w:proofErr w:type="spellStart"/>
      <w:r w:rsidRPr="00A37F59">
        <w:rPr>
          <w:rFonts w:ascii="Times New Roman" w:hAnsi="Times New Roman" w:cs="Times New Roman"/>
          <w:i/>
          <w:sz w:val="24"/>
          <w:szCs w:val="24"/>
        </w:rPr>
        <w:t>Pharmacol</w:t>
      </w:r>
      <w:proofErr w:type="spellEnd"/>
      <w:r w:rsidRPr="00A37F59">
        <w:rPr>
          <w:rFonts w:ascii="Times New Roman" w:hAnsi="Times New Roman" w:cs="Times New Roman"/>
          <w:sz w:val="24"/>
          <w:szCs w:val="24"/>
        </w:rPr>
        <w:t xml:space="preserve"> 2007; </w:t>
      </w:r>
      <w:r w:rsidRPr="00A37F59">
        <w:rPr>
          <w:rFonts w:ascii="Times New Roman" w:hAnsi="Times New Roman" w:cs="Times New Roman"/>
          <w:b/>
          <w:sz w:val="24"/>
          <w:szCs w:val="24"/>
        </w:rPr>
        <w:t>64</w:t>
      </w:r>
      <w:r w:rsidRPr="00A37F59">
        <w:rPr>
          <w:rFonts w:ascii="Times New Roman" w:hAnsi="Times New Roman" w:cs="Times New Roman"/>
          <w:sz w:val="24"/>
          <w:szCs w:val="24"/>
        </w:rPr>
        <w:t>:292–303.</w:t>
      </w:r>
    </w:p>
    <w:p w:rsidR="002A6870" w:rsidRDefault="002A6870" w:rsidP="00807DCB">
      <w:pPr>
        <w:tabs>
          <w:tab w:val="left" w:pos="6400"/>
        </w:tabs>
        <w:rPr>
          <w:rFonts w:ascii="Times New Roman" w:hAnsi="Times New Roman" w:cs="Times New Roman"/>
          <w:sz w:val="24"/>
          <w:szCs w:val="24"/>
          <w:lang w:val="uk-UA"/>
        </w:rPr>
      </w:pPr>
    </w:p>
    <w:p w:rsidR="00EF1945" w:rsidRPr="00A1665B" w:rsidRDefault="002A6870" w:rsidP="00807DCB">
      <w:pPr>
        <w:tabs>
          <w:tab w:val="left" w:pos="6400"/>
        </w:tabs>
        <w:rPr>
          <w:rFonts w:ascii="Times New Roman" w:hAnsi="Times New Roman" w:cs="Times New Roman"/>
          <w:color w:val="000000" w:themeColor="text1"/>
          <w:sz w:val="24"/>
          <w:szCs w:val="24"/>
          <w:lang w:val="uk-UA"/>
        </w:rPr>
      </w:pPr>
      <w:bookmarkStart w:id="0" w:name="_GoBack"/>
      <w:r w:rsidRPr="00A1665B">
        <w:rPr>
          <w:color w:val="000000" w:themeColor="text1"/>
        </w:rPr>
        <w:t>PRADAXA® is a registered trademark of Boehringer Ingelheim Pharma GmbH and Co. KG and used under license.</w:t>
      </w:r>
      <w:bookmarkEnd w:id="0"/>
    </w:p>
    <w:sectPr w:rsidR="00EF1945" w:rsidRPr="00A1665B" w:rsidSect="004132AD">
      <w:headerReference w:type="default" r:id="rId9"/>
      <w:pgSz w:w="12240" w:h="15840"/>
      <w:pgMar w:top="1440" w:right="1440" w:bottom="851"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AD53BF" w15:done="0"/>
  <w15:commentEx w15:paraId="03D64C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1A" w:rsidRDefault="0090611A" w:rsidP="001B4D54">
      <w:pPr>
        <w:spacing w:after="0"/>
      </w:pPr>
      <w:r>
        <w:separator/>
      </w:r>
    </w:p>
  </w:endnote>
  <w:endnote w:type="continuationSeparator" w:id="0">
    <w:p w:rsidR="0090611A" w:rsidRDefault="0090611A" w:rsidP="001B4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 Medium">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vantGardeC">
    <w:altName w:val="Arial"/>
    <w:panose1 w:val="00000000000000000000"/>
    <w:charset w:val="CC"/>
    <w:family w:val="swiss"/>
    <w:notTrueType/>
    <w:pitch w:val="default"/>
    <w:sig w:usb0="00000001" w:usb1="00000000" w:usb2="00000000" w:usb3="00000000" w:csb0="00000005" w:csb1="00000000"/>
  </w:font>
  <w:font w:name="AvantGardeGothicC">
    <w:altName w:val="Arial"/>
    <w:panose1 w:val="00000000000000000000"/>
    <w:charset w:val="00"/>
    <w:family w:val="swiss"/>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1A" w:rsidRDefault="0090611A" w:rsidP="001B4D54">
      <w:pPr>
        <w:spacing w:after="0"/>
      </w:pPr>
      <w:r>
        <w:separator/>
      </w:r>
    </w:p>
  </w:footnote>
  <w:footnote w:type="continuationSeparator" w:id="0">
    <w:p w:rsidR="0090611A" w:rsidRDefault="0090611A" w:rsidP="001B4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BD" w:rsidRPr="006C3CED" w:rsidRDefault="005071BD" w:rsidP="001B4D54">
    <w:pPr>
      <w:spacing w:after="0"/>
      <w:outlineLvl w:val="0"/>
      <w:rPr>
        <w:sz w:val="20"/>
        <w:szCs w:val="20"/>
        <w:lang w:val="nb-NO"/>
      </w:rPr>
    </w:pPr>
    <w:r w:rsidRPr="006C3CED">
      <w:rPr>
        <w:sz w:val="20"/>
        <w:szCs w:val="20"/>
        <w:lang w:val="nb-NO"/>
      </w:rPr>
      <w:t>Boehringer Ingelheim</w:t>
    </w:r>
  </w:p>
  <w:p w:rsidR="005071BD" w:rsidRPr="004132AD" w:rsidRDefault="004132AD">
    <w:pPr>
      <w:pStyle w:val="Header"/>
      <w:rPr>
        <w:rFonts w:ascii="Times New Roman" w:hAnsi="Times New Roman" w:cs="Times New Roman"/>
        <w:lang w:val="nb-NO"/>
      </w:rPr>
    </w:pPr>
    <w:r w:rsidRPr="004132AD">
      <w:rPr>
        <w:rFonts w:ascii="Times New Roman" w:eastAsia="Times New Roman" w:hAnsi="Times New Roman" w:cs="Times New Roman"/>
        <w:i/>
        <w:sz w:val="24"/>
        <w:szCs w:val="24"/>
        <w:lang w:val="ru-RU" w:eastAsia="de-DE"/>
      </w:rPr>
      <w:t>ІНФП, ТГВ/ЛЕ</w:t>
    </w:r>
    <w:r w:rsidR="00807DCB" w:rsidRPr="004132AD">
      <w:rPr>
        <w:rFonts w:ascii="Times New Roman" w:hAnsi="Times New Roman" w:cs="Times New Roman"/>
        <w:lang w:val="uk-UA"/>
      </w:rPr>
      <w:t xml:space="preserve"> Керівництво для медичних працівників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759"/>
    <w:multiLevelType w:val="hybridMultilevel"/>
    <w:tmpl w:val="0770938E"/>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168"/>
    <w:multiLevelType w:val="hybridMultilevel"/>
    <w:tmpl w:val="F11EB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982175"/>
    <w:multiLevelType w:val="hybridMultilevel"/>
    <w:tmpl w:val="7CD8022C"/>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93EEF"/>
    <w:multiLevelType w:val="hybridMultilevel"/>
    <w:tmpl w:val="5D4EF0C2"/>
    <w:lvl w:ilvl="0" w:tplc="47E4746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A15000"/>
    <w:multiLevelType w:val="hybridMultilevel"/>
    <w:tmpl w:val="DEB418CC"/>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120B5"/>
    <w:multiLevelType w:val="hybridMultilevel"/>
    <w:tmpl w:val="289667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BFC619D"/>
    <w:multiLevelType w:val="hybridMultilevel"/>
    <w:tmpl w:val="EBA82D7E"/>
    <w:lvl w:ilvl="0" w:tplc="C306601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4594B"/>
    <w:multiLevelType w:val="hybridMultilevel"/>
    <w:tmpl w:val="6A4412D4"/>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050C69"/>
    <w:multiLevelType w:val="hybridMultilevel"/>
    <w:tmpl w:val="926A5A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8216622"/>
    <w:multiLevelType w:val="hybridMultilevel"/>
    <w:tmpl w:val="0128A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9755EF7"/>
    <w:multiLevelType w:val="hybridMultilevel"/>
    <w:tmpl w:val="D07A784E"/>
    <w:lvl w:ilvl="0" w:tplc="DD849854">
      <w:start w:val="1"/>
      <w:numFmt w:val="bullet"/>
      <w:lvlText w:val=""/>
      <w:lvlJc w:val="left"/>
      <w:pPr>
        <w:ind w:left="720" w:hanging="360"/>
      </w:pPr>
      <w:rPr>
        <w:rFonts w:ascii="Symbol" w:hAnsi="Symbol" w:hint="default"/>
        <w:color w:val="FF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BCC1E0C"/>
    <w:multiLevelType w:val="hybridMultilevel"/>
    <w:tmpl w:val="E2822A84"/>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546C90"/>
    <w:multiLevelType w:val="hybridMultilevel"/>
    <w:tmpl w:val="D87458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06E6294"/>
    <w:multiLevelType w:val="hybridMultilevel"/>
    <w:tmpl w:val="016AB9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49D5B84"/>
    <w:multiLevelType w:val="hybridMultilevel"/>
    <w:tmpl w:val="3DCAD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FD50B4"/>
    <w:multiLevelType w:val="hybridMultilevel"/>
    <w:tmpl w:val="AB0C6D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A1635EA"/>
    <w:multiLevelType w:val="hybridMultilevel"/>
    <w:tmpl w:val="0BE479E6"/>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021E73"/>
    <w:multiLevelType w:val="hybridMultilevel"/>
    <w:tmpl w:val="70CE27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8D210A3"/>
    <w:multiLevelType w:val="hybridMultilevel"/>
    <w:tmpl w:val="C06A1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9286CF7"/>
    <w:multiLevelType w:val="hybridMultilevel"/>
    <w:tmpl w:val="18C007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BCD7549"/>
    <w:multiLevelType w:val="hybridMultilevel"/>
    <w:tmpl w:val="663C6D94"/>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46071"/>
    <w:multiLevelType w:val="hybridMultilevel"/>
    <w:tmpl w:val="3FC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37287F"/>
    <w:multiLevelType w:val="hybridMultilevel"/>
    <w:tmpl w:val="B1F81202"/>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701643"/>
    <w:multiLevelType w:val="hybridMultilevel"/>
    <w:tmpl w:val="607603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0B2031A"/>
    <w:multiLevelType w:val="hybridMultilevel"/>
    <w:tmpl w:val="1FC2DEBC"/>
    <w:lvl w:ilvl="0" w:tplc="FCD64BB0">
      <w:start w:val="1"/>
      <w:numFmt w:val="bullet"/>
      <w:lvlText w:val=""/>
      <w:lvlJc w:val="left"/>
      <w:pPr>
        <w:tabs>
          <w:tab w:val="num" w:pos="288"/>
        </w:tabs>
        <w:ind w:left="288" w:hanging="28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9AE4151"/>
    <w:multiLevelType w:val="hybridMultilevel"/>
    <w:tmpl w:val="14CAD000"/>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2663D"/>
    <w:multiLevelType w:val="hybridMultilevel"/>
    <w:tmpl w:val="DED42358"/>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965456"/>
    <w:multiLevelType w:val="hybridMultilevel"/>
    <w:tmpl w:val="64CA2B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EC959BA"/>
    <w:multiLevelType w:val="hybridMultilevel"/>
    <w:tmpl w:val="83D85EBE"/>
    <w:lvl w:ilvl="0" w:tplc="B2E6D03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02F7C5E"/>
    <w:multiLevelType w:val="hybridMultilevel"/>
    <w:tmpl w:val="F24CFA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1D709DF"/>
    <w:multiLevelType w:val="hybridMultilevel"/>
    <w:tmpl w:val="E15C14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92C4D5D"/>
    <w:multiLevelType w:val="hybridMultilevel"/>
    <w:tmpl w:val="7390ED7A"/>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8C6140"/>
    <w:multiLevelType w:val="hybridMultilevel"/>
    <w:tmpl w:val="270C3E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E0C6730"/>
    <w:multiLevelType w:val="hybridMultilevel"/>
    <w:tmpl w:val="BDBECC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F3E37EC"/>
    <w:multiLevelType w:val="hybridMultilevel"/>
    <w:tmpl w:val="1A6E3B78"/>
    <w:lvl w:ilvl="0" w:tplc="4F0E26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1"/>
  </w:num>
  <w:num w:numId="4">
    <w:abstractNumId w:val="22"/>
  </w:num>
  <w:num w:numId="5">
    <w:abstractNumId w:val="7"/>
  </w:num>
  <w:num w:numId="6">
    <w:abstractNumId w:val="16"/>
  </w:num>
  <w:num w:numId="7">
    <w:abstractNumId w:val="4"/>
  </w:num>
  <w:num w:numId="8">
    <w:abstractNumId w:val="25"/>
  </w:num>
  <w:num w:numId="9">
    <w:abstractNumId w:val="2"/>
  </w:num>
  <w:num w:numId="10">
    <w:abstractNumId w:val="20"/>
  </w:num>
  <w:num w:numId="11">
    <w:abstractNumId w:val="26"/>
  </w:num>
  <w:num w:numId="12">
    <w:abstractNumId w:val="31"/>
  </w:num>
  <w:num w:numId="13">
    <w:abstractNumId w:val="3"/>
  </w:num>
  <w:num w:numId="14">
    <w:abstractNumId w:val="28"/>
  </w:num>
  <w:num w:numId="15">
    <w:abstractNumId w:val="17"/>
  </w:num>
  <w:num w:numId="16">
    <w:abstractNumId w:val="13"/>
  </w:num>
  <w:num w:numId="17">
    <w:abstractNumId w:val="0"/>
  </w:num>
  <w:num w:numId="18">
    <w:abstractNumId w:val="27"/>
  </w:num>
  <w:num w:numId="19">
    <w:abstractNumId w:val="1"/>
  </w:num>
  <w:num w:numId="20">
    <w:abstractNumId w:val="9"/>
  </w:num>
  <w:num w:numId="21">
    <w:abstractNumId w:val="14"/>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8"/>
  </w:num>
  <w:num w:numId="25">
    <w:abstractNumId w:val="29"/>
  </w:num>
  <w:num w:numId="26">
    <w:abstractNumId w:val="19"/>
  </w:num>
  <w:num w:numId="27">
    <w:abstractNumId w:val="12"/>
  </w:num>
  <w:num w:numId="28">
    <w:abstractNumId w:val="23"/>
  </w:num>
  <w:num w:numId="29">
    <w:abstractNumId w:val="32"/>
  </w:num>
  <w:num w:numId="30">
    <w:abstractNumId w:val="5"/>
  </w:num>
  <w:num w:numId="31">
    <w:abstractNumId w:val="33"/>
  </w:num>
  <w:num w:numId="32">
    <w:abstractNumId w:val="30"/>
  </w:num>
  <w:num w:numId="33">
    <w:abstractNumId w:val="8"/>
  </w:num>
  <w:num w:numId="34">
    <w:abstractNumId w:val="15"/>
  </w:num>
  <w:num w:numId="35">
    <w:abstractNumId w:val="34"/>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рук Галина Володимирівна">
    <w15:presenceInfo w15:providerId="AD" w15:userId="S-1-5-21-346460266-4052296066-3863105456-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54"/>
    <w:rsid w:val="00001BBE"/>
    <w:rsid w:val="00001F3C"/>
    <w:rsid w:val="000034EE"/>
    <w:rsid w:val="00012A10"/>
    <w:rsid w:val="000132CA"/>
    <w:rsid w:val="0003108B"/>
    <w:rsid w:val="000344B0"/>
    <w:rsid w:val="0004006D"/>
    <w:rsid w:val="00040F76"/>
    <w:rsid w:val="000465E1"/>
    <w:rsid w:val="00047869"/>
    <w:rsid w:val="00070CAA"/>
    <w:rsid w:val="0007596D"/>
    <w:rsid w:val="00075F02"/>
    <w:rsid w:val="00082CE1"/>
    <w:rsid w:val="0009447D"/>
    <w:rsid w:val="000A0D98"/>
    <w:rsid w:val="000A5532"/>
    <w:rsid w:val="000A6B72"/>
    <w:rsid w:val="000B26CF"/>
    <w:rsid w:val="000C3717"/>
    <w:rsid w:val="000E1BA1"/>
    <w:rsid w:val="000E6625"/>
    <w:rsid w:val="000E67A6"/>
    <w:rsid w:val="000F1E17"/>
    <w:rsid w:val="000F737D"/>
    <w:rsid w:val="00100361"/>
    <w:rsid w:val="00134749"/>
    <w:rsid w:val="00152E60"/>
    <w:rsid w:val="00162C90"/>
    <w:rsid w:val="00163CF8"/>
    <w:rsid w:val="001646C8"/>
    <w:rsid w:val="001670B3"/>
    <w:rsid w:val="0017673E"/>
    <w:rsid w:val="001919C5"/>
    <w:rsid w:val="00197264"/>
    <w:rsid w:val="001A51BC"/>
    <w:rsid w:val="001A73B1"/>
    <w:rsid w:val="001B4D54"/>
    <w:rsid w:val="001C0BB0"/>
    <w:rsid w:val="001C250C"/>
    <w:rsid w:val="001C668F"/>
    <w:rsid w:val="001C6C36"/>
    <w:rsid w:val="001D41BC"/>
    <w:rsid w:val="001D5FB4"/>
    <w:rsid w:val="001E7008"/>
    <w:rsid w:val="00201263"/>
    <w:rsid w:val="00202FCB"/>
    <w:rsid w:val="00204FBB"/>
    <w:rsid w:val="00205BA4"/>
    <w:rsid w:val="00212994"/>
    <w:rsid w:val="002140A3"/>
    <w:rsid w:val="002172DA"/>
    <w:rsid w:val="00227400"/>
    <w:rsid w:val="002457A8"/>
    <w:rsid w:val="0025299C"/>
    <w:rsid w:val="0026063C"/>
    <w:rsid w:val="00260A0C"/>
    <w:rsid w:val="002629C8"/>
    <w:rsid w:val="00263013"/>
    <w:rsid w:val="00265B49"/>
    <w:rsid w:val="002749B4"/>
    <w:rsid w:val="002776B3"/>
    <w:rsid w:val="00280ADB"/>
    <w:rsid w:val="00281EBF"/>
    <w:rsid w:val="00287669"/>
    <w:rsid w:val="0029557E"/>
    <w:rsid w:val="00296F28"/>
    <w:rsid w:val="002A1916"/>
    <w:rsid w:val="002A6870"/>
    <w:rsid w:val="002A7CD0"/>
    <w:rsid w:val="002D5104"/>
    <w:rsid w:val="002E46EB"/>
    <w:rsid w:val="002E4AE3"/>
    <w:rsid w:val="002E589D"/>
    <w:rsid w:val="002F2061"/>
    <w:rsid w:val="003113EE"/>
    <w:rsid w:val="00313979"/>
    <w:rsid w:val="003204A6"/>
    <w:rsid w:val="00327509"/>
    <w:rsid w:val="00353AD3"/>
    <w:rsid w:val="00371ABA"/>
    <w:rsid w:val="00374735"/>
    <w:rsid w:val="003850EA"/>
    <w:rsid w:val="003970EA"/>
    <w:rsid w:val="0039778C"/>
    <w:rsid w:val="003A3AB6"/>
    <w:rsid w:val="003B066F"/>
    <w:rsid w:val="003B5699"/>
    <w:rsid w:val="003C4A73"/>
    <w:rsid w:val="003D4A13"/>
    <w:rsid w:val="003D6F28"/>
    <w:rsid w:val="003E22FC"/>
    <w:rsid w:val="003F5459"/>
    <w:rsid w:val="00405AA3"/>
    <w:rsid w:val="0040715B"/>
    <w:rsid w:val="00410B1E"/>
    <w:rsid w:val="004132AD"/>
    <w:rsid w:val="00432D60"/>
    <w:rsid w:val="00435BCB"/>
    <w:rsid w:val="00444BC6"/>
    <w:rsid w:val="004450D1"/>
    <w:rsid w:val="00450263"/>
    <w:rsid w:val="00453A53"/>
    <w:rsid w:val="00453A60"/>
    <w:rsid w:val="004677F1"/>
    <w:rsid w:val="004754D8"/>
    <w:rsid w:val="00481B98"/>
    <w:rsid w:val="004835DF"/>
    <w:rsid w:val="0048451E"/>
    <w:rsid w:val="00485D8A"/>
    <w:rsid w:val="00494D70"/>
    <w:rsid w:val="004964CD"/>
    <w:rsid w:val="004A0042"/>
    <w:rsid w:val="004B398D"/>
    <w:rsid w:val="004B46B0"/>
    <w:rsid w:val="004B6D36"/>
    <w:rsid w:val="004C4105"/>
    <w:rsid w:val="004C4D93"/>
    <w:rsid w:val="004E001A"/>
    <w:rsid w:val="004E0C5C"/>
    <w:rsid w:val="004E2157"/>
    <w:rsid w:val="004F71B6"/>
    <w:rsid w:val="00502C4E"/>
    <w:rsid w:val="005052F8"/>
    <w:rsid w:val="005071BD"/>
    <w:rsid w:val="005078F0"/>
    <w:rsid w:val="0051077C"/>
    <w:rsid w:val="00513F8E"/>
    <w:rsid w:val="00526625"/>
    <w:rsid w:val="0053486C"/>
    <w:rsid w:val="00543A1F"/>
    <w:rsid w:val="005514DD"/>
    <w:rsid w:val="005527E9"/>
    <w:rsid w:val="00553B86"/>
    <w:rsid w:val="005571A0"/>
    <w:rsid w:val="0057409D"/>
    <w:rsid w:val="00576944"/>
    <w:rsid w:val="005903E8"/>
    <w:rsid w:val="005A1433"/>
    <w:rsid w:val="005A1DC3"/>
    <w:rsid w:val="005C77A3"/>
    <w:rsid w:val="005E0EC3"/>
    <w:rsid w:val="005E6514"/>
    <w:rsid w:val="005F2874"/>
    <w:rsid w:val="005F73AB"/>
    <w:rsid w:val="00607C0B"/>
    <w:rsid w:val="0061359D"/>
    <w:rsid w:val="00614208"/>
    <w:rsid w:val="00620699"/>
    <w:rsid w:val="00620E0F"/>
    <w:rsid w:val="0062156A"/>
    <w:rsid w:val="00643109"/>
    <w:rsid w:val="00643633"/>
    <w:rsid w:val="00653E7D"/>
    <w:rsid w:val="00654F35"/>
    <w:rsid w:val="00690B18"/>
    <w:rsid w:val="006A1F91"/>
    <w:rsid w:val="006A5818"/>
    <w:rsid w:val="006B484D"/>
    <w:rsid w:val="006B61D3"/>
    <w:rsid w:val="006C3CED"/>
    <w:rsid w:val="006D2228"/>
    <w:rsid w:val="006D6280"/>
    <w:rsid w:val="006E46E4"/>
    <w:rsid w:val="006F32F3"/>
    <w:rsid w:val="007023D7"/>
    <w:rsid w:val="0071352A"/>
    <w:rsid w:val="0072115B"/>
    <w:rsid w:val="00723D3B"/>
    <w:rsid w:val="00724B08"/>
    <w:rsid w:val="00724B9D"/>
    <w:rsid w:val="0072623C"/>
    <w:rsid w:val="007448B1"/>
    <w:rsid w:val="00754EB9"/>
    <w:rsid w:val="007618C9"/>
    <w:rsid w:val="007651F6"/>
    <w:rsid w:val="0077075B"/>
    <w:rsid w:val="0079616A"/>
    <w:rsid w:val="007A1633"/>
    <w:rsid w:val="007A2078"/>
    <w:rsid w:val="007C7E0B"/>
    <w:rsid w:val="007D66C8"/>
    <w:rsid w:val="007F1402"/>
    <w:rsid w:val="007F464A"/>
    <w:rsid w:val="00805C90"/>
    <w:rsid w:val="00807DCB"/>
    <w:rsid w:val="008163BC"/>
    <w:rsid w:val="00816550"/>
    <w:rsid w:val="00820723"/>
    <w:rsid w:val="008309F9"/>
    <w:rsid w:val="008430D4"/>
    <w:rsid w:val="00850B83"/>
    <w:rsid w:val="00854E5C"/>
    <w:rsid w:val="008607B8"/>
    <w:rsid w:val="00860A7F"/>
    <w:rsid w:val="00867C46"/>
    <w:rsid w:val="0087391B"/>
    <w:rsid w:val="00875385"/>
    <w:rsid w:val="00883ACE"/>
    <w:rsid w:val="008900BB"/>
    <w:rsid w:val="00894725"/>
    <w:rsid w:val="008B3161"/>
    <w:rsid w:val="008D262B"/>
    <w:rsid w:val="008D7C3E"/>
    <w:rsid w:val="008E6E5E"/>
    <w:rsid w:val="008F11E8"/>
    <w:rsid w:val="008F542D"/>
    <w:rsid w:val="008F7A2A"/>
    <w:rsid w:val="00900A18"/>
    <w:rsid w:val="0090611A"/>
    <w:rsid w:val="00914C88"/>
    <w:rsid w:val="0092206C"/>
    <w:rsid w:val="00922CC7"/>
    <w:rsid w:val="0092768A"/>
    <w:rsid w:val="00947A34"/>
    <w:rsid w:val="00952AC6"/>
    <w:rsid w:val="00961D6D"/>
    <w:rsid w:val="0096290D"/>
    <w:rsid w:val="0096367E"/>
    <w:rsid w:val="00966FBD"/>
    <w:rsid w:val="00967CB8"/>
    <w:rsid w:val="0099147A"/>
    <w:rsid w:val="00997F9F"/>
    <w:rsid w:val="009A1E47"/>
    <w:rsid w:val="009A3A87"/>
    <w:rsid w:val="009D20AF"/>
    <w:rsid w:val="009D2F55"/>
    <w:rsid w:val="009D5E37"/>
    <w:rsid w:val="009D7485"/>
    <w:rsid w:val="009E7343"/>
    <w:rsid w:val="009F1BC9"/>
    <w:rsid w:val="009F3D49"/>
    <w:rsid w:val="009F47C5"/>
    <w:rsid w:val="009F70CB"/>
    <w:rsid w:val="00A00A7E"/>
    <w:rsid w:val="00A02371"/>
    <w:rsid w:val="00A06381"/>
    <w:rsid w:val="00A06CB4"/>
    <w:rsid w:val="00A146EE"/>
    <w:rsid w:val="00A1665B"/>
    <w:rsid w:val="00A22EC9"/>
    <w:rsid w:val="00A36B3C"/>
    <w:rsid w:val="00A3796D"/>
    <w:rsid w:val="00A37F59"/>
    <w:rsid w:val="00A57267"/>
    <w:rsid w:val="00A57ED2"/>
    <w:rsid w:val="00A72324"/>
    <w:rsid w:val="00A96C53"/>
    <w:rsid w:val="00AA0094"/>
    <w:rsid w:val="00AB78E5"/>
    <w:rsid w:val="00AC5CE9"/>
    <w:rsid w:val="00AD06DA"/>
    <w:rsid w:val="00AD6DE7"/>
    <w:rsid w:val="00AE0A79"/>
    <w:rsid w:val="00AE52CB"/>
    <w:rsid w:val="00B00230"/>
    <w:rsid w:val="00B0306A"/>
    <w:rsid w:val="00B032BA"/>
    <w:rsid w:val="00B17B9F"/>
    <w:rsid w:val="00B23289"/>
    <w:rsid w:val="00B245CD"/>
    <w:rsid w:val="00B304E2"/>
    <w:rsid w:val="00B44B9D"/>
    <w:rsid w:val="00B4719D"/>
    <w:rsid w:val="00B47F92"/>
    <w:rsid w:val="00B57056"/>
    <w:rsid w:val="00B727C3"/>
    <w:rsid w:val="00B72AD6"/>
    <w:rsid w:val="00B74AD4"/>
    <w:rsid w:val="00B8306A"/>
    <w:rsid w:val="00B845EE"/>
    <w:rsid w:val="00B8691C"/>
    <w:rsid w:val="00B9183A"/>
    <w:rsid w:val="00BB0599"/>
    <w:rsid w:val="00BD22FD"/>
    <w:rsid w:val="00BE18EA"/>
    <w:rsid w:val="00BE68D7"/>
    <w:rsid w:val="00BF145D"/>
    <w:rsid w:val="00BF14FF"/>
    <w:rsid w:val="00BF3D77"/>
    <w:rsid w:val="00C15C36"/>
    <w:rsid w:val="00C2540C"/>
    <w:rsid w:val="00C374F8"/>
    <w:rsid w:val="00C4335D"/>
    <w:rsid w:val="00C43579"/>
    <w:rsid w:val="00C45A41"/>
    <w:rsid w:val="00C47CC5"/>
    <w:rsid w:val="00C63908"/>
    <w:rsid w:val="00C77C11"/>
    <w:rsid w:val="00C861BD"/>
    <w:rsid w:val="00C95703"/>
    <w:rsid w:val="00C96809"/>
    <w:rsid w:val="00CA3CFE"/>
    <w:rsid w:val="00CA5608"/>
    <w:rsid w:val="00CB2940"/>
    <w:rsid w:val="00CB4940"/>
    <w:rsid w:val="00CB5625"/>
    <w:rsid w:val="00CC315F"/>
    <w:rsid w:val="00CC6909"/>
    <w:rsid w:val="00CE3116"/>
    <w:rsid w:val="00CF4752"/>
    <w:rsid w:val="00D03145"/>
    <w:rsid w:val="00D05BA9"/>
    <w:rsid w:val="00D05DC4"/>
    <w:rsid w:val="00D1005B"/>
    <w:rsid w:val="00D3016F"/>
    <w:rsid w:val="00D32C6E"/>
    <w:rsid w:val="00D4481E"/>
    <w:rsid w:val="00D46783"/>
    <w:rsid w:val="00D640F6"/>
    <w:rsid w:val="00D700BB"/>
    <w:rsid w:val="00D70C2E"/>
    <w:rsid w:val="00D70D44"/>
    <w:rsid w:val="00DA797C"/>
    <w:rsid w:val="00DE17AE"/>
    <w:rsid w:val="00DF07DC"/>
    <w:rsid w:val="00DF4BEE"/>
    <w:rsid w:val="00E14C8D"/>
    <w:rsid w:val="00E15F06"/>
    <w:rsid w:val="00E22A5B"/>
    <w:rsid w:val="00E22C5E"/>
    <w:rsid w:val="00E36F91"/>
    <w:rsid w:val="00E4185D"/>
    <w:rsid w:val="00E50B31"/>
    <w:rsid w:val="00E5272B"/>
    <w:rsid w:val="00E55DCE"/>
    <w:rsid w:val="00E84EF3"/>
    <w:rsid w:val="00E90448"/>
    <w:rsid w:val="00EA64C2"/>
    <w:rsid w:val="00EB09BF"/>
    <w:rsid w:val="00EC2AF3"/>
    <w:rsid w:val="00EC331E"/>
    <w:rsid w:val="00ED0FF7"/>
    <w:rsid w:val="00ED21FE"/>
    <w:rsid w:val="00EE70F9"/>
    <w:rsid w:val="00EF1640"/>
    <w:rsid w:val="00EF1945"/>
    <w:rsid w:val="00F159CF"/>
    <w:rsid w:val="00F37D43"/>
    <w:rsid w:val="00F45A2E"/>
    <w:rsid w:val="00F7453B"/>
    <w:rsid w:val="00F92ED7"/>
    <w:rsid w:val="00F93B03"/>
    <w:rsid w:val="00FB3D1C"/>
    <w:rsid w:val="00FF72FB"/>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54"/>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1B4D54"/>
    <w:rPr>
      <w:rFonts w:cs="AvantGarde"/>
      <w:color w:val="FFFFFF"/>
      <w:sz w:val="52"/>
      <w:szCs w:val="52"/>
    </w:rPr>
  </w:style>
  <w:style w:type="paragraph" w:styleId="Header">
    <w:name w:val="header"/>
    <w:basedOn w:val="Normal"/>
    <w:link w:val="HeaderChar"/>
    <w:uiPriority w:val="99"/>
    <w:unhideWhenUsed/>
    <w:rsid w:val="001B4D54"/>
    <w:pPr>
      <w:tabs>
        <w:tab w:val="center" w:pos="4680"/>
        <w:tab w:val="right" w:pos="9360"/>
      </w:tabs>
      <w:spacing w:after="0"/>
    </w:pPr>
  </w:style>
  <w:style w:type="character" w:customStyle="1" w:styleId="HeaderChar">
    <w:name w:val="Header Char"/>
    <w:basedOn w:val="DefaultParagraphFont"/>
    <w:link w:val="Header"/>
    <w:uiPriority w:val="99"/>
    <w:rsid w:val="001B4D54"/>
  </w:style>
  <w:style w:type="paragraph" w:styleId="Footer">
    <w:name w:val="footer"/>
    <w:basedOn w:val="Normal"/>
    <w:link w:val="FooterChar"/>
    <w:uiPriority w:val="99"/>
    <w:unhideWhenUsed/>
    <w:rsid w:val="001B4D54"/>
    <w:pPr>
      <w:tabs>
        <w:tab w:val="center" w:pos="4680"/>
        <w:tab w:val="right" w:pos="9360"/>
      </w:tabs>
      <w:spacing w:after="0"/>
    </w:pPr>
  </w:style>
  <w:style w:type="character" w:customStyle="1" w:styleId="FooterChar">
    <w:name w:val="Footer Char"/>
    <w:basedOn w:val="DefaultParagraphFont"/>
    <w:link w:val="Footer"/>
    <w:uiPriority w:val="99"/>
    <w:rsid w:val="001B4D54"/>
  </w:style>
  <w:style w:type="paragraph" w:styleId="BalloonText">
    <w:name w:val="Balloon Text"/>
    <w:basedOn w:val="Normal"/>
    <w:link w:val="BalloonTextChar"/>
    <w:uiPriority w:val="99"/>
    <w:semiHidden/>
    <w:unhideWhenUsed/>
    <w:rsid w:val="001B4D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54"/>
    <w:rPr>
      <w:rFonts w:ascii="Tahoma" w:hAnsi="Tahoma" w:cs="Tahoma"/>
      <w:sz w:val="16"/>
      <w:szCs w:val="16"/>
    </w:rPr>
  </w:style>
  <w:style w:type="character" w:customStyle="1" w:styleId="A7">
    <w:name w:val="A7"/>
    <w:uiPriority w:val="99"/>
    <w:rsid w:val="00816550"/>
    <w:rPr>
      <w:rFonts w:cs="AvantGarde Medium"/>
      <w:color w:val="221E1F"/>
      <w:sz w:val="14"/>
      <w:szCs w:val="14"/>
    </w:rPr>
  </w:style>
  <w:style w:type="paragraph" w:styleId="ListParagraph">
    <w:name w:val="List Paragraph"/>
    <w:basedOn w:val="Normal"/>
    <w:uiPriority w:val="34"/>
    <w:qFormat/>
    <w:rsid w:val="008F11E8"/>
    <w:pPr>
      <w:ind w:left="720"/>
      <w:contextualSpacing/>
    </w:pPr>
  </w:style>
  <w:style w:type="character" w:styleId="CommentReference">
    <w:name w:val="annotation reference"/>
    <w:basedOn w:val="DefaultParagraphFont"/>
    <w:uiPriority w:val="99"/>
    <w:semiHidden/>
    <w:unhideWhenUsed/>
    <w:rsid w:val="00D32C6E"/>
    <w:rPr>
      <w:sz w:val="16"/>
      <w:szCs w:val="16"/>
    </w:rPr>
  </w:style>
  <w:style w:type="paragraph" w:styleId="CommentText">
    <w:name w:val="annotation text"/>
    <w:basedOn w:val="Normal"/>
    <w:link w:val="CommentTextChar"/>
    <w:uiPriority w:val="99"/>
    <w:unhideWhenUsed/>
    <w:rsid w:val="00D32C6E"/>
    <w:rPr>
      <w:sz w:val="20"/>
      <w:szCs w:val="20"/>
    </w:rPr>
  </w:style>
  <w:style w:type="character" w:customStyle="1" w:styleId="CommentTextChar">
    <w:name w:val="Comment Text Char"/>
    <w:basedOn w:val="DefaultParagraphFont"/>
    <w:link w:val="CommentText"/>
    <w:uiPriority w:val="99"/>
    <w:rsid w:val="00D32C6E"/>
    <w:rPr>
      <w:sz w:val="20"/>
      <w:szCs w:val="20"/>
    </w:rPr>
  </w:style>
  <w:style w:type="paragraph" w:styleId="CommentSubject">
    <w:name w:val="annotation subject"/>
    <w:basedOn w:val="CommentText"/>
    <w:next w:val="CommentText"/>
    <w:link w:val="CommentSubjectChar"/>
    <w:uiPriority w:val="99"/>
    <w:semiHidden/>
    <w:unhideWhenUsed/>
    <w:rsid w:val="00D32C6E"/>
    <w:rPr>
      <w:b/>
      <w:bCs/>
    </w:rPr>
  </w:style>
  <w:style w:type="character" w:customStyle="1" w:styleId="CommentSubjectChar">
    <w:name w:val="Comment Subject Char"/>
    <w:basedOn w:val="CommentTextChar"/>
    <w:link w:val="CommentSubject"/>
    <w:uiPriority w:val="99"/>
    <w:semiHidden/>
    <w:rsid w:val="00D32C6E"/>
    <w:rPr>
      <w:b/>
      <w:bCs/>
      <w:sz w:val="20"/>
      <w:szCs w:val="20"/>
    </w:rPr>
  </w:style>
  <w:style w:type="table" w:styleId="TableGrid">
    <w:name w:val="Table Grid"/>
    <w:basedOn w:val="TableNormal"/>
    <w:uiPriority w:val="59"/>
    <w:rsid w:val="0032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509"/>
    <w:pPr>
      <w:autoSpaceDE w:val="0"/>
      <w:autoSpaceDN w:val="0"/>
      <w:adjustRightInd w:val="0"/>
      <w:spacing w:after="0" w:line="240" w:lineRule="auto"/>
    </w:pPr>
    <w:rPr>
      <w:rFonts w:ascii="AvantGarde" w:hAnsi="AvantGarde" w:cs="AvantGarde"/>
      <w:color w:val="000000"/>
      <w:sz w:val="24"/>
      <w:szCs w:val="24"/>
    </w:rPr>
  </w:style>
  <w:style w:type="character" w:customStyle="1" w:styleId="A8">
    <w:name w:val="A8"/>
    <w:uiPriority w:val="99"/>
    <w:rsid w:val="00327509"/>
    <w:rPr>
      <w:rFonts w:cs="AvantGarde"/>
      <w:color w:val="221E1F"/>
      <w:sz w:val="8"/>
      <w:szCs w:val="8"/>
    </w:rPr>
  </w:style>
  <w:style w:type="paragraph" w:styleId="Revision">
    <w:name w:val="Revision"/>
    <w:hidden/>
    <w:uiPriority w:val="99"/>
    <w:semiHidden/>
    <w:rsid w:val="00410B1E"/>
    <w:pPr>
      <w:spacing w:after="0" w:line="240" w:lineRule="auto"/>
    </w:pPr>
  </w:style>
  <w:style w:type="character" w:customStyle="1" w:styleId="CS-TextChar">
    <w:name w:val="CS-Text Char"/>
    <w:basedOn w:val="DefaultParagraphFont"/>
    <w:link w:val="CS-Text"/>
    <w:locked/>
    <w:rsid w:val="007651F6"/>
    <w:rPr>
      <w:sz w:val="24"/>
      <w:lang w:val="en-GB" w:eastAsia="de-DE"/>
    </w:rPr>
  </w:style>
  <w:style w:type="paragraph" w:customStyle="1" w:styleId="CS-Text">
    <w:name w:val="CS-Text"/>
    <w:link w:val="CS-TextChar"/>
    <w:rsid w:val="007651F6"/>
    <w:pPr>
      <w:spacing w:after="240" w:line="240" w:lineRule="auto"/>
    </w:pPr>
    <w:rPr>
      <w:sz w:val="24"/>
      <w:lang w:val="en-GB" w:eastAsia="de-DE"/>
    </w:rPr>
  </w:style>
  <w:style w:type="character" w:styleId="PageNumber">
    <w:name w:val="page number"/>
    <w:basedOn w:val="DefaultParagraphFont"/>
    <w:rsid w:val="00134749"/>
  </w:style>
  <w:style w:type="character" w:styleId="Hyperlink">
    <w:name w:val="Hyperlink"/>
    <w:basedOn w:val="DefaultParagraphFont"/>
    <w:uiPriority w:val="99"/>
    <w:unhideWhenUsed/>
    <w:rsid w:val="00EF1945"/>
    <w:rPr>
      <w:color w:val="0000FF" w:themeColor="hyperlink"/>
      <w:u w:val="single"/>
    </w:rPr>
  </w:style>
  <w:style w:type="paragraph" w:customStyle="1" w:styleId="ammcorpstexte">
    <w:name w:val="ammcorpstexte"/>
    <w:basedOn w:val="Normal"/>
    <w:rsid w:val="005E6514"/>
    <w:pPr>
      <w:spacing w:after="0"/>
    </w:pPr>
    <w:rPr>
      <w:rFonts w:ascii="Verdana" w:eastAsia="Times New Roman" w:hAnsi="Verdana" w:cs="Times New Roman"/>
      <w:color w:val="000000"/>
      <w:sz w:val="20"/>
      <w:szCs w:val="20"/>
      <w:lang w:val="fr-FR" w:eastAsia="fr-FR"/>
    </w:rPr>
  </w:style>
  <w:style w:type="paragraph" w:customStyle="1" w:styleId="CSText">
    <w:name w:val="CS Text"/>
    <w:link w:val="CSTextChar"/>
    <w:rsid w:val="00AE52CB"/>
    <w:pPr>
      <w:spacing w:after="0" w:line="240" w:lineRule="auto"/>
    </w:pPr>
    <w:rPr>
      <w:rFonts w:ascii="Times New Roman" w:eastAsia="Times New Roman" w:hAnsi="Times New Roman" w:cs="Times New Roman"/>
      <w:sz w:val="24"/>
      <w:szCs w:val="20"/>
      <w:lang w:eastAsia="de-DE"/>
    </w:rPr>
  </w:style>
  <w:style w:type="character" w:customStyle="1" w:styleId="CSTextChar">
    <w:name w:val="CS Text Char"/>
    <w:basedOn w:val="DefaultParagraphFont"/>
    <w:link w:val="CSText"/>
    <w:rsid w:val="00AE52CB"/>
    <w:rPr>
      <w:rFonts w:ascii="Times New Roman" w:eastAsia="Times New Roman" w:hAnsi="Times New Roman" w:cs="Times New Roman"/>
      <w:sz w:val="24"/>
      <w:szCs w:val="20"/>
      <w:lang w:eastAsia="de-DE"/>
    </w:rPr>
  </w:style>
  <w:style w:type="character" w:customStyle="1" w:styleId="A5">
    <w:name w:val="A5"/>
    <w:uiPriority w:val="99"/>
    <w:rsid w:val="00494D70"/>
    <w:rPr>
      <w:rFonts w:cs="AvantGardeC"/>
      <w:color w:val="FFFFFF"/>
      <w:sz w:val="11"/>
      <w:szCs w:val="11"/>
    </w:rPr>
  </w:style>
  <w:style w:type="character" w:customStyle="1" w:styleId="A4">
    <w:name w:val="A4"/>
    <w:uiPriority w:val="99"/>
    <w:rsid w:val="0096290D"/>
    <w:rPr>
      <w:rFonts w:cs="AvantGardeGothicC"/>
      <w:b/>
      <w:bCs/>
      <w:color w:val="00539F"/>
      <w:sz w:val="20"/>
      <w:szCs w:val="20"/>
    </w:rPr>
  </w:style>
  <w:style w:type="character" w:customStyle="1" w:styleId="A12">
    <w:name w:val="A12"/>
    <w:uiPriority w:val="99"/>
    <w:rsid w:val="000C3717"/>
    <w:rPr>
      <w:rFonts w:cs="AvantGardeC"/>
      <w:b/>
      <w:bCs/>
      <w:color w:val="FFFFFF"/>
      <w:sz w:val="22"/>
      <w:szCs w:val="22"/>
    </w:rPr>
  </w:style>
  <w:style w:type="paragraph" w:customStyle="1" w:styleId="Pa22">
    <w:name w:val="Pa22"/>
    <w:basedOn w:val="Default"/>
    <w:next w:val="Default"/>
    <w:uiPriority w:val="99"/>
    <w:rsid w:val="000C3717"/>
    <w:pPr>
      <w:spacing w:line="161" w:lineRule="atLeast"/>
    </w:pPr>
    <w:rPr>
      <w:rFonts w:ascii="AvantGardeC" w:hAnsi="AvantGardeC" w:cs="Times New Roman"/>
      <w:color w:val="auto"/>
      <w:lang w:val="uk-UA"/>
    </w:rPr>
  </w:style>
  <w:style w:type="paragraph" w:customStyle="1" w:styleId="Pa4">
    <w:name w:val="Pa4"/>
    <w:basedOn w:val="Default"/>
    <w:next w:val="Default"/>
    <w:uiPriority w:val="99"/>
    <w:rsid w:val="003D6F28"/>
    <w:pPr>
      <w:spacing w:line="201" w:lineRule="atLeast"/>
    </w:pPr>
    <w:rPr>
      <w:rFonts w:ascii="AvantGardeC" w:hAnsi="AvantGardeC" w:cs="Times New Roman"/>
      <w:color w:val="auto"/>
      <w:lang w:val="uk-UA"/>
    </w:rPr>
  </w:style>
  <w:style w:type="paragraph" w:customStyle="1" w:styleId="Pa7">
    <w:name w:val="Pa7"/>
    <w:basedOn w:val="Default"/>
    <w:next w:val="Default"/>
    <w:uiPriority w:val="99"/>
    <w:rsid w:val="005071BD"/>
    <w:pPr>
      <w:spacing w:line="241" w:lineRule="atLeast"/>
    </w:pPr>
    <w:rPr>
      <w:rFonts w:ascii="AvantGardeC" w:hAnsi="AvantGardeC" w:cs="Times New Roman"/>
      <w:color w:val="auto"/>
      <w:lang w:val="uk-UA"/>
    </w:rPr>
  </w:style>
  <w:style w:type="paragraph" w:customStyle="1" w:styleId="Pa27">
    <w:name w:val="Pa27"/>
    <w:basedOn w:val="Default"/>
    <w:next w:val="Default"/>
    <w:uiPriority w:val="99"/>
    <w:rsid w:val="005071BD"/>
    <w:pPr>
      <w:spacing w:line="221" w:lineRule="atLeast"/>
    </w:pPr>
    <w:rPr>
      <w:rFonts w:ascii="AvantGardeC" w:hAnsi="AvantGardeC" w:cs="Times New Roman"/>
      <w:color w:val="auto"/>
      <w:lang w:val="uk-UA"/>
    </w:rPr>
  </w:style>
  <w:style w:type="character" w:customStyle="1" w:styleId="A13">
    <w:name w:val="A13"/>
    <w:uiPriority w:val="99"/>
    <w:rsid w:val="005071BD"/>
    <w:rPr>
      <w:rFonts w:cs="AvantGardeC"/>
      <w:b/>
      <w:bCs/>
      <w:color w:val="FFFFFF"/>
      <w:sz w:val="12"/>
      <w:szCs w:val="12"/>
    </w:rPr>
  </w:style>
  <w:style w:type="paragraph" w:customStyle="1" w:styleId="Pa17">
    <w:name w:val="Pa17"/>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28">
    <w:name w:val="Pa28"/>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30">
    <w:name w:val="Pa30"/>
    <w:basedOn w:val="Default"/>
    <w:next w:val="Default"/>
    <w:uiPriority w:val="99"/>
    <w:rsid w:val="005071BD"/>
    <w:pPr>
      <w:spacing w:line="201" w:lineRule="atLeast"/>
    </w:pPr>
    <w:rPr>
      <w:rFonts w:ascii="AvantGardeC" w:hAnsi="AvantGardeC" w:cs="Times New Roman"/>
      <w:color w:val="auto"/>
      <w:lang w:val="uk-UA"/>
    </w:rPr>
  </w:style>
  <w:style w:type="character" w:customStyle="1" w:styleId="A20">
    <w:name w:val="A20"/>
    <w:uiPriority w:val="99"/>
    <w:rsid w:val="005071BD"/>
    <w:rPr>
      <w:rFonts w:cs="AvantGardeC"/>
      <w:color w:val="6F7072"/>
      <w:sz w:val="16"/>
      <w:szCs w:val="16"/>
    </w:rPr>
  </w:style>
  <w:style w:type="character" w:customStyle="1" w:styleId="2">
    <w:name w:val="Основной текст (2)_"/>
    <w:rsid w:val="00A146EE"/>
    <w:rPr>
      <w:sz w:val="20"/>
      <w:szCs w:val="20"/>
      <w:u w:val="none"/>
    </w:rPr>
  </w:style>
  <w:style w:type="character" w:customStyle="1" w:styleId="6">
    <w:name w:val="Основной текст (6)_"/>
    <w:rsid w:val="007618C9"/>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54"/>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1B4D54"/>
    <w:rPr>
      <w:rFonts w:cs="AvantGarde"/>
      <w:color w:val="FFFFFF"/>
      <w:sz w:val="52"/>
      <w:szCs w:val="52"/>
    </w:rPr>
  </w:style>
  <w:style w:type="paragraph" w:styleId="Header">
    <w:name w:val="header"/>
    <w:basedOn w:val="Normal"/>
    <w:link w:val="HeaderChar"/>
    <w:uiPriority w:val="99"/>
    <w:unhideWhenUsed/>
    <w:rsid w:val="001B4D54"/>
    <w:pPr>
      <w:tabs>
        <w:tab w:val="center" w:pos="4680"/>
        <w:tab w:val="right" w:pos="9360"/>
      </w:tabs>
      <w:spacing w:after="0"/>
    </w:pPr>
  </w:style>
  <w:style w:type="character" w:customStyle="1" w:styleId="HeaderChar">
    <w:name w:val="Header Char"/>
    <w:basedOn w:val="DefaultParagraphFont"/>
    <w:link w:val="Header"/>
    <w:uiPriority w:val="99"/>
    <w:rsid w:val="001B4D54"/>
  </w:style>
  <w:style w:type="paragraph" w:styleId="Footer">
    <w:name w:val="footer"/>
    <w:basedOn w:val="Normal"/>
    <w:link w:val="FooterChar"/>
    <w:uiPriority w:val="99"/>
    <w:unhideWhenUsed/>
    <w:rsid w:val="001B4D54"/>
    <w:pPr>
      <w:tabs>
        <w:tab w:val="center" w:pos="4680"/>
        <w:tab w:val="right" w:pos="9360"/>
      </w:tabs>
      <w:spacing w:after="0"/>
    </w:pPr>
  </w:style>
  <w:style w:type="character" w:customStyle="1" w:styleId="FooterChar">
    <w:name w:val="Footer Char"/>
    <w:basedOn w:val="DefaultParagraphFont"/>
    <w:link w:val="Footer"/>
    <w:uiPriority w:val="99"/>
    <w:rsid w:val="001B4D54"/>
  </w:style>
  <w:style w:type="paragraph" w:styleId="BalloonText">
    <w:name w:val="Balloon Text"/>
    <w:basedOn w:val="Normal"/>
    <w:link w:val="BalloonTextChar"/>
    <w:uiPriority w:val="99"/>
    <w:semiHidden/>
    <w:unhideWhenUsed/>
    <w:rsid w:val="001B4D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54"/>
    <w:rPr>
      <w:rFonts w:ascii="Tahoma" w:hAnsi="Tahoma" w:cs="Tahoma"/>
      <w:sz w:val="16"/>
      <w:szCs w:val="16"/>
    </w:rPr>
  </w:style>
  <w:style w:type="character" w:customStyle="1" w:styleId="A7">
    <w:name w:val="A7"/>
    <w:uiPriority w:val="99"/>
    <w:rsid w:val="00816550"/>
    <w:rPr>
      <w:rFonts w:cs="AvantGarde Medium"/>
      <w:color w:val="221E1F"/>
      <w:sz w:val="14"/>
      <w:szCs w:val="14"/>
    </w:rPr>
  </w:style>
  <w:style w:type="paragraph" w:styleId="ListParagraph">
    <w:name w:val="List Paragraph"/>
    <w:basedOn w:val="Normal"/>
    <w:uiPriority w:val="34"/>
    <w:qFormat/>
    <w:rsid w:val="008F11E8"/>
    <w:pPr>
      <w:ind w:left="720"/>
      <w:contextualSpacing/>
    </w:pPr>
  </w:style>
  <w:style w:type="character" w:styleId="CommentReference">
    <w:name w:val="annotation reference"/>
    <w:basedOn w:val="DefaultParagraphFont"/>
    <w:uiPriority w:val="99"/>
    <w:semiHidden/>
    <w:unhideWhenUsed/>
    <w:rsid w:val="00D32C6E"/>
    <w:rPr>
      <w:sz w:val="16"/>
      <w:szCs w:val="16"/>
    </w:rPr>
  </w:style>
  <w:style w:type="paragraph" w:styleId="CommentText">
    <w:name w:val="annotation text"/>
    <w:basedOn w:val="Normal"/>
    <w:link w:val="CommentTextChar"/>
    <w:uiPriority w:val="99"/>
    <w:unhideWhenUsed/>
    <w:rsid w:val="00D32C6E"/>
    <w:rPr>
      <w:sz w:val="20"/>
      <w:szCs w:val="20"/>
    </w:rPr>
  </w:style>
  <w:style w:type="character" w:customStyle="1" w:styleId="CommentTextChar">
    <w:name w:val="Comment Text Char"/>
    <w:basedOn w:val="DefaultParagraphFont"/>
    <w:link w:val="CommentText"/>
    <w:uiPriority w:val="99"/>
    <w:rsid w:val="00D32C6E"/>
    <w:rPr>
      <w:sz w:val="20"/>
      <w:szCs w:val="20"/>
    </w:rPr>
  </w:style>
  <w:style w:type="paragraph" w:styleId="CommentSubject">
    <w:name w:val="annotation subject"/>
    <w:basedOn w:val="CommentText"/>
    <w:next w:val="CommentText"/>
    <w:link w:val="CommentSubjectChar"/>
    <w:uiPriority w:val="99"/>
    <w:semiHidden/>
    <w:unhideWhenUsed/>
    <w:rsid w:val="00D32C6E"/>
    <w:rPr>
      <w:b/>
      <w:bCs/>
    </w:rPr>
  </w:style>
  <w:style w:type="character" w:customStyle="1" w:styleId="CommentSubjectChar">
    <w:name w:val="Comment Subject Char"/>
    <w:basedOn w:val="CommentTextChar"/>
    <w:link w:val="CommentSubject"/>
    <w:uiPriority w:val="99"/>
    <w:semiHidden/>
    <w:rsid w:val="00D32C6E"/>
    <w:rPr>
      <w:b/>
      <w:bCs/>
      <w:sz w:val="20"/>
      <w:szCs w:val="20"/>
    </w:rPr>
  </w:style>
  <w:style w:type="table" w:styleId="TableGrid">
    <w:name w:val="Table Grid"/>
    <w:basedOn w:val="TableNormal"/>
    <w:uiPriority w:val="59"/>
    <w:rsid w:val="0032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509"/>
    <w:pPr>
      <w:autoSpaceDE w:val="0"/>
      <w:autoSpaceDN w:val="0"/>
      <w:adjustRightInd w:val="0"/>
      <w:spacing w:after="0" w:line="240" w:lineRule="auto"/>
    </w:pPr>
    <w:rPr>
      <w:rFonts w:ascii="AvantGarde" w:hAnsi="AvantGarde" w:cs="AvantGarde"/>
      <w:color w:val="000000"/>
      <w:sz w:val="24"/>
      <w:szCs w:val="24"/>
    </w:rPr>
  </w:style>
  <w:style w:type="character" w:customStyle="1" w:styleId="A8">
    <w:name w:val="A8"/>
    <w:uiPriority w:val="99"/>
    <w:rsid w:val="00327509"/>
    <w:rPr>
      <w:rFonts w:cs="AvantGarde"/>
      <w:color w:val="221E1F"/>
      <w:sz w:val="8"/>
      <w:szCs w:val="8"/>
    </w:rPr>
  </w:style>
  <w:style w:type="paragraph" w:styleId="Revision">
    <w:name w:val="Revision"/>
    <w:hidden/>
    <w:uiPriority w:val="99"/>
    <w:semiHidden/>
    <w:rsid w:val="00410B1E"/>
    <w:pPr>
      <w:spacing w:after="0" w:line="240" w:lineRule="auto"/>
    </w:pPr>
  </w:style>
  <w:style w:type="character" w:customStyle="1" w:styleId="CS-TextChar">
    <w:name w:val="CS-Text Char"/>
    <w:basedOn w:val="DefaultParagraphFont"/>
    <w:link w:val="CS-Text"/>
    <w:locked/>
    <w:rsid w:val="007651F6"/>
    <w:rPr>
      <w:sz w:val="24"/>
      <w:lang w:val="en-GB" w:eastAsia="de-DE"/>
    </w:rPr>
  </w:style>
  <w:style w:type="paragraph" w:customStyle="1" w:styleId="CS-Text">
    <w:name w:val="CS-Text"/>
    <w:link w:val="CS-TextChar"/>
    <w:rsid w:val="007651F6"/>
    <w:pPr>
      <w:spacing w:after="240" w:line="240" w:lineRule="auto"/>
    </w:pPr>
    <w:rPr>
      <w:sz w:val="24"/>
      <w:lang w:val="en-GB" w:eastAsia="de-DE"/>
    </w:rPr>
  </w:style>
  <w:style w:type="character" w:styleId="PageNumber">
    <w:name w:val="page number"/>
    <w:basedOn w:val="DefaultParagraphFont"/>
    <w:rsid w:val="00134749"/>
  </w:style>
  <w:style w:type="character" w:styleId="Hyperlink">
    <w:name w:val="Hyperlink"/>
    <w:basedOn w:val="DefaultParagraphFont"/>
    <w:uiPriority w:val="99"/>
    <w:unhideWhenUsed/>
    <w:rsid w:val="00EF1945"/>
    <w:rPr>
      <w:color w:val="0000FF" w:themeColor="hyperlink"/>
      <w:u w:val="single"/>
    </w:rPr>
  </w:style>
  <w:style w:type="paragraph" w:customStyle="1" w:styleId="ammcorpstexte">
    <w:name w:val="ammcorpstexte"/>
    <w:basedOn w:val="Normal"/>
    <w:rsid w:val="005E6514"/>
    <w:pPr>
      <w:spacing w:after="0"/>
    </w:pPr>
    <w:rPr>
      <w:rFonts w:ascii="Verdana" w:eastAsia="Times New Roman" w:hAnsi="Verdana" w:cs="Times New Roman"/>
      <w:color w:val="000000"/>
      <w:sz w:val="20"/>
      <w:szCs w:val="20"/>
      <w:lang w:val="fr-FR" w:eastAsia="fr-FR"/>
    </w:rPr>
  </w:style>
  <w:style w:type="paragraph" w:customStyle="1" w:styleId="CSText">
    <w:name w:val="CS Text"/>
    <w:link w:val="CSTextChar"/>
    <w:rsid w:val="00AE52CB"/>
    <w:pPr>
      <w:spacing w:after="0" w:line="240" w:lineRule="auto"/>
    </w:pPr>
    <w:rPr>
      <w:rFonts w:ascii="Times New Roman" w:eastAsia="Times New Roman" w:hAnsi="Times New Roman" w:cs="Times New Roman"/>
      <w:sz w:val="24"/>
      <w:szCs w:val="20"/>
      <w:lang w:eastAsia="de-DE"/>
    </w:rPr>
  </w:style>
  <w:style w:type="character" w:customStyle="1" w:styleId="CSTextChar">
    <w:name w:val="CS Text Char"/>
    <w:basedOn w:val="DefaultParagraphFont"/>
    <w:link w:val="CSText"/>
    <w:rsid w:val="00AE52CB"/>
    <w:rPr>
      <w:rFonts w:ascii="Times New Roman" w:eastAsia="Times New Roman" w:hAnsi="Times New Roman" w:cs="Times New Roman"/>
      <w:sz w:val="24"/>
      <w:szCs w:val="20"/>
      <w:lang w:eastAsia="de-DE"/>
    </w:rPr>
  </w:style>
  <w:style w:type="character" w:customStyle="1" w:styleId="A5">
    <w:name w:val="A5"/>
    <w:uiPriority w:val="99"/>
    <w:rsid w:val="00494D70"/>
    <w:rPr>
      <w:rFonts w:cs="AvantGardeC"/>
      <w:color w:val="FFFFFF"/>
      <w:sz w:val="11"/>
      <w:szCs w:val="11"/>
    </w:rPr>
  </w:style>
  <w:style w:type="character" w:customStyle="1" w:styleId="A4">
    <w:name w:val="A4"/>
    <w:uiPriority w:val="99"/>
    <w:rsid w:val="0096290D"/>
    <w:rPr>
      <w:rFonts w:cs="AvantGardeGothicC"/>
      <w:b/>
      <w:bCs/>
      <w:color w:val="00539F"/>
      <w:sz w:val="20"/>
      <w:szCs w:val="20"/>
    </w:rPr>
  </w:style>
  <w:style w:type="character" w:customStyle="1" w:styleId="A12">
    <w:name w:val="A12"/>
    <w:uiPriority w:val="99"/>
    <w:rsid w:val="000C3717"/>
    <w:rPr>
      <w:rFonts w:cs="AvantGardeC"/>
      <w:b/>
      <w:bCs/>
      <w:color w:val="FFFFFF"/>
      <w:sz w:val="22"/>
      <w:szCs w:val="22"/>
    </w:rPr>
  </w:style>
  <w:style w:type="paragraph" w:customStyle="1" w:styleId="Pa22">
    <w:name w:val="Pa22"/>
    <w:basedOn w:val="Default"/>
    <w:next w:val="Default"/>
    <w:uiPriority w:val="99"/>
    <w:rsid w:val="000C3717"/>
    <w:pPr>
      <w:spacing w:line="161" w:lineRule="atLeast"/>
    </w:pPr>
    <w:rPr>
      <w:rFonts w:ascii="AvantGardeC" w:hAnsi="AvantGardeC" w:cs="Times New Roman"/>
      <w:color w:val="auto"/>
      <w:lang w:val="uk-UA"/>
    </w:rPr>
  </w:style>
  <w:style w:type="paragraph" w:customStyle="1" w:styleId="Pa4">
    <w:name w:val="Pa4"/>
    <w:basedOn w:val="Default"/>
    <w:next w:val="Default"/>
    <w:uiPriority w:val="99"/>
    <w:rsid w:val="003D6F28"/>
    <w:pPr>
      <w:spacing w:line="201" w:lineRule="atLeast"/>
    </w:pPr>
    <w:rPr>
      <w:rFonts w:ascii="AvantGardeC" w:hAnsi="AvantGardeC" w:cs="Times New Roman"/>
      <w:color w:val="auto"/>
      <w:lang w:val="uk-UA"/>
    </w:rPr>
  </w:style>
  <w:style w:type="paragraph" w:customStyle="1" w:styleId="Pa7">
    <w:name w:val="Pa7"/>
    <w:basedOn w:val="Default"/>
    <w:next w:val="Default"/>
    <w:uiPriority w:val="99"/>
    <w:rsid w:val="005071BD"/>
    <w:pPr>
      <w:spacing w:line="241" w:lineRule="atLeast"/>
    </w:pPr>
    <w:rPr>
      <w:rFonts w:ascii="AvantGardeC" w:hAnsi="AvantGardeC" w:cs="Times New Roman"/>
      <w:color w:val="auto"/>
      <w:lang w:val="uk-UA"/>
    </w:rPr>
  </w:style>
  <w:style w:type="paragraph" w:customStyle="1" w:styleId="Pa27">
    <w:name w:val="Pa27"/>
    <w:basedOn w:val="Default"/>
    <w:next w:val="Default"/>
    <w:uiPriority w:val="99"/>
    <w:rsid w:val="005071BD"/>
    <w:pPr>
      <w:spacing w:line="221" w:lineRule="atLeast"/>
    </w:pPr>
    <w:rPr>
      <w:rFonts w:ascii="AvantGardeC" w:hAnsi="AvantGardeC" w:cs="Times New Roman"/>
      <w:color w:val="auto"/>
      <w:lang w:val="uk-UA"/>
    </w:rPr>
  </w:style>
  <w:style w:type="character" w:customStyle="1" w:styleId="A13">
    <w:name w:val="A13"/>
    <w:uiPriority w:val="99"/>
    <w:rsid w:val="005071BD"/>
    <w:rPr>
      <w:rFonts w:cs="AvantGardeC"/>
      <w:b/>
      <w:bCs/>
      <w:color w:val="FFFFFF"/>
      <w:sz w:val="12"/>
      <w:szCs w:val="12"/>
    </w:rPr>
  </w:style>
  <w:style w:type="paragraph" w:customStyle="1" w:styleId="Pa17">
    <w:name w:val="Pa17"/>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28">
    <w:name w:val="Pa28"/>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30">
    <w:name w:val="Pa30"/>
    <w:basedOn w:val="Default"/>
    <w:next w:val="Default"/>
    <w:uiPriority w:val="99"/>
    <w:rsid w:val="005071BD"/>
    <w:pPr>
      <w:spacing w:line="201" w:lineRule="atLeast"/>
    </w:pPr>
    <w:rPr>
      <w:rFonts w:ascii="AvantGardeC" w:hAnsi="AvantGardeC" w:cs="Times New Roman"/>
      <w:color w:val="auto"/>
      <w:lang w:val="uk-UA"/>
    </w:rPr>
  </w:style>
  <w:style w:type="character" w:customStyle="1" w:styleId="A20">
    <w:name w:val="A20"/>
    <w:uiPriority w:val="99"/>
    <w:rsid w:val="005071BD"/>
    <w:rPr>
      <w:rFonts w:cs="AvantGardeC"/>
      <w:color w:val="6F7072"/>
      <w:sz w:val="16"/>
      <w:szCs w:val="16"/>
    </w:rPr>
  </w:style>
  <w:style w:type="character" w:customStyle="1" w:styleId="2">
    <w:name w:val="Основной текст (2)_"/>
    <w:rsid w:val="00A146EE"/>
    <w:rPr>
      <w:sz w:val="20"/>
      <w:szCs w:val="20"/>
      <w:u w:val="none"/>
    </w:rPr>
  </w:style>
  <w:style w:type="character" w:customStyle="1" w:styleId="6">
    <w:name w:val="Основной текст (6)_"/>
    <w:rsid w:val="007618C9"/>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71A80-B46D-4E91-9E5F-D3941F85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11833</Words>
  <Characters>6746</Characters>
  <Application>Microsoft Office Word</Application>
  <DocSecurity>0</DocSecurity>
  <Lines>56</Lines>
  <Paragraphs>37</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Publicis Groupe</Company>
  <LinksUpToDate>false</LinksUpToDate>
  <CharactersWithSpaces>18542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njohnson2</dc:creator>
  <cp:lastModifiedBy>Kyslyakova,Nataliya (MED) BI-UA-K</cp:lastModifiedBy>
  <cp:revision>3</cp:revision>
  <cp:lastPrinted>2016-11-30T12:06:00Z</cp:lastPrinted>
  <dcterms:created xsi:type="dcterms:W3CDTF">2017-04-24T07:05:00Z</dcterms:created>
  <dcterms:modified xsi:type="dcterms:W3CDTF">2017-04-24T07:07:00Z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