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theme/themeOverride2.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A4" w:rsidRPr="0089786F" w:rsidRDefault="003A65A4" w:rsidP="003A65A4">
      <w:pPr>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 xml:space="preserve">Інформаційна довідка щодо проведення експертизи матеріалів  клінічних випробувань лікарських засобів </w:t>
      </w:r>
      <w:r w:rsidR="00C54C47">
        <w:rPr>
          <w:rFonts w:ascii="Times New Roman" w:eastAsia="Times New Roman" w:hAnsi="Times New Roman" w:cs="Times New Roman"/>
          <w:b/>
          <w:sz w:val="28"/>
          <w:szCs w:val="28"/>
          <w:lang w:eastAsia="ru-RU"/>
        </w:rPr>
        <w:t xml:space="preserve">за </w:t>
      </w:r>
      <w:r w:rsidRPr="0089786F">
        <w:rPr>
          <w:rFonts w:ascii="Times New Roman" w:eastAsia="Times New Roman" w:hAnsi="Times New Roman" w:cs="Times New Roman"/>
          <w:b/>
          <w:sz w:val="28"/>
          <w:szCs w:val="28"/>
          <w:lang w:eastAsia="ru-RU"/>
        </w:rPr>
        <w:t>201</w:t>
      </w:r>
      <w:r w:rsidR="00C72102" w:rsidRPr="0089786F">
        <w:rPr>
          <w:rFonts w:ascii="Times New Roman" w:eastAsia="Times New Roman" w:hAnsi="Times New Roman" w:cs="Times New Roman"/>
          <w:b/>
          <w:sz w:val="28"/>
          <w:szCs w:val="28"/>
          <w:lang w:eastAsia="ru-RU"/>
        </w:rPr>
        <w:t>8</w:t>
      </w:r>
      <w:r w:rsidRPr="0089786F">
        <w:rPr>
          <w:rFonts w:ascii="Times New Roman" w:eastAsia="Times New Roman" w:hAnsi="Times New Roman" w:cs="Times New Roman"/>
          <w:b/>
          <w:sz w:val="28"/>
          <w:szCs w:val="28"/>
          <w:lang w:eastAsia="ru-RU"/>
        </w:rPr>
        <w:t xml:space="preserve"> р</w:t>
      </w:r>
      <w:r w:rsidR="00707B2B" w:rsidRPr="00707B2B">
        <w:rPr>
          <w:rFonts w:ascii="Times New Roman" w:eastAsia="Times New Roman" w:hAnsi="Times New Roman" w:cs="Times New Roman"/>
          <w:b/>
          <w:sz w:val="28"/>
          <w:szCs w:val="28"/>
          <w:lang w:val="ru-RU" w:eastAsia="ru-RU"/>
        </w:rPr>
        <w:t>і</w:t>
      </w:r>
      <w:r w:rsidR="006B4934" w:rsidRPr="0089786F">
        <w:rPr>
          <w:rFonts w:ascii="Times New Roman" w:eastAsia="Times New Roman" w:hAnsi="Times New Roman" w:cs="Times New Roman"/>
          <w:b/>
          <w:sz w:val="28"/>
          <w:szCs w:val="28"/>
          <w:lang w:eastAsia="ru-RU"/>
        </w:rPr>
        <w:t>к</w:t>
      </w:r>
      <w:r w:rsidRPr="0089786F">
        <w:rPr>
          <w:rFonts w:ascii="Times New Roman" w:eastAsia="Times New Roman" w:hAnsi="Times New Roman" w:cs="Times New Roman"/>
          <w:b/>
          <w:sz w:val="28"/>
          <w:szCs w:val="28"/>
          <w:lang w:eastAsia="ru-RU"/>
        </w:rPr>
        <w:t>.</w:t>
      </w:r>
    </w:p>
    <w:p w:rsidR="0095344A" w:rsidRPr="0089786F" w:rsidRDefault="0095344A" w:rsidP="003A65A4">
      <w:pPr>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Думенко Т.М., Ковтун Л.І., Янкова Л.Я., Распутняк С.С.</w:t>
      </w:r>
    </w:p>
    <w:p w:rsidR="003A65A4" w:rsidRPr="0089786F" w:rsidRDefault="003A65A4" w:rsidP="003A65A4">
      <w:pPr>
        <w:spacing w:after="0" w:line="240" w:lineRule="auto"/>
        <w:jc w:val="center"/>
        <w:rPr>
          <w:rFonts w:ascii="Times New Roman" w:eastAsia="Times New Roman" w:hAnsi="Times New Roman" w:cs="Times New Roman"/>
          <w:i/>
          <w:sz w:val="24"/>
          <w:szCs w:val="24"/>
          <w:lang w:eastAsia="ru-RU"/>
        </w:rPr>
      </w:pPr>
      <w:r w:rsidRPr="0089786F">
        <w:rPr>
          <w:rFonts w:ascii="Times New Roman" w:eastAsia="Times New Roman" w:hAnsi="Times New Roman" w:cs="Times New Roman"/>
          <w:i/>
          <w:sz w:val="24"/>
          <w:szCs w:val="24"/>
          <w:lang w:eastAsia="ru-RU"/>
        </w:rPr>
        <w:t>(за даними роботи Департаменту експертизи матеріалів доклінічних та клінічних випробувань Державного експертного центру МОЗ України)</w:t>
      </w:r>
    </w:p>
    <w:p w:rsidR="003A65A4" w:rsidRPr="0089786F" w:rsidRDefault="003A65A4" w:rsidP="003A65A4">
      <w:pPr>
        <w:spacing w:after="0" w:line="240" w:lineRule="auto"/>
        <w:jc w:val="center"/>
        <w:rPr>
          <w:rFonts w:ascii="Times New Roman" w:eastAsia="Times New Roman" w:hAnsi="Times New Roman" w:cs="Times New Roman"/>
          <w:b/>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Клінічним випробуванням відводиться важливе місце при розробці нових лікарських засобів, тому що рішення щодо можливості медичного застосування лікарського засобу може бути прийняте тільки після систематичного вивчення його на людині та на підставі даних доведеної ефективності та безпечності. </w:t>
      </w:r>
    </w:p>
    <w:p w:rsidR="003A65A4" w:rsidRPr="0089786F" w:rsidRDefault="003A65A4" w:rsidP="003A65A4">
      <w:pPr>
        <w:widowControl w:val="0"/>
        <w:tabs>
          <w:tab w:val="left" w:pos="54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9786F">
        <w:rPr>
          <w:rFonts w:ascii="Times New Roman" w:eastAsia="Times New Roman" w:hAnsi="Times New Roman" w:cs="Times New Roman"/>
          <w:sz w:val="28"/>
          <w:szCs w:val="24"/>
          <w:lang w:eastAsia="ru-RU"/>
        </w:rPr>
        <w:tab/>
        <w:t>Клінічне випробування (дослідження) лікарського засобу – науково-дослідницька робота, метою якої є будь-яке дослідження за участю людини  як суб’єкта дослідження, призначене для виявлення або підтвердження клінічних, фармакологічних та/або інших фармакодинамічних ефектів одного або декількох досліджуваних лікарських засобів, та/або виявлення побічних реакцій на один або декілька досліджуваних лікарських засобів, та/або для вивчення усмоктування, розподілу, метаболізму, та виведення одного або кількох лікарських засобів з метою підтвердження його (їх) безпечності та/або ефективності.</w:t>
      </w:r>
    </w:p>
    <w:p w:rsidR="003A65A4" w:rsidRPr="0089786F" w:rsidRDefault="003A65A4" w:rsidP="003A65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0" w:line="240" w:lineRule="atLeast"/>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ab/>
        <w:t>На теперішній час нові лікарські засоби незалежно від того, у якій країні вони були розроблені, повинні оцінюватися на підставі адекватних даних досліджень, проведених з дотриманням уніфікованих вимог, у тому числі й правил належної клінічної практики. Для виконання сучасних вимог GCP необхідне співробітництво всіх зацікавлених сторін - промисловості, дослідників, державних органів, відповідальних за реєстрацію й контроль лікарських препаратів, комісій з питань етики. Правила GCP розцінюються як необхідна умова для належного проведення клінічних випробувань у більшості розвинених країн світу.</w:t>
      </w:r>
    </w:p>
    <w:p w:rsidR="003A65A4" w:rsidRPr="0089786F" w:rsidRDefault="003A65A4" w:rsidP="003A65A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Протягом останніх років проводилась розробка та впровадження регламентуючих документів щодо вдосконалення експертизи матеріалів та проведення КВ, що засвідчувала  поступову гармонізацію з міжнародними стандартами проведення КВ.</w:t>
      </w:r>
    </w:p>
    <w:p w:rsidR="0035492C" w:rsidRPr="0089786F" w:rsidRDefault="003A65A4" w:rsidP="00C614CF">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89786F">
        <w:rPr>
          <w:rFonts w:ascii="Times New Roman" w:eastAsia="Times New Roman" w:hAnsi="Times New Roman" w:cs="Times New Roman"/>
          <w:sz w:val="28"/>
          <w:szCs w:val="28"/>
          <w:lang w:eastAsia="ru-RU"/>
        </w:rPr>
        <w:t>Так, у 2009 р. наказом МОЗ України від 16.02.2009р. № 95 була затверджена Настанова з клінічних досліджень. Лікарські засоби. Належна клінічна практика. Настанова 42-7.0:2008. Дана Настанова була розроблена на підставі Керівництва з Належної клінічної практики (Керівництво СР</w:t>
      </w:r>
      <w:r w:rsidR="005401BE" w:rsidRPr="0089786F">
        <w:rPr>
          <w:rFonts w:ascii="Times New Roman" w:eastAsia="Times New Roman" w:hAnsi="Times New Roman" w:cs="Times New Roman"/>
          <w:sz w:val="28"/>
          <w:szCs w:val="28"/>
          <w:lang w:eastAsia="ru-RU"/>
        </w:rPr>
        <w:t>M</w:t>
      </w:r>
      <w:r w:rsidRPr="0089786F">
        <w:rPr>
          <w:rFonts w:ascii="Times New Roman" w:eastAsia="Times New Roman" w:hAnsi="Times New Roman" w:cs="Times New Roman"/>
          <w:sz w:val="28"/>
          <w:szCs w:val="28"/>
          <w:lang w:eastAsia="ru-RU"/>
        </w:rPr>
        <w:t>Р/ICH/135/95 (Е6) «</w:t>
      </w:r>
      <w:r w:rsidRPr="0089786F">
        <w:rPr>
          <w:rFonts w:ascii="Times New Roman" w:eastAsia="Times New Roman" w:hAnsi="Times New Roman" w:cs="Times New Roman"/>
          <w:iCs/>
          <w:sz w:val="28"/>
          <w:szCs w:val="28"/>
          <w:lang w:eastAsia="ru-RU"/>
        </w:rPr>
        <w:t>Note for Guidance on Good Clinical Practice», 1997).</w:t>
      </w:r>
      <w:r w:rsidR="00C614CF" w:rsidRPr="0089786F">
        <w:rPr>
          <w:rFonts w:ascii="Times New Roman" w:eastAsia="Times New Roman" w:hAnsi="Times New Roman" w:cs="Times New Roman"/>
          <w:iCs/>
          <w:sz w:val="28"/>
          <w:szCs w:val="28"/>
          <w:lang w:eastAsia="ru-RU"/>
        </w:rPr>
        <w:t xml:space="preserve"> </w:t>
      </w:r>
      <w:r w:rsidR="005401BE" w:rsidRPr="0089786F">
        <w:rPr>
          <w:rFonts w:ascii="Times New Roman" w:eastAsia="Times New Roman" w:hAnsi="Times New Roman" w:cs="Times New Roman"/>
          <w:sz w:val="28"/>
          <w:szCs w:val="28"/>
          <w:lang w:eastAsia="ru-RU"/>
        </w:rPr>
        <w:t>З</w:t>
      </w:r>
      <w:r w:rsidR="0035492C" w:rsidRPr="0089786F">
        <w:rPr>
          <w:rFonts w:ascii="Times New Roman" w:eastAsia="Times New Roman" w:hAnsi="Times New Roman" w:cs="Times New Roman"/>
          <w:sz w:val="28"/>
          <w:szCs w:val="28"/>
          <w:lang w:eastAsia="ru-RU"/>
        </w:rPr>
        <w:t xml:space="preserve"> метою імплементації Integrated Addendum to ICH E6(R1): Guideline for Good Clinical Practice E6(R2) Current Step 4 version dated 9 November 2016,</w:t>
      </w:r>
      <w:r w:rsidR="005401BE" w:rsidRPr="0089786F">
        <w:rPr>
          <w:rFonts w:ascii="Times New Roman" w:eastAsia="Times New Roman" w:hAnsi="Times New Roman" w:cs="Times New Roman"/>
          <w:sz w:val="28"/>
          <w:szCs w:val="28"/>
          <w:lang w:eastAsia="ru-RU"/>
        </w:rPr>
        <w:t xml:space="preserve"> Наказом МОЗ України від 26.09.2017 №1169 до настанови були внесені доповнення у відповідності до ICH GCP E6(R2)</w:t>
      </w:r>
      <w:r w:rsidR="00C614CF" w:rsidRPr="0089786F">
        <w:rPr>
          <w:rFonts w:ascii="Times New Roman" w:eastAsia="Times New Roman" w:hAnsi="Times New Roman" w:cs="Times New Roman"/>
          <w:sz w:val="28"/>
          <w:szCs w:val="28"/>
          <w:lang w:eastAsia="ru-RU"/>
        </w:rPr>
        <w:t>.</w:t>
      </w:r>
    </w:p>
    <w:p w:rsidR="0035492C" w:rsidRPr="0089786F" w:rsidRDefault="0035492C" w:rsidP="003A65A4">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rsidR="003A65A4" w:rsidRPr="0089786F" w:rsidRDefault="003A65A4" w:rsidP="003A65A4">
      <w:pPr>
        <w:spacing w:after="0" w:line="240" w:lineRule="auto"/>
        <w:ind w:firstLine="709"/>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lastRenderedPageBreak/>
        <w:t xml:space="preserve"> З метою удосконалення проведення клінічних випробувань в Україні було внесені зміни до нормативно-правової бази, зокрема, наказами МОЗ України від 06.05.2014 № 304 (зареєстровано в Міністерстві юстиції України 07.07.2014 за № 739/25516),  від 18.12.2014 № 966 (зареєстровано в Міністерстві юстиції України 17.01.2015 за № 62/26507) та від 01.10.2015 № 639 (зареєстровано в Міністерстві юстиції України 08.12.2015 за № 1520/27965) були внесені зміни до Порядку проведення клінічних випробувань лікарських засобів та експертизи матеріалів клінічних випробувань (далі – Порядок 690). </w:t>
      </w:r>
    </w:p>
    <w:p w:rsidR="003A65A4" w:rsidRPr="0089786F" w:rsidRDefault="003A65A4" w:rsidP="003A65A4">
      <w:pPr>
        <w:spacing w:after="0" w:line="240" w:lineRule="auto"/>
        <w:ind w:firstLine="709"/>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Для реалізації положень Податкового Кодексу України (застосування 7% ставки податку на додану вартість під час ввезення незареєстрованих лікарських засобів на митну територію України) зміни до Порядку 690 запровадили </w:t>
      </w:r>
      <w:r w:rsidRPr="0089786F">
        <w:rPr>
          <w:rFonts w:ascii="Times New Roman" w:eastAsia="Times New Roman" w:hAnsi="Times New Roman" w:cs="Times New Roman"/>
          <w:sz w:val="28"/>
          <w:szCs w:val="28"/>
          <w:u w:val="single"/>
          <w:lang w:eastAsia="ru-RU"/>
        </w:rPr>
        <w:t xml:space="preserve">затвердження </w:t>
      </w:r>
      <w:r w:rsidRPr="0089786F">
        <w:rPr>
          <w:rFonts w:ascii="Times New Roman" w:eastAsia="Times New Roman" w:hAnsi="Times New Roman" w:cs="Times New Roman"/>
          <w:sz w:val="28"/>
          <w:szCs w:val="28"/>
          <w:u w:val="single"/>
          <w:lang w:eastAsia="uk-UA"/>
        </w:rPr>
        <w:t>клінічного випробування / суттєвої поправки</w:t>
      </w:r>
      <w:r w:rsidRPr="0089786F">
        <w:rPr>
          <w:rFonts w:ascii="Times New Roman" w:eastAsia="Times New Roman" w:hAnsi="Times New Roman" w:cs="Times New Roman"/>
          <w:sz w:val="28"/>
          <w:szCs w:val="28"/>
          <w:u w:val="single"/>
          <w:lang w:eastAsia="ru-RU"/>
        </w:rPr>
        <w:t xml:space="preserve"> наказами МОЗ.</w:t>
      </w:r>
      <w:r w:rsidRPr="0089786F">
        <w:rPr>
          <w:rFonts w:ascii="Times New Roman" w:eastAsia="Times New Roman" w:hAnsi="Times New Roman" w:cs="Times New Roman"/>
          <w:sz w:val="28"/>
          <w:szCs w:val="28"/>
          <w:lang w:eastAsia="ru-RU"/>
        </w:rPr>
        <w:t xml:space="preserve"> Це передбачає подання заяви про проведення КВ лікарських засобів / про внесення суттєвої поправки до протоколу КВ </w:t>
      </w:r>
      <w:r w:rsidRPr="0089786F">
        <w:rPr>
          <w:rFonts w:ascii="Times New Roman" w:eastAsia="Times New Roman" w:hAnsi="Times New Roman" w:cs="Times New Roman"/>
          <w:sz w:val="28"/>
          <w:szCs w:val="28"/>
          <w:u w:val="single"/>
          <w:lang w:eastAsia="ru-RU"/>
        </w:rPr>
        <w:t>до Центру адміністративних послуг МОЗ України - «Єдине вікно»</w:t>
      </w:r>
      <w:r w:rsidRPr="0089786F">
        <w:rPr>
          <w:rFonts w:ascii="Times New Roman" w:eastAsia="Times New Roman" w:hAnsi="Times New Roman" w:cs="Times New Roman"/>
          <w:sz w:val="28"/>
          <w:szCs w:val="28"/>
          <w:lang w:eastAsia="ru-RU"/>
        </w:rPr>
        <w:t xml:space="preserve">. Після затвердження, накази оприлюднюються </w:t>
      </w:r>
      <w:r w:rsidRPr="0089786F">
        <w:rPr>
          <w:rFonts w:ascii="Times New Roman" w:eastAsia="Times New Roman" w:hAnsi="Times New Roman" w:cs="Times New Roman"/>
          <w:sz w:val="28"/>
          <w:szCs w:val="28"/>
          <w:u w:val="single"/>
          <w:lang w:eastAsia="ru-RU"/>
        </w:rPr>
        <w:t>на сайті МОЗ</w:t>
      </w:r>
      <w:r w:rsidR="008E3098" w:rsidRPr="0089786F">
        <w:rPr>
          <w:rFonts w:ascii="Times New Roman" w:eastAsia="Times New Roman" w:hAnsi="Times New Roman" w:cs="Times New Roman"/>
          <w:sz w:val="28"/>
          <w:szCs w:val="28"/>
          <w:u w:val="single"/>
          <w:lang w:eastAsia="ru-RU"/>
        </w:rPr>
        <w:t xml:space="preserve"> та ДЕЦ</w:t>
      </w:r>
      <w:r w:rsidRPr="0089786F">
        <w:rPr>
          <w:rFonts w:ascii="Times New Roman" w:eastAsia="Times New Roman" w:hAnsi="Times New Roman" w:cs="Times New Roman"/>
          <w:sz w:val="28"/>
          <w:szCs w:val="28"/>
          <w:u w:val="single"/>
          <w:lang w:eastAsia="ru-RU"/>
        </w:rPr>
        <w:t>.</w:t>
      </w:r>
      <w:r w:rsidRPr="0089786F">
        <w:rPr>
          <w:rFonts w:ascii="Times New Roman" w:eastAsia="Times New Roman" w:hAnsi="Times New Roman" w:cs="Times New Roman"/>
          <w:sz w:val="28"/>
          <w:szCs w:val="28"/>
          <w:lang w:eastAsia="ru-RU"/>
        </w:rPr>
        <w:t xml:space="preserve"> Ця процедура наблизила створення єдиного </w:t>
      </w:r>
      <w:r w:rsidRPr="0089786F">
        <w:rPr>
          <w:rFonts w:ascii="Times New Roman" w:eastAsia="Times New Roman" w:hAnsi="Times New Roman" w:cs="Times New Roman"/>
          <w:sz w:val="28"/>
          <w:szCs w:val="28"/>
          <w:u w:val="single"/>
          <w:lang w:eastAsia="ru-RU"/>
        </w:rPr>
        <w:t>відкритого реєстру клінічних випробувань в Україні</w:t>
      </w:r>
      <w:r w:rsidRPr="0089786F">
        <w:rPr>
          <w:rFonts w:ascii="Times New Roman" w:eastAsia="Times New Roman" w:hAnsi="Times New Roman" w:cs="Times New Roman"/>
          <w:sz w:val="28"/>
          <w:szCs w:val="28"/>
          <w:lang w:eastAsia="ru-RU"/>
        </w:rPr>
        <w:t xml:space="preserve"> та зробила процес проведення КВ більш прозорим.</w:t>
      </w: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hanging="1134"/>
        <w:rPr>
          <w:rFonts w:ascii="Times New Roman" w:eastAsia="Times New Roman" w:hAnsi="Times New Roman" w:cs="Times New Roman"/>
          <w:sz w:val="28"/>
          <w:szCs w:val="28"/>
        </w:rPr>
      </w:pPr>
      <w:r w:rsidRPr="0089786F">
        <w:rPr>
          <w:rFonts w:ascii="Times New Roman" w:eastAsia="Times New Roman" w:hAnsi="Times New Roman" w:cs="Times New Roman"/>
          <w:sz w:val="28"/>
          <w:szCs w:val="28"/>
          <w:lang w:eastAsia="ru-RU"/>
        </w:rPr>
        <w:object w:dxaOrig="9600"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2pt;height:342pt" o:ole="">
            <v:imagedata r:id="rId8" o:title=""/>
          </v:shape>
          <o:OLEObject Type="Embed" ProgID="PowerPoint.Show.12" ShapeID="_x0000_i1025" DrawAspect="Content" ObjectID="_1614599965" r:id="rId9"/>
        </w:object>
      </w:r>
    </w:p>
    <w:p w:rsidR="003A65A4" w:rsidRPr="0089786F" w:rsidRDefault="003A65A4" w:rsidP="003A65A4">
      <w:pPr>
        <w:widowControl w:val="0"/>
        <w:tabs>
          <w:tab w:val="left" w:pos="108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89786F">
        <w:rPr>
          <w:rFonts w:ascii="Times New Roman" w:eastAsia="Times New Roman" w:hAnsi="Times New Roman" w:cs="Times New Roman"/>
          <w:bCs/>
          <w:sz w:val="28"/>
          <w:szCs w:val="28"/>
          <w:lang w:eastAsia="ru-RU"/>
        </w:rPr>
        <w:tab/>
      </w:r>
    </w:p>
    <w:p w:rsidR="0096543C" w:rsidRPr="0089786F" w:rsidRDefault="003A65A4" w:rsidP="003A65A4">
      <w:pPr>
        <w:widowControl w:val="0"/>
        <w:tabs>
          <w:tab w:val="left" w:pos="54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9786F">
        <w:rPr>
          <w:rFonts w:ascii="Times New Roman" w:eastAsia="Times New Roman" w:hAnsi="Times New Roman" w:cs="Times New Roman"/>
          <w:bCs/>
          <w:sz w:val="28"/>
          <w:szCs w:val="28"/>
          <w:lang w:eastAsia="ru-RU"/>
        </w:rPr>
        <w:tab/>
      </w:r>
    </w:p>
    <w:p w:rsidR="00C72DC8" w:rsidRPr="0089786F" w:rsidRDefault="0096543C" w:rsidP="00DF5166">
      <w:pPr>
        <w:widowControl w:val="0"/>
        <w:tabs>
          <w:tab w:val="left" w:pos="54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9786F">
        <w:rPr>
          <w:rFonts w:ascii="Times New Roman" w:eastAsia="Times New Roman" w:hAnsi="Times New Roman" w:cs="Times New Roman"/>
          <w:bCs/>
          <w:sz w:val="28"/>
          <w:szCs w:val="28"/>
          <w:lang w:eastAsia="ru-RU"/>
        </w:rPr>
        <w:tab/>
      </w:r>
    </w:p>
    <w:p w:rsidR="00DF5166" w:rsidRPr="0089786F" w:rsidRDefault="007A77CE" w:rsidP="00DF5166">
      <w:pPr>
        <w:widowControl w:val="0"/>
        <w:tabs>
          <w:tab w:val="left" w:pos="54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9786F">
        <w:rPr>
          <w:rFonts w:ascii="Times New Roman" w:eastAsia="Times New Roman" w:hAnsi="Times New Roman" w:cs="Times New Roman"/>
          <w:bCs/>
          <w:sz w:val="28"/>
          <w:szCs w:val="28"/>
          <w:lang w:eastAsia="ru-RU"/>
        </w:rPr>
        <w:lastRenderedPageBreak/>
        <w:tab/>
      </w:r>
      <w:r w:rsidR="003A65A4" w:rsidRPr="0089786F">
        <w:rPr>
          <w:rFonts w:ascii="Times New Roman" w:eastAsia="Times New Roman" w:hAnsi="Times New Roman" w:cs="Times New Roman"/>
          <w:bCs/>
          <w:sz w:val="28"/>
          <w:szCs w:val="28"/>
          <w:lang w:eastAsia="ru-RU"/>
        </w:rPr>
        <w:t>З 20</w:t>
      </w:r>
      <w:r w:rsidR="008E3098" w:rsidRPr="0089786F">
        <w:rPr>
          <w:rFonts w:ascii="Times New Roman" w:eastAsia="Times New Roman" w:hAnsi="Times New Roman" w:cs="Times New Roman"/>
          <w:bCs/>
          <w:sz w:val="28"/>
          <w:szCs w:val="28"/>
          <w:lang w:eastAsia="ru-RU"/>
        </w:rPr>
        <w:t>10</w:t>
      </w:r>
      <w:r w:rsidRPr="0089786F">
        <w:rPr>
          <w:rFonts w:ascii="Times New Roman" w:eastAsia="Times New Roman" w:hAnsi="Times New Roman" w:cs="Times New Roman"/>
          <w:bCs/>
          <w:sz w:val="28"/>
          <w:szCs w:val="28"/>
          <w:lang w:eastAsia="ru-RU"/>
        </w:rPr>
        <w:t xml:space="preserve"> р.</w:t>
      </w:r>
      <w:r w:rsidR="003A65A4" w:rsidRPr="0089786F">
        <w:rPr>
          <w:rFonts w:ascii="Times New Roman" w:eastAsia="Times New Roman" w:hAnsi="Times New Roman" w:cs="Times New Roman"/>
          <w:bCs/>
          <w:sz w:val="28"/>
          <w:szCs w:val="28"/>
          <w:lang w:eastAsia="ru-RU"/>
        </w:rPr>
        <w:t xml:space="preserve"> </w:t>
      </w:r>
      <w:r w:rsidRPr="0089786F">
        <w:rPr>
          <w:rFonts w:ascii="Times New Roman" w:eastAsia="Times New Roman" w:hAnsi="Times New Roman" w:cs="Times New Roman"/>
          <w:bCs/>
          <w:sz w:val="28"/>
          <w:szCs w:val="28"/>
          <w:lang w:eastAsia="ru-RU"/>
        </w:rPr>
        <w:t>по</w:t>
      </w:r>
      <w:r w:rsidR="003A65A4" w:rsidRPr="0089786F">
        <w:rPr>
          <w:rFonts w:ascii="Times New Roman" w:eastAsia="Times New Roman" w:hAnsi="Times New Roman" w:cs="Times New Roman"/>
          <w:bCs/>
          <w:sz w:val="28"/>
          <w:szCs w:val="28"/>
          <w:lang w:eastAsia="ru-RU"/>
        </w:rPr>
        <w:t xml:space="preserve"> </w:t>
      </w:r>
      <w:r w:rsidR="00DF5166" w:rsidRPr="0089786F">
        <w:rPr>
          <w:rFonts w:ascii="Times New Roman" w:eastAsia="Times New Roman" w:hAnsi="Times New Roman" w:cs="Times New Roman"/>
          <w:bCs/>
          <w:sz w:val="28"/>
          <w:szCs w:val="28"/>
          <w:lang w:eastAsia="ru-RU"/>
        </w:rPr>
        <w:t>2018 р</w:t>
      </w:r>
      <w:r w:rsidRPr="0089786F">
        <w:rPr>
          <w:rFonts w:ascii="Times New Roman" w:eastAsia="Times New Roman" w:hAnsi="Times New Roman" w:cs="Times New Roman"/>
          <w:bCs/>
          <w:sz w:val="28"/>
          <w:szCs w:val="28"/>
          <w:lang w:eastAsia="ru-RU"/>
        </w:rPr>
        <w:t>.</w:t>
      </w:r>
      <w:r w:rsidR="00DF5166" w:rsidRPr="0089786F">
        <w:rPr>
          <w:rFonts w:ascii="Times New Roman" w:eastAsia="Times New Roman" w:hAnsi="Times New Roman" w:cs="Times New Roman"/>
          <w:bCs/>
          <w:sz w:val="28"/>
          <w:szCs w:val="28"/>
          <w:lang w:eastAsia="ru-RU"/>
        </w:rPr>
        <w:t xml:space="preserve"> </w:t>
      </w:r>
      <w:r w:rsidR="003A65A4" w:rsidRPr="0089786F">
        <w:rPr>
          <w:rFonts w:ascii="Times New Roman" w:eastAsia="Times New Roman" w:hAnsi="Times New Roman" w:cs="Times New Roman"/>
          <w:bCs/>
          <w:sz w:val="28"/>
          <w:szCs w:val="28"/>
          <w:lang w:eastAsia="ru-RU"/>
        </w:rPr>
        <w:t xml:space="preserve">в Україні було отримано заявниками КВ </w:t>
      </w:r>
      <w:r w:rsidR="00DF5166" w:rsidRPr="0089786F">
        <w:rPr>
          <w:rFonts w:ascii="Times New Roman" w:eastAsia="Times New Roman" w:hAnsi="Times New Roman" w:cs="Times New Roman"/>
          <w:b/>
          <w:bCs/>
          <w:sz w:val="28"/>
          <w:szCs w:val="28"/>
          <w:lang w:eastAsia="ru-RU"/>
        </w:rPr>
        <w:t>20</w:t>
      </w:r>
      <w:r w:rsidR="008A0781">
        <w:rPr>
          <w:rFonts w:ascii="Times New Roman" w:eastAsia="Times New Roman" w:hAnsi="Times New Roman" w:cs="Times New Roman"/>
          <w:b/>
          <w:bCs/>
          <w:sz w:val="28"/>
          <w:szCs w:val="28"/>
          <w:lang w:eastAsia="ru-RU"/>
        </w:rPr>
        <w:t>58</w:t>
      </w:r>
      <w:r w:rsidR="008E3098" w:rsidRPr="0089786F">
        <w:rPr>
          <w:rFonts w:ascii="Times New Roman" w:eastAsia="Times New Roman" w:hAnsi="Times New Roman" w:cs="Times New Roman"/>
          <w:bCs/>
          <w:sz w:val="28"/>
          <w:szCs w:val="28"/>
          <w:lang w:eastAsia="ru-RU"/>
        </w:rPr>
        <w:t xml:space="preserve"> </w:t>
      </w:r>
      <w:r w:rsidR="003A65A4" w:rsidRPr="0089786F">
        <w:rPr>
          <w:rFonts w:ascii="Times New Roman" w:eastAsia="Times New Roman" w:hAnsi="Times New Roman" w:cs="Times New Roman"/>
          <w:bCs/>
          <w:sz w:val="28"/>
          <w:szCs w:val="28"/>
          <w:lang w:eastAsia="ru-RU"/>
        </w:rPr>
        <w:t>позитивн</w:t>
      </w:r>
      <w:r w:rsidR="008A0781">
        <w:rPr>
          <w:rFonts w:ascii="Times New Roman" w:eastAsia="Times New Roman" w:hAnsi="Times New Roman" w:cs="Times New Roman"/>
          <w:bCs/>
          <w:sz w:val="28"/>
          <w:szCs w:val="28"/>
          <w:lang w:eastAsia="ru-RU"/>
        </w:rPr>
        <w:t>их</w:t>
      </w:r>
      <w:r w:rsidR="003A65A4" w:rsidRPr="0089786F">
        <w:rPr>
          <w:rFonts w:ascii="Times New Roman" w:eastAsia="Times New Roman" w:hAnsi="Times New Roman" w:cs="Times New Roman"/>
          <w:bCs/>
          <w:sz w:val="28"/>
          <w:szCs w:val="28"/>
          <w:lang w:eastAsia="ru-RU"/>
        </w:rPr>
        <w:t xml:space="preserve"> висновк</w:t>
      </w:r>
      <w:r w:rsidR="008A0781">
        <w:rPr>
          <w:rFonts w:ascii="Times New Roman" w:eastAsia="Times New Roman" w:hAnsi="Times New Roman" w:cs="Times New Roman"/>
          <w:bCs/>
          <w:sz w:val="28"/>
          <w:szCs w:val="28"/>
          <w:lang w:eastAsia="ru-RU"/>
        </w:rPr>
        <w:t>ів</w:t>
      </w:r>
      <w:r w:rsidR="003A65A4" w:rsidRPr="0089786F">
        <w:rPr>
          <w:rFonts w:ascii="Times New Roman" w:eastAsia="Times New Roman" w:hAnsi="Times New Roman" w:cs="Times New Roman"/>
          <w:bCs/>
          <w:sz w:val="28"/>
          <w:szCs w:val="28"/>
          <w:lang w:eastAsia="ru-RU"/>
        </w:rPr>
        <w:t xml:space="preserve"> щодо можливості проведення КВ ЛЗ як вітчизняних виробників, так іноземних виробників при проведенні міжнародних багатоцентрових КВ. </w:t>
      </w:r>
    </w:p>
    <w:p w:rsidR="00DF5166" w:rsidRPr="0089786F" w:rsidRDefault="00DF5166" w:rsidP="00DF5166">
      <w:pPr>
        <w:widowControl w:val="0"/>
        <w:tabs>
          <w:tab w:val="left" w:pos="54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A65A4" w:rsidRPr="0089786F" w:rsidRDefault="003A65A4" w:rsidP="003A65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9786F">
        <w:rPr>
          <w:rFonts w:ascii="Times New Roman" w:eastAsia="Times New Roman" w:hAnsi="Times New Roman" w:cs="Times New Roman"/>
          <w:b/>
          <w:bCs/>
          <w:sz w:val="28"/>
          <w:szCs w:val="28"/>
          <w:lang w:eastAsia="ru-RU"/>
        </w:rPr>
        <w:t>Загальна кількість позитивних висновків щодо проведення КВ в Україні (</w:t>
      </w:r>
      <w:r w:rsidR="007A77CE" w:rsidRPr="0089786F">
        <w:rPr>
          <w:rFonts w:ascii="Times New Roman" w:eastAsia="Times New Roman" w:hAnsi="Times New Roman" w:cs="Times New Roman"/>
          <w:b/>
          <w:bCs/>
          <w:sz w:val="28"/>
          <w:szCs w:val="28"/>
          <w:lang w:eastAsia="ru-RU"/>
        </w:rPr>
        <w:t xml:space="preserve"> з 2010 р. по 2018 р.</w:t>
      </w:r>
      <w:r w:rsidRPr="0089786F">
        <w:rPr>
          <w:rFonts w:ascii="Times New Roman" w:eastAsia="Times New Roman" w:hAnsi="Times New Roman" w:cs="Times New Roman"/>
          <w:b/>
          <w:bCs/>
          <w:sz w:val="28"/>
          <w:szCs w:val="28"/>
          <w:lang w:eastAsia="ru-RU"/>
        </w:rPr>
        <w:t>)</w:t>
      </w:r>
    </w:p>
    <w:p w:rsidR="003A65A4" w:rsidRPr="0089786F" w:rsidRDefault="004A2073" w:rsidP="004A2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0" w:line="240" w:lineRule="atLeast"/>
        <w:jc w:val="both"/>
        <w:rPr>
          <w:rFonts w:ascii="Times New Roman" w:eastAsia="Times New Roman" w:hAnsi="Times New Roman" w:cs="Times New Roman"/>
          <w:sz w:val="28"/>
          <w:szCs w:val="28"/>
          <w:lang w:eastAsia="ru-RU"/>
        </w:rPr>
      </w:pPr>
      <w:r w:rsidRPr="0089786F">
        <w:rPr>
          <w:noProof/>
          <w:lang w:eastAsia="uk-UA"/>
        </w:rPr>
        <w:drawing>
          <wp:inline distT="0" distB="0" distL="0" distR="0" wp14:anchorId="0FC75762" wp14:editId="6D70063E">
            <wp:extent cx="5834743" cy="4060372"/>
            <wp:effectExtent l="0" t="0" r="13970" b="165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65A4" w:rsidRPr="0089786F" w:rsidRDefault="003A65A4" w:rsidP="003D76AD">
      <w:pPr>
        <w:spacing w:after="0" w:line="240" w:lineRule="auto"/>
        <w:jc w:val="both"/>
        <w:rPr>
          <w:rFonts w:ascii="Times New Roman" w:eastAsia="Times New Roman" w:hAnsi="Times New Roman" w:cs="Times New Roman"/>
          <w:sz w:val="28"/>
          <w:szCs w:val="28"/>
          <w:lang w:eastAsia="ru-RU"/>
        </w:rPr>
      </w:pPr>
    </w:p>
    <w:p w:rsidR="0096543C" w:rsidRPr="0089786F" w:rsidRDefault="0096543C" w:rsidP="00B94CD3">
      <w:pPr>
        <w:spacing w:after="0" w:line="240" w:lineRule="auto"/>
        <w:ind w:firstLine="708"/>
        <w:jc w:val="both"/>
        <w:rPr>
          <w:rFonts w:ascii="Times New Roman" w:eastAsia="Times New Roman" w:hAnsi="Times New Roman" w:cs="Times New Roman"/>
          <w:sz w:val="28"/>
          <w:szCs w:val="28"/>
          <w:lang w:eastAsia="ru-RU"/>
        </w:rPr>
      </w:pPr>
    </w:p>
    <w:p w:rsidR="00DF5166" w:rsidRPr="0089786F" w:rsidRDefault="003A65A4" w:rsidP="00B94CD3">
      <w:pPr>
        <w:spacing w:after="0" w:line="240" w:lineRule="auto"/>
        <w:ind w:firstLine="708"/>
        <w:jc w:val="both"/>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sz w:val="28"/>
          <w:szCs w:val="28"/>
          <w:lang w:eastAsia="ru-RU"/>
        </w:rPr>
        <w:t>Протягом останніх років в Україні спостерігається наступна динаміка кількості позитивних висновків Центру щодо проведення клінічних випробувань</w:t>
      </w:r>
      <w:r w:rsidRPr="0089786F">
        <w:rPr>
          <w:rFonts w:ascii="Times New Roman" w:eastAsia="Times New Roman" w:hAnsi="Times New Roman" w:cs="Times New Roman"/>
          <w:b/>
          <w:sz w:val="28"/>
          <w:szCs w:val="28"/>
          <w:lang w:eastAsia="ru-RU"/>
        </w:rPr>
        <w:t>: 2</w:t>
      </w:r>
      <w:r w:rsidR="007A77CE" w:rsidRPr="0089786F">
        <w:rPr>
          <w:rFonts w:ascii="Times New Roman" w:eastAsia="Times New Roman" w:hAnsi="Times New Roman" w:cs="Times New Roman"/>
          <w:b/>
          <w:sz w:val="28"/>
          <w:szCs w:val="28"/>
          <w:lang w:eastAsia="ru-RU"/>
        </w:rPr>
        <w:t>010р. – 220, 2011р. – 250, 2012</w:t>
      </w:r>
      <w:r w:rsidRPr="0089786F">
        <w:rPr>
          <w:rFonts w:ascii="Times New Roman" w:eastAsia="Times New Roman" w:hAnsi="Times New Roman" w:cs="Times New Roman"/>
          <w:b/>
          <w:sz w:val="28"/>
          <w:szCs w:val="28"/>
          <w:lang w:eastAsia="ru-RU"/>
        </w:rPr>
        <w:t xml:space="preserve">р. – 265, 2013р. – 233, 2014р. – 269, 2015р. – 202, 2016р. </w:t>
      </w:r>
      <w:r w:rsidR="003D76AD" w:rsidRPr="0089786F">
        <w:rPr>
          <w:rFonts w:ascii="Times New Roman" w:eastAsia="Times New Roman" w:hAnsi="Times New Roman" w:cs="Times New Roman"/>
          <w:b/>
          <w:sz w:val="28"/>
          <w:szCs w:val="28"/>
          <w:lang w:eastAsia="ru-RU"/>
        </w:rPr>
        <w:t>–</w:t>
      </w:r>
      <w:r w:rsidRPr="0089786F">
        <w:rPr>
          <w:rFonts w:ascii="Times New Roman" w:eastAsia="Times New Roman" w:hAnsi="Times New Roman" w:cs="Times New Roman"/>
          <w:b/>
          <w:sz w:val="28"/>
          <w:szCs w:val="28"/>
          <w:lang w:eastAsia="ru-RU"/>
        </w:rPr>
        <w:t xml:space="preserve"> 181</w:t>
      </w:r>
      <w:r w:rsidR="003D76AD" w:rsidRPr="0089786F">
        <w:rPr>
          <w:rFonts w:ascii="Times New Roman" w:eastAsia="Times New Roman" w:hAnsi="Times New Roman" w:cs="Times New Roman"/>
          <w:b/>
          <w:sz w:val="28"/>
          <w:szCs w:val="28"/>
          <w:lang w:eastAsia="ru-RU"/>
        </w:rPr>
        <w:t xml:space="preserve">, </w:t>
      </w:r>
      <w:r w:rsidR="00D00EA7" w:rsidRPr="0089786F">
        <w:rPr>
          <w:rFonts w:ascii="Times New Roman" w:eastAsia="Times New Roman" w:hAnsi="Times New Roman" w:cs="Times New Roman"/>
          <w:b/>
          <w:sz w:val="28"/>
          <w:szCs w:val="28"/>
          <w:lang w:eastAsia="ru-RU"/>
        </w:rPr>
        <w:t xml:space="preserve"> </w:t>
      </w:r>
      <w:r w:rsidR="003D76AD" w:rsidRPr="0089786F">
        <w:rPr>
          <w:rFonts w:ascii="Times New Roman" w:eastAsia="Times New Roman" w:hAnsi="Times New Roman" w:cs="Times New Roman"/>
          <w:b/>
          <w:sz w:val="28"/>
          <w:szCs w:val="28"/>
          <w:lang w:eastAsia="ru-RU"/>
        </w:rPr>
        <w:t xml:space="preserve">2017р. – </w:t>
      </w:r>
      <w:r w:rsidR="00D00EA7" w:rsidRPr="0089786F">
        <w:rPr>
          <w:rFonts w:ascii="Times New Roman" w:eastAsia="Times New Roman" w:hAnsi="Times New Roman" w:cs="Times New Roman"/>
          <w:b/>
          <w:sz w:val="28"/>
          <w:szCs w:val="28"/>
          <w:lang w:eastAsia="ru-RU"/>
        </w:rPr>
        <w:t>230</w:t>
      </w:r>
      <w:r w:rsidR="00DF5166" w:rsidRPr="0089786F">
        <w:rPr>
          <w:rFonts w:ascii="Times New Roman" w:eastAsia="Times New Roman" w:hAnsi="Times New Roman" w:cs="Times New Roman"/>
          <w:b/>
          <w:sz w:val="28"/>
          <w:szCs w:val="28"/>
          <w:lang w:eastAsia="ru-RU"/>
        </w:rPr>
        <w:t xml:space="preserve">, </w:t>
      </w:r>
      <w:r w:rsidR="007A77CE" w:rsidRPr="0089786F">
        <w:rPr>
          <w:rFonts w:ascii="Times New Roman" w:eastAsia="Times New Roman" w:hAnsi="Times New Roman" w:cs="Times New Roman"/>
          <w:b/>
          <w:sz w:val="28"/>
          <w:szCs w:val="28"/>
          <w:lang w:eastAsia="ru-RU"/>
        </w:rPr>
        <w:t>2018</w:t>
      </w:r>
      <w:r w:rsidR="00DF5166" w:rsidRPr="0089786F">
        <w:rPr>
          <w:rFonts w:ascii="Times New Roman" w:eastAsia="Times New Roman" w:hAnsi="Times New Roman" w:cs="Times New Roman"/>
          <w:b/>
          <w:sz w:val="28"/>
          <w:szCs w:val="28"/>
          <w:lang w:eastAsia="ru-RU"/>
        </w:rPr>
        <w:t xml:space="preserve">р. – </w:t>
      </w:r>
      <w:r w:rsidR="008A0781">
        <w:rPr>
          <w:rFonts w:ascii="Times New Roman" w:eastAsia="Times New Roman" w:hAnsi="Times New Roman" w:cs="Times New Roman"/>
          <w:b/>
          <w:sz w:val="28"/>
          <w:szCs w:val="28"/>
          <w:lang w:eastAsia="ru-RU"/>
        </w:rPr>
        <w:t>208</w:t>
      </w:r>
      <w:r w:rsidR="00DF5166" w:rsidRPr="0089786F">
        <w:rPr>
          <w:rFonts w:ascii="Times New Roman" w:eastAsia="Times New Roman" w:hAnsi="Times New Roman" w:cs="Times New Roman"/>
          <w:b/>
          <w:sz w:val="28"/>
          <w:szCs w:val="28"/>
          <w:lang w:eastAsia="ru-RU"/>
        </w:rPr>
        <w:t>;</w:t>
      </w:r>
    </w:p>
    <w:p w:rsidR="00DF5166" w:rsidRPr="0089786F" w:rsidRDefault="00DF5166" w:rsidP="00B94CD3">
      <w:pPr>
        <w:spacing w:after="0" w:line="240" w:lineRule="auto"/>
        <w:ind w:firstLine="708"/>
        <w:jc w:val="both"/>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sz w:val="28"/>
          <w:szCs w:val="28"/>
          <w:lang w:eastAsia="ru-RU"/>
        </w:rPr>
        <w:t>М</w:t>
      </w:r>
      <w:r w:rsidR="003A65A4" w:rsidRPr="0089786F">
        <w:rPr>
          <w:rFonts w:ascii="Times New Roman" w:eastAsia="Times New Roman" w:hAnsi="Times New Roman" w:cs="Times New Roman"/>
          <w:sz w:val="28"/>
          <w:szCs w:val="28"/>
          <w:lang w:eastAsia="ru-RU"/>
        </w:rPr>
        <w:t xml:space="preserve">іжнародних багатоцентрових клінічних випробувань: </w:t>
      </w:r>
      <w:r w:rsidR="003A65A4" w:rsidRPr="0089786F">
        <w:rPr>
          <w:rFonts w:ascii="Times New Roman" w:eastAsia="Times New Roman" w:hAnsi="Times New Roman" w:cs="Times New Roman"/>
          <w:b/>
          <w:sz w:val="28"/>
          <w:szCs w:val="28"/>
          <w:lang w:eastAsia="ru-RU"/>
        </w:rPr>
        <w:t>2010р. – 177,</w:t>
      </w:r>
      <w:r w:rsidR="003A65A4" w:rsidRPr="0089786F">
        <w:rPr>
          <w:rFonts w:ascii="Times New Roman" w:eastAsia="Times New Roman" w:hAnsi="Times New Roman" w:cs="Times New Roman"/>
          <w:sz w:val="28"/>
          <w:szCs w:val="28"/>
          <w:lang w:eastAsia="ru-RU"/>
        </w:rPr>
        <w:t xml:space="preserve"> </w:t>
      </w:r>
      <w:r w:rsidR="007A77CE" w:rsidRPr="0089786F">
        <w:rPr>
          <w:rFonts w:ascii="Times New Roman" w:eastAsia="Times New Roman" w:hAnsi="Times New Roman" w:cs="Times New Roman"/>
          <w:b/>
          <w:sz w:val="28"/>
          <w:szCs w:val="28"/>
          <w:lang w:eastAsia="ru-RU"/>
        </w:rPr>
        <w:t>2011р. – 201, 2012</w:t>
      </w:r>
      <w:r w:rsidR="003A65A4" w:rsidRPr="0089786F">
        <w:rPr>
          <w:rFonts w:ascii="Times New Roman" w:eastAsia="Times New Roman" w:hAnsi="Times New Roman" w:cs="Times New Roman"/>
          <w:b/>
          <w:sz w:val="28"/>
          <w:szCs w:val="28"/>
          <w:lang w:eastAsia="ru-RU"/>
        </w:rPr>
        <w:t>р.</w:t>
      </w:r>
      <w:r w:rsidR="007A77CE" w:rsidRPr="0089786F">
        <w:rPr>
          <w:rFonts w:ascii="Times New Roman" w:eastAsia="Times New Roman" w:hAnsi="Times New Roman" w:cs="Times New Roman"/>
          <w:b/>
          <w:sz w:val="28"/>
          <w:szCs w:val="28"/>
          <w:lang w:eastAsia="ru-RU"/>
        </w:rPr>
        <w:t xml:space="preserve"> </w:t>
      </w:r>
      <w:r w:rsidR="003A65A4" w:rsidRPr="0089786F">
        <w:rPr>
          <w:rFonts w:ascii="Times New Roman" w:eastAsia="Times New Roman" w:hAnsi="Times New Roman" w:cs="Times New Roman"/>
          <w:b/>
          <w:sz w:val="28"/>
          <w:szCs w:val="28"/>
          <w:lang w:eastAsia="ru-RU"/>
        </w:rPr>
        <w:t xml:space="preserve">– 213, 2013р. </w:t>
      </w:r>
      <w:r w:rsidR="007A77CE" w:rsidRPr="0089786F">
        <w:rPr>
          <w:rFonts w:ascii="Times New Roman" w:eastAsia="Times New Roman" w:hAnsi="Times New Roman" w:cs="Times New Roman"/>
          <w:b/>
          <w:sz w:val="28"/>
          <w:szCs w:val="28"/>
          <w:lang w:eastAsia="ru-RU"/>
        </w:rPr>
        <w:t>–</w:t>
      </w:r>
      <w:r w:rsidR="003A65A4" w:rsidRPr="0089786F">
        <w:rPr>
          <w:rFonts w:ascii="Times New Roman" w:eastAsia="Times New Roman" w:hAnsi="Times New Roman" w:cs="Times New Roman"/>
          <w:b/>
          <w:sz w:val="28"/>
          <w:szCs w:val="28"/>
          <w:lang w:eastAsia="ru-RU"/>
        </w:rPr>
        <w:t xml:space="preserve"> 177, 2014р. – 188, 2015р. – 144; 2016р. </w:t>
      </w:r>
      <w:r w:rsidR="003D76AD" w:rsidRPr="0089786F">
        <w:rPr>
          <w:rFonts w:ascii="Times New Roman" w:eastAsia="Times New Roman" w:hAnsi="Times New Roman" w:cs="Times New Roman"/>
          <w:b/>
          <w:sz w:val="28"/>
          <w:szCs w:val="28"/>
          <w:lang w:eastAsia="ru-RU"/>
        </w:rPr>
        <w:t>–</w:t>
      </w:r>
      <w:r w:rsidR="003A65A4" w:rsidRPr="0089786F">
        <w:rPr>
          <w:rFonts w:ascii="Times New Roman" w:eastAsia="Times New Roman" w:hAnsi="Times New Roman" w:cs="Times New Roman"/>
          <w:b/>
          <w:sz w:val="28"/>
          <w:szCs w:val="28"/>
          <w:lang w:eastAsia="ru-RU"/>
        </w:rPr>
        <w:t xml:space="preserve"> 135</w:t>
      </w:r>
      <w:r w:rsidR="003D76AD" w:rsidRPr="0089786F">
        <w:rPr>
          <w:rFonts w:ascii="Times New Roman" w:eastAsia="Times New Roman" w:hAnsi="Times New Roman" w:cs="Times New Roman"/>
          <w:b/>
          <w:sz w:val="28"/>
          <w:szCs w:val="28"/>
          <w:lang w:eastAsia="ru-RU"/>
        </w:rPr>
        <w:t xml:space="preserve">, </w:t>
      </w:r>
      <w:r w:rsidR="00D00EA7" w:rsidRPr="0089786F">
        <w:rPr>
          <w:rFonts w:ascii="Times New Roman" w:eastAsia="Times New Roman" w:hAnsi="Times New Roman" w:cs="Times New Roman"/>
          <w:b/>
          <w:sz w:val="28"/>
          <w:szCs w:val="28"/>
          <w:lang w:eastAsia="ru-RU"/>
        </w:rPr>
        <w:t xml:space="preserve"> </w:t>
      </w:r>
      <w:r w:rsidR="003D76AD" w:rsidRPr="0089786F">
        <w:rPr>
          <w:rFonts w:ascii="Times New Roman" w:eastAsia="Times New Roman" w:hAnsi="Times New Roman" w:cs="Times New Roman"/>
          <w:b/>
          <w:sz w:val="28"/>
          <w:szCs w:val="28"/>
          <w:lang w:eastAsia="ru-RU"/>
        </w:rPr>
        <w:t xml:space="preserve">2017р. – </w:t>
      </w:r>
      <w:r w:rsidR="00D00EA7" w:rsidRPr="0089786F">
        <w:rPr>
          <w:rFonts w:ascii="Times New Roman" w:eastAsia="Times New Roman" w:hAnsi="Times New Roman" w:cs="Times New Roman"/>
          <w:b/>
          <w:sz w:val="28"/>
          <w:szCs w:val="28"/>
          <w:lang w:eastAsia="ru-RU"/>
        </w:rPr>
        <w:t>183</w:t>
      </w:r>
      <w:r w:rsidRPr="0089786F">
        <w:rPr>
          <w:rFonts w:ascii="Times New Roman" w:eastAsia="Times New Roman" w:hAnsi="Times New Roman" w:cs="Times New Roman"/>
          <w:b/>
          <w:sz w:val="28"/>
          <w:szCs w:val="28"/>
          <w:lang w:eastAsia="ru-RU"/>
        </w:rPr>
        <w:t xml:space="preserve">, </w:t>
      </w:r>
      <w:r w:rsidR="007A77CE" w:rsidRPr="0089786F">
        <w:rPr>
          <w:rFonts w:ascii="Times New Roman" w:eastAsia="Times New Roman" w:hAnsi="Times New Roman" w:cs="Times New Roman"/>
          <w:b/>
          <w:sz w:val="28"/>
          <w:szCs w:val="28"/>
          <w:lang w:eastAsia="ru-RU"/>
        </w:rPr>
        <w:t>2018</w:t>
      </w:r>
      <w:r w:rsidRPr="0089786F">
        <w:rPr>
          <w:rFonts w:ascii="Times New Roman" w:eastAsia="Times New Roman" w:hAnsi="Times New Roman" w:cs="Times New Roman"/>
          <w:b/>
          <w:sz w:val="28"/>
          <w:szCs w:val="28"/>
          <w:lang w:eastAsia="ru-RU"/>
        </w:rPr>
        <w:t>р. – 1</w:t>
      </w:r>
      <w:r w:rsidR="008A0781">
        <w:rPr>
          <w:rFonts w:ascii="Times New Roman" w:eastAsia="Times New Roman" w:hAnsi="Times New Roman" w:cs="Times New Roman"/>
          <w:b/>
          <w:sz w:val="28"/>
          <w:szCs w:val="28"/>
          <w:lang w:eastAsia="ru-RU"/>
        </w:rPr>
        <w:t>78</w:t>
      </w:r>
      <w:r w:rsidR="004A0CC4" w:rsidRPr="0089786F">
        <w:rPr>
          <w:rFonts w:ascii="Times New Roman" w:eastAsia="Times New Roman" w:hAnsi="Times New Roman" w:cs="Times New Roman"/>
          <w:b/>
          <w:sz w:val="28"/>
          <w:szCs w:val="28"/>
          <w:lang w:eastAsia="ru-RU"/>
        </w:rPr>
        <w:t>;</w:t>
      </w:r>
      <w:r w:rsidR="003A65A4" w:rsidRPr="0089786F">
        <w:rPr>
          <w:rFonts w:ascii="Times New Roman" w:eastAsia="Times New Roman" w:hAnsi="Times New Roman" w:cs="Times New Roman"/>
          <w:b/>
          <w:sz w:val="28"/>
          <w:szCs w:val="28"/>
          <w:lang w:eastAsia="ru-RU"/>
        </w:rPr>
        <w:t xml:space="preserve"> </w:t>
      </w:r>
    </w:p>
    <w:p w:rsidR="00B94CD3" w:rsidRPr="0089786F" w:rsidRDefault="004A0CC4" w:rsidP="00B94CD3">
      <w:pPr>
        <w:spacing w:after="0" w:line="240" w:lineRule="auto"/>
        <w:ind w:firstLine="708"/>
        <w:jc w:val="both"/>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sz w:val="28"/>
          <w:szCs w:val="28"/>
          <w:lang w:eastAsia="ru-RU"/>
        </w:rPr>
        <w:t>В</w:t>
      </w:r>
      <w:r w:rsidR="003A65A4" w:rsidRPr="0089786F">
        <w:rPr>
          <w:rFonts w:ascii="Times New Roman" w:eastAsia="Times New Roman" w:hAnsi="Times New Roman" w:cs="Times New Roman"/>
          <w:sz w:val="28"/>
          <w:szCs w:val="28"/>
          <w:lang w:eastAsia="ru-RU"/>
        </w:rPr>
        <w:t xml:space="preserve">ітчизняних передреєстраційних клінічних випробувань: </w:t>
      </w:r>
      <w:r w:rsidR="003A65A4" w:rsidRPr="0089786F">
        <w:rPr>
          <w:rFonts w:ascii="Times New Roman" w:eastAsia="Times New Roman" w:hAnsi="Times New Roman" w:cs="Times New Roman"/>
          <w:b/>
          <w:sz w:val="28"/>
          <w:szCs w:val="28"/>
          <w:lang w:eastAsia="ru-RU"/>
        </w:rPr>
        <w:t>2010р. – 43,</w:t>
      </w:r>
      <w:r w:rsidR="003A65A4" w:rsidRPr="0089786F">
        <w:rPr>
          <w:rFonts w:ascii="Times New Roman" w:eastAsia="Times New Roman" w:hAnsi="Times New Roman" w:cs="Times New Roman"/>
          <w:sz w:val="28"/>
          <w:szCs w:val="28"/>
          <w:lang w:eastAsia="ru-RU"/>
        </w:rPr>
        <w:t xml:space="preserve"> </w:t>
      </w:r>
      <w:r w:rsidR="003A65A4" w:rsidRPr="0089786F">
        <w:rPr>
          <w:rFonts w:ascii="Times New Roman" w:eastAsia="Times New Roman" w:hAnsi="Times New Roman" w:cs="Times New Roman"/>
          <w:b/>
          <w:sz w:val="28"/>
          <w:szCs w:val="28"/>
          <w:lang w:eastAsia="ru-RU"/>
        </w:rPr>
        <w:t xml:space="preserve">2011р. </w:t>
      </w:r>
      <w:r w:rsidR="007A77CE" w:rsidRPr="0089786F">
        <w:rPr>
          <w:rFonts w:ascii="Times New Roman" w:eastAsia="Times New Roman" w:hAnsi="Times New Roman" w:cs="Times New Roman"/>
          <w:b/>
          <w:sz w:val="28"/>
          <w:szCs w:val="28"/>
          <w:lang w:eastAsia="ru-RU"/>
        </w:rPr>
        <w:t>–</w:t>
      </w:r>
      <w:r w:rsidR="003A65A4" w:rsidRPr="0089786F">
        <w:rPr>
          <w:rFonts w:ascii="Times New Roman" w:eastAsia="Times New Roman" w:hAnsi="Times New Roman" w:cs="Times New Roman"/>
          <w:b/>
          <w:sz w:val="28"/>
          <w:szCs w:val="28"/>
          <w:lang w:eastAsia="ru-RU"/>
        </w:rPr>
        <w:t xml:space="preserve"> 49, 2012 р.</w:t>
      </w:r>
      <w:r w:rsidR="007A77CE" w:rsidRPr="0089786F">
        <w:rPr>
          <w:rFonts w:ascii="Times New Roman" w:eastAsia="Times New Roman" w:hAnsi="Times New Roman" w:cs="Times New Roman"/>
          <w:b/>
          <w:sz w:val="28"/>
          <w:szCs w:val="28"/>
          <w:lang w:eastAsia="ru-RU"/>
        </w:rPr>
        <w:t xml:space="preserve"> </w:t>
      </w:r>
      <w:r w:rsidR="003A65A4" w:rsidRPr="0089786F">
        <w:rPr>
          <w:rFonts w:ascii="Times New Roman" w:eastAsia="Times New Roman" w:hAnsi="Times New Roman" w:cs="Times New Roman"/>
          <w:b/>
          <w:sz w:val="28"/>
          <w:szCs w:val="28"/>
          <w:lang w:eastAsia="ru-RU"/>
        </w:rPr>
        <w:t xml:space="preserve">– 52, 2013р. </w:t>
      </w:r>
      <w:r w:rsidR="007A77CE" w:rsidRPr="0089786F">
        <w:rPr>
          <w:rFonts w:ascii="Times New Roman" w:eastAsia="Times New Roman" w:hAnsi="Times New Roman" w:cs="Times New Roman"/>
          <w:b/>
          <w:sz w:val="28"/>
          <w:szCs w:val="28"/>
          <w:lang w:eastAsia="ru-RU"/>
        </w:rPr>
        <w:t>–</w:t>
      </w:r>
      <w:r w:rsidR="003A65A4" w:rsidRPr="0089786F">
        <w:rPr>
          <w:rFonts w:ascii="Times New Roman" w:eastAsia="Times New Roman" w:hAnsi="Times New Roman" w:cs="Times New Roman"/>
          <w:b/>
          <w:sz w:val="28"/>
          <w:szCs w:val="28"/>
          <w:lang w:eastAsia="ru-RU"/>
        </w:rPr>
        <w:t xml:space="preserve"> 56, 2014р. – 81, 2015</w:t>
      </w:r>
      <w:r w:rsidR="00D3591B" w:rsidRPr="0089786F">
        <w:rPr>
          <w:rFonts w:ascii="Times New Roman" w:eastAsia="Times New Roman" w:hAnsi="Times New Roman" w:cs="Times New Roman"/>
          <w:b/>
          <w:sz w:val="28"/>
          <w:szCs w:val="28"/>
          <w:lang w:eastAsia="ru-RU"/>
        </w:rPr>
        <w:t>р.</w:t>
      </w:r>
      <w:r w:rsidR="003A65A4" w:rsidRPr="0089786F">
        <w:rPr>
          <w:rFonts w:ascii="Times New Roman" w:eastAsia="Times New Roman" w:hAnsi="Times New Roman" w:cs="Times New Roman"/>
          <w:b/>
          <w:sz w:val="28"/>
          <w:szCs w:val="28"/>
          <w:lang w:eastAsia="ru-RU"/>
        </w:rPr>
        <w:t xml:space="preserve"> – 58, 2016р. </w:t>
      </w:r>
      <w:r w:rsidR="003D76AD" w:rsidRPr="0089786F">
        <w:rPr>
          <w:rFonts w:ascii="Times New Roman" w:eastAsia="Times New Roman" w:hAnsi="Times New Roman" w:cs="Times New Roman"/>
          <w:b/>
          <w:sz w:val="28"/>
          <w:szCs w:val="28"/>
          <w:lang w:eastAsia="ru-RU"/>
        </w:rPr>
        <w:t>–</w:t>
      </w:r>
      <w:r w:rsidR="003A65A4" w:rsidRPr="0089786F">
        <w:rPr>
          <w:rFonts w:ascii="Times New Roman" w:eastAsia="Times New Roman" w:hAnsi="Times New Roman" w:cs="Times New Roman"/>
          <w:b/>
          <w:sz w:val="28"/>
          <w:szCs w:val="28"/>
          <w:lang w:eastAsia="ru-RU"/>
        </w:rPr>
        <w:t xml:space="preserve"> 46</w:t>
      </w:r>
      <w:r w:rsidR="00D00EA7" w:rsidRPr="0089786F">
        <w:rPr>
          <w:rFonts w:ascii="Times New Roman" w:eastAsia="Times New Roman" w:hAnsi="Times New Roman" w:cs="Times New Roman"/>
          <w:b/>
          <w:sz w:val="28"/>
          <w:szCs w:val="28"/>
          <w:lang w:eastAsia="ru-RU"/>
        </w:rPr>
        <w:t>,</w:t>
      </w:r>
      <w:r w:rsidR="003D76AD" w:rsidRPr="0089786F">
        <w:rPr>
          <w:rFonts w:ascii="Times New Roman" w:eastAsia="Times New Roman" w:hAnsi="Times New Roman" w:cs="Times New Roman"/>
          <w:b/>
          <w:sz w:val="28"/>
          <w:szCs w:val="28"/>
          <w:lang w:eastAsia="ru-RU"/>
        </w:rPr>
        <w:t xml:space="preserve"> 2017р. – </w:t>
      </w:r>
      <w:r w:rsidR="00D00EA7" w:rsidRPr="0089786F">
        <w:rPr>
          <w:rFonts w:ascii="Times New Roman" w:eastAsia="Times New Roman" w:hAnsi="Times New Roman" w:cs="Times New Roman"/>
          <w:b/>
          <w:sz w:val="28"/>
          <w:szCs w:val="28"/>
          <w:lang w:eastAsia="ru-RU"/>
        </w:rPr>
        <w:t>47</w:t>
      </w:r>
      <w:r w:rsidR="00D3591B" w:rsidRPr="0089786F">
        <w:rPr>
          <w:rFonts w:ascii="Times New Roman" w:eastAsia="Times New Roman" w:hAnsi="Times New Roman" w:cs="Times New Roman"/>
          <w:b/>
          <w:sz w:val="28"/>
          <w:szCs w:val="28"/>
          <w:lang w:eastAsia="ru-RU"/>
        </w:rPr>
        <w:t>, 2018</w:t>
      </w:r>
      <w:r w:rsidR="00DF5166" w:rsidRPr="0089786F">
        <w:rPr>
          <w:rFonts w:ascii="Times New Roman" w:eastAsia="Times New Roman" w:hAnsi="Times New Roman" w:cs="Times New Roman"/>
          <w:b/>
          <w:sz w:val="28"/>
          <w:szCs w:val="28"/>
          <w:lang w:eastAsia="ru-RU"/>
        </w:rPr>
        <w:t xml:space="preserve">р. – </w:t>
      </w:r>
      <w:r w:rsidR="008A0781">
        <w:rPr>
          <w:rFonts w:ascii="Times New Roman" w:eastAsia="Times New Roman" w:hAnsi="Times New Roman" w:cs="Times New Roman"/>
          <w:b/>
          <w:sz w:val="28"/>
          <w:szCs w:val="28"/>
          <w:lang w:eastAsia="ru-RU"/>
        </w:rPr>
        <w:t>3</w:t>
      </w:r>
      <w:r w:rsidR="0005290D" w:rsidRPr="0089786F">
        <w:rPr>
          <w:rFonts w:ascii="Times New Roman" w:eastAsia="Times New Roman" w:hAnsi="Times New Roman" w:cs="Times New Roman"/>
          <w:b/>
          <w:sz w:val="28"/>
          <w:szCs w:val="28"/>
          <w:lang w:eastAsia="ru-RU"/>
        </w:rPr>
        <w:t>0</w:t>
      </w:r>
      <w:r w:rsidR="003A65A4" w:rsidRPr="0089786F">
        <w:rPr>
          <w:rFonts w:ascii="Times New Roman" w:eastAsia="Times New Roman" w:hAnsi="Times New Roman" w:cs="Times New Roman"/>
          <w:b/>
          <w:sz w:val="28"/>
          <w:szCs w:val="28"/>
          <w:lang w:eastAsia="ru-RU"/>
        </w:rPr>
        <w:t>.</w:t>
      </w:r>
    </w:p>
    <w:p w:rsidR="003A65A4" w:rsidRPr="0089786F" w:rsidRDefault="003A65A4" w:rsidP="003A65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З </w:t>
      </w:r>
      <w:r w:rsidR="00D3591B" w:rsidRPr="0089786F">
        <w:rPr>
          <w:rFonts w:ascii="Times New Roman" w:eastAsia="Times New Roman" w:hAnsi="Times New Roman" w:cs="Times New Roman"/>
          <w:bCs/>
          <w:sz w:val="28"/>
          <w:szCs w:val="28"/>
          <w:lang w:eastAsia="ru-RU"/>
        </w:rPr>
        <w:t xml:space="preserve">2010 р. по 2018 р. </w:t>
      </w:r>
      <w:r w:rsidRPr="0089786F">
        <w:rPr>
          <w:rFonts w:ascii="Times New Roman" w:eastAsia="Times New Roman" w:hAnsi="Times New Roman" w:cs="Times New Roman"/>
          <w:sz w:val="28"/>
          <w:szCs w:val="28"/>
          <w:lang w:eastAsia="ru-RU"/>
        </w:rPr>
        <w:t xml:space="preserve">після проведеної експертизи було надано </w:t>
      </w:r>
      <w:r w:rsidR="00564578" w:rsidRPr="0089786F">
        <w:rPr>
          <w:rFonts w:ascii="Times New Roman" w:eastAsia="Times New Roman" w:hAnsi="Times New Roman" w:cs="Times New Roman"/>
          <w:b/>
          <w:sz w:val="28"/>
          <w:szCs w:val="28"/>
          <w:lang w:eastAsia="ru-RU"/>
        </w:rPr>
        <w:t>15</w:t>
      </w:r>
      <w:r w:rsidR="008A0781">
        <w:rPr>
          <w:rFonts w:ascii="Times New Roman" w:eastAsia="Times New Roman" w:hAnsi="Times New Roman" w:cs="Times New Roman"/>
          <w:b/>
          <w:sz w:val="28"/>
          <w:szCs w:val="28"/>
          <w:lang w:eastAsia="ru-RU"/>
        </w:rPr>
        <w:t>96</w:t>
      </w:r>
      <w:r w:rsidR="00BE50F6" w:rsidRPr="0089786F">
        <w:rPr>
          <w:rFonts w:ascii="Times New Roman" w:eastAsia="Times New Roman" w:hAnsi="Times New Roman" w:cs="Times New Roman"/>
          <w:sz w:val="28"/>
          <w:szCs w:val="28"/>
          <w:lang w:eastAsia="ru-RU"/>
        </w:rPr>
        <w:t xml:space="preserve"> </w:t>
      </w:r>
      <w:r w:rsidRPr="0089786F">
        <w:rPr>
          <w:rFonts w:ascii="Times New Roman" w:eastAsia="Times New Roman" w:hAnsi="Times New Roman" w:cs="Times New Roman"/>
          <w:sz w:val="28"/>
          <w:szCs w:val="28"/>
          <w:lang w:eastAsia="ru-RU"/>
        </w:rPr>
        <w:t xml:space="preserve">позитивних висновків щодо можливості проведення міжнародних багатоцентрових КВ та </w:t>
      </w:r>
      <w:r w:rsidR="00D04FAB" w:rsidRPr="0089786F">
        <w:rPr>
          <w:rFonts w:ascii="Times New Roman" w:eastAsia="Times New Roman" w:hAnsi="Times New Roman" w:cs="Times New Roman"/>
          <w:b/>
          <w:sz w:val="28"/>
          <w:szCs w:val="28"/>
          <w:lang w:eastAsia="ru-RU"/>
        </w:rPr>
        <w:t>4</w:t>
      </w:r>
      <w:r w:rsidR="008A0781">
        <w:rPr>
          <w:rFonts w:ascii="Times New Roman" w:eastAsia="Times New Roman" w:hAnsi="Times New Roman" w:cs="Times New Roman"/>
          <w:b/>
          <w:sz w:val="28"/>
          <w:szCs w:val="28"/>
          <w:lang w:eastAsia="ru-RU"/>
        </w:rPr>
        <w:t>6</w:t>
      </w:r>
      <w:r w:rsidR="00BB5EC4" w:rsidRPr="0089786F">
        <w:rPr>
          <w:rFonts w:ascii="Times New Roman" w:eastAsia="Times New Roman" w:hAnsi="Times New Roman" w:cs="Times New Roman"/>
          <w:b/>
          <w:sz w:val="28"/>
          <w:szCs w:val="28"/>
          <w:lang w:eastAsia="ru-RU"/>
        </w:rPr>
        <w:t>2</w:t>
      </w:r>
      <w:r w:rsidRPr="0089786F">
        <w:rPr>
          <w:rFonts w:ascii="Times New Roman" w:eastAsia="Times New Roman" w:hAnsi="Times New Roman" w:cs="Times New Roman"/>
          <w:sz w:val="28"/>
          <w:szCs w:val="28"/>
          <w:lang w:eastAsia="ru-RU"/>
        </w:rPr>
        <w:t xml:space="preserve"> позитивн</w:t>
      </w:r>
      <w:r w:rsidR="00D94E0A" w:rsidRPr="0089786F">
        <w:rPr>
          <w:rFonts w:ascii="Times New Roman" w:eastAsia="Times New Roman" w:hAnsi="Times New Roman" w:cs="Times New Roman"/>
          <w:sz w:val="28"/>
          <w:szCs w:val="28"/>
          <w:lang w:eastAsia="ru-RU"/>
        </w:rPr>
        <w:t>и</w:t>
      </w:r>
      <w:r w:rsidRPr="0089786F">
        <w:rPr>
          <w:rFonts w:ascii="Times New Roman" w:eastAsia="Times New Roman" w:hAnsi="Times New Roman" w:cs="Times New Roman"/>
          <w:sz w:val="28"/>
          <w:szCs w:val="28"/>
          <w:lang w:eastAsia="ru-RU"/>
        </w:rPr>
        <w:t xml:space="preserve">х висновків щодо проведення передреєстраційних КВ.  </w:t>
      </w:r>
    </w:p>
    <w:p w:rsidR="00714A0B" w:rsidRPr="0089786F" w:rsidRDefault="00714A0B" w:rsidP="00C72DC8">
      <w:pPr>
        <w:autoSpaceDE w:val="0"/>
        <w:autoSpaceDN w:val="0"/>
        <w:adjustRightInd w:val="0"/>
        <w:spacing w:after="0" w:line="240" w:lineRule="auto"/>
        <w:rPr>
          <w:rFonts w:ascii="Times New Roman" w:eastAsia="Times New Roman" w:hAnsi="Times New Roman" w:cs="Times New Roman"/>
          <w:b/>
          <w:sz w:val="28"/>
          <w:szCs w:val="28"/>
          <w:lang w:eastAsia="ru-RU"/>
        </w:rPr>
      </w:pPr>
    </w:p>
    <w:p w:rsidR="003A65A4" w:rsidRPr="0089786F" w:rsidRDefault="003A65A4" w:rsidP="003A65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lastRenderedPageBreak/>
        <w:t>Позитивні висновки щодо проведення міжнародн</w:t>
      </w:r>
      <w:r w:rsidR="00C54C47">
        <w:rPr>
          <w:rFonts w:ascii="Times New Roman" w:eastAsia="Times New Roman" w:hAnsi="Times New Roman" w:cs="Times New Roman"/>
          <w:b/>
          <w:sz w:val="28"/>
          <w:szCs w:val="28"/>
          <w:lang w:eastAsia="ru-RU"/>
        </w:rPr>
        <w:t>их багатоцентрових КВ в Україні</w:t>
      </w:r>
    </w:p>
    <w:p w:rsidR="003A65A4" w:rsidRPr="0089786F" w:rsidRDefault="00D3591B" w:rsidP="003A65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 xml:space="preserve">(з </w:t>
      </w:r>
      <w:r w:rsidRPr="0089786F">
        <w:rPr>
          <w:rFonts w:ascii="Times New Roman" w:eastAsia="Times New Roman" w:hAnsi="Times New Roman" w:cs="Times New Roman"/>
          <w:b/>
          <w:bCs/>
          <w:sz w:val="28"/>
          <w:szCs w:val="28"/>
          <w:lang w:eastAsia="ru-RU"/>
        </w:rPr>
        <w:t>2010 р. по 2018 р.</w:t>
      </w:r>
      <w:r w:rsidRPr="0089786F">
        <w:rPr>
          <w:rFonts w:ascii="Times New Roman" w:eastAsia="Times New Roman" w:hAnsi="Times New Roman" w:cs="Times New Roman"/>
          <w:b/>
          <w:sz w:val="28"/>
          <w:szCs w:val="28"/>
          <w:lang w:eastAsia="ru-RU"/>
        </w:rPr>
        <w:t>)</w:t>
      </w:r>
    </w:p>
    <w:p w:rsidR="00C72DC8" w:rsidRPr="0089786F" w:rsidRDefault="00C72DC8" w:rsidP="003A65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A65A4" w:rsidRPr="0089786F" w:rsidRDefault="003A65A4" w:rsidP="003A65A4">
      <w:pPr>
        <w:autoSpaceDE w:val="0"/>
        <w:autoSpaceDN w:val="0"/>
        <w:adjustRightInd w:val="0"/>
        <w:spacing w:after="0" w:line="240" w:lineRule="auto"/>
        <w:jc w:val="center"/>
        <w:rPr>
          <w:rFonts w:ascii="Arial" w:eastAsia="Times New Roman" w:hAnsi="Arial" w:cs="Arial"/>
          <w:sz w:val="21"/>
          <w:szCs w:val="36"/>
          <w:lang w:eastAsia="ru-RU"/>
        </w:rPr>
      </w:pPr>
      <w:r w:rsidRPr="0089786F">
        <w:rPr>
          <w:rFonts w:ascii="Arial" w:eastAsia="Times New Roman" w:hAnsi="Arial" w:cs="Arial"/>
          <w:noProof/>
          <w:sz w:val="21"/>
          <w:szCs w:val="36"/>
          <w:lang w:eastAsia="uk-UA"/>
        </w:rPr>
        <w:drawing>
          <wp:inline distT="0" distB="0" distL="0" distR="0" wp14:anchorId="7DAC68D6" wp14:editId="5A3EE4BC">
            <wp:extent cx="6291580" cy="4005580"/>
            <wp:effectExtent l="0" t="0" r="13970" b="13970"/>
            <wp:docPr id="136" name="Диаграмма 1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543C" w:rsidRPr="0089786F" w:rsidRDefault="0096543C" w:rsidP="00145B62">
      <w:pPr>
        <w:autoSpaceDE w:val="0"/>
        <w:autoSpaceDN w:val="0"/>
        <w:adjustRightInd w:val="0"/>
        <w:spacing w:after="0" w:line="240" w:lineRule="auto"/>
        <w:rPr>
          <w:rFonts w:ascii="Times New Roman" w:eastAsia="Times New Roman" w:hAnsi="Times New Roman" w:cs="Times New Roman"/>
          <w:b/>
          <w:sz w:val="28"/>
          <w:szCs w:val="28"/>
          <w:lang w:eastAsia="ru-RU"/>
        </w:rPr>
      </w:pPr>
    </w:p>
    <w:p w:rsidR="00145B62" w:rsidRPr="0089786F" w:rsidRDefault="00145B62" w:rsidP="003A65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A65A4" w:rsidRPr="0089786F" w:rsidRDefault="003A65A4" w:rsidP="003A65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Кількість суттєвих поправок до</w:t>
      </w:r>
      <w:r w:rsidR="00C54C47">
        <w:rPr>
          <w:rFonts w:ascii="Times New Roman" w:eastAsia="Times New Roman" w:hAnsi="Times New Roman" w:cs="Times New Roman"/>
          <w:b/>
          <w:sz w:val="28"/>
          <w:szCs w:val="28"/>
          <w:lang w:eastAsia="ru-RU"/>
        </w:rPr>
        <w:t xml:space="preserve"> матеріалів багатоцентрових КВ</w:t>
      </w:r>
    </w:p>
    <w:p w:rsidR="003A65A4" w:rsidRPr="0089786F" w:rsidRDefault="00D3591B" w:rsidP="003A65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 xml:space="preserve">(з </w:t>
      </w:r>
      <w:r w:rsidRPr="0089786F">
        <w:rPr>
          <w:rFonts w:ascii="Times New Roman" w:eastAsia="Times New Roman" w:hAnsi="Times New Roman" w:cs="Times New Roman"/>
          <w:b/>
          <w:bCs/>
          <w:sz w:val="28"/>
          <w:szCs w:val="28"/>
          <w:lang w:eastAsia="ru-RU"/>
        </w:rPr>
        <w:t>2010 р. по 2018 р.</w:t>
      </w:r>
      <w:r w:rsidRPr="0089786F">
        <w:rPr>
          <w:rFonts w:ascii="Times New Roman" w:eastAsia="Times New Roman" w:hAnsi="Times New Roman" w:cs="Times New Roman"/>
          <w:b/>
          <w:sz w:val="28"/>
          <w:szCs w:val="28"/>
          <w:lang w:eastAsia="ru-RU"/>
        </w:rPr>
        <w:t>)</w:t>
      </w:r>
    </w:p>
    <w:p w:rsidR="003A65A4" w:rsidRPr="0089786F" w:rsidRDefault="003A65A4" w:rsidP="003A65A4">
      <w:pPr>
        <w:autoSpaceDE w:val="0"/>
        <w:autoSpaceDN w:val="0"/>
        <w:adjustRightInd w:val="0"/>
        <w:spacing w:after="0" w:line="240" w:lineRule="auto"/>
        <w:jc w:val="center"/>
        <w:rPr>
          <w:rFonts w:ascii="Arial" w:eastAsia="Times New Roman" w:hAnsi="Arial" w:cs="Arial"/>
          <w:sz w:val="21"/>
          <w:szCs w:val="36"/>
          <w:lang w:eastAsia="ru-RU"/>
        </w:rPr>
      </w:pPr>
    </w:p>
    <w:p w:rsidR="003A65A4" w:rsidRPr="0089786F" w:rsidRDefault="00C563EB" w:rsidP="003A65A4">
      <w:pPr>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noProof/>
          <w:sz w:val="28"/>
          <w:szCs w:val="28"/>
          <w:lang w:eastAsia="uk-UA"/>
        </w:rPr>
        <w:drawing>
          <wp:inline distT="0" distB="0" distL="0" distR="0" wp14:anchorId="39D9D80A" wp14:editId="7541C601">
            <wp:extent cx="5059680" cy="3205837"/>
            <wp:effectExtent l="0" t="0" r="0" b="0"/>
            <wp:docPr id="135" name="Диаграмма 1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567"/>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lastRenderedPageBreak/>
        <w:t xml:space="preserve">При проведення КВ заявник може надати суттєві поправки до протоколу КВ, які також розглядаються в установленому порядку. З </w:t>
      </w:r>
      <w:r w:rsidR="00D3591B" w:rsidRPr="0089786F">
        <w:rPr>
          <w:rFonts w:ascii="Times New Roman" w:eastAsia="Times New Roman" w:hAnsi="Times New Roman" w:cs="Times New Roman"/>
          <w:bCs/>
          <w:sz w:val="28"/>
          <w:szCs w:val="28"/>
          <w:lang w:eastAsia="ru-RU"/>
        </w:rPr>
        <w:t>2010 р. по 2018 р.</w:t>
      </w:r>
      <w:r w:rsidR="00D3591B" w:rsidRPr="0089786F">
        <w:rPr>
          <w:rFonts w:ascii="Times New Roman" w:eastAsia="Times New Roman" w:hAnsi="Times New Roman" w:cs="Times New Roman"/>
          <w:b/>
          <w:sz w:val="28"/>
          <w:szCs w:val="28"/>
          <w:lang w:eastAsia="ru-RU"/>
        </w:rPr>
        <w:t xml:space="preserve"> </w:t>
      </w:r>
      <w:r w:rsidRPr="0089786F">
        <w:rPr>
          <w:rFonts w:ascii="Times New Roman" w:eastAsia="Times New Roman" w:hAnsi="Times New Roman" w:cs="Times New Roman"/>
          <w:sz w:val="28"/>
          <w:szCs w:val="28"/>
          <w:lang w:eastAsia="ru-RU"/>
        </w:rPr>
        <w:t xml:space="preserve">після проведеної експертизи надано </w:t>
      </w:r>
      <w:r w:rsidR="00145B62" w:rsidRPr="0089786F">
        <w:rPr>
          <w:rFonts w:ascii="Times New Roman" w:eastAsia="Times New Roman" w:hAnsi="Times New Roman" w:cs="Times New Roman"/>
          <w:b/>
          <w:sz w:val="28"/>
          <w:szCs w:val="28"/>
          <w:lang w:eastAsia="ru-RU"/>
        </w:rPr>
        <w:t>10</w:t>
      </w:r>
      <w:r w:rsidR="00B04B43">
        <w:rPr>
          <w:rFonts w:ascii="Times New Roman" w:eastAsia="Times New Roman" w:hAnsi="Times New Roman" w:cs="Times New Roman"/>
          <w:b/>
          <w:sz w:val="28"/>
          <w:szCs w:val="28"/>
          <w:lang w:eastAsia="ru-RU"/>
        </w:rPr>
        <w:t>683</w:t>
      </w:r>
      <w:r w:rsidRPr="0089786F">
        <w:rPr>
          <w:rFonts w:ascii="Times New Roman" w:eastAsia="Times New Roman" w:hAnsi="Times New Roman" w:cs="Times New Roman"/>
          <w:sz w:val="28"/>
          <w:szCs w:val="28"/>
          <w:lang w:eastAsia="ru-RU"/>
        </w:rPr>
        <w:t xml:space="preserve"> позитивн</w:t>
      </w:r>
      <w:r w:rsidR="00645DC6" w:rsidRPr="0089786F">
        <w:rPr>
          <w:rFonts w:ascii="Times New Roman" w:eastAsia="Times New Roman" w:hAnsi="Times New Roman" w:cs="Times New Roman"/>
          <w:sz w:val="28"/>
          <w:szCs w:val="28"/>
          <w:lang w:eastAsia="ru-RU"/>
        </w:rPr>
        <w:t>их</w:t>
      </w:r>
      <w:r w:rsidRPr="0089786F">
        <w:rPr>
          <w:rFonts w:ascii="Times New Roman" w:eastAsia="Times New Roman" w:hAnsi="Times New Roman" w:cs="Times New Roman"/>
          <w:sz w:val="28"/>
          <w:szCs w:val="28"/>
          <w:lang w:eastAsia="ru-RU"/>
        </w:rPr>
        <w:t xml:space="preserve"> висновк</w:t>
      </w:r>
      <w:r w:rsidR="00645DC6" w:rsidRPr="0089786F">
        <w:rPr>
          <w:rFonts w:ascii="Times New Roman" w:eastAsia="Times New Roman" w:hAnsi="Times New Roman" w:cs="Times New Roman"/>
          <w:sz w:val="28"/>
          <w:szCs w:val="28"/>
          <w:lang w:eastAsia="ru-RU"/>
        </w:rPr>
        <w:t>ів</w:t>
      </w:r>
      <w:r w:rsidRPr="0089786F">
        <w:rPr>
          <w:rFonts w:ascii="Times New Roman" w:eastAsia="Times New Roman" w:hAnsi="Times New Roman" w:cs="Times New Roman"/>
          <w:sz w:val="28"/>
          <w:szCs w:val="28"/>
          <w:lang w:eastAsia="ru-RU"/>
        </w:rPr>
        <w:t xml:space="preserve"> щодо суттєвих поправок до міжнародних багатоцентрових КВ </w:t>
      </w:r>
      <w:r w:rsidRPr="0089786F">
        <w:rPr>
          <w:rFonts w:ascii="Times New Roman" w:eastAsia="Times New Roman" w:hAnsi="Times New Roman" w:cs="Times New Roman"/>
          <w:b/>
          <w:sz w:val="28"/>
          <w:szCs w:val="28"/>
          <w:lang w:eastAsia="ru-RU"/>
        </w:rPr>
        <w:t>(2010р. – 965; 2011р. – 1026; 2012р. – 1241; 2013р. – 1246</w:t>
      </w:r>
      <w:r w:rsidR="00D3591B" w:rsidRPr="0089786F">
        <w:rPr>
          <w:rFonts w:ascii="Times New Roman" w:eastAsia="Times New Roman" w:hAnsi="Times New Roman" w:cs="Times New Roman"/>
          <w:b/>
          <w:sz w:val="28"/>
          <w:szCs w:val="28"/>
          <w:lang w:eastAsia="ru-RU"/>
        </w:rPr>
        <w:t>;</w:t>
      </w:r>
      <w:r w:rsidRPr="0089786F">
        <w:rPr>
          <w:rFonts w:ascii="Times New Roman" w:eastAsia="Times New Roman" w:hAnsi="Times New Roman" w:cs="Times New Roman"/>
          <w:b/>
          <w:sz w:val="28"/>
          <w:szCs w:val="28"/>
          <w:lang w:eastAsia="ru-RU"/>
        </w:rPr>
        <w:t xml:space="preserve"> 2014р. – 1262</w:t>
      </w:r>
      <w:r w:rsidR="00D3591B" w:rsidRPr="0089786F">
        <w:rPr>
          <w:rFonts w:ascii="Times New Roman" w:eastAsia="Times New Roman" w:hAnsi="Times New Roman" w:cs="Times New Roman"/>
          <w:b/>
          <w:sz w:val="28"/>
          <w:szCs w:val="28"/>
          <w:lang w:eastAsia="ru-RU"/>
        </w:rPr>
        <w:t>;</w:t>
      </w:r>
      <w:r w:rsidRPr="0089786F">
        <w:rPr>
          <w:rFonts w:ascii="Times New Roman" w:eastAsia="Times New Roman" w:hAnsi="Times New Roman" w:cs="Times New Roman"/>
          <w:b/>
          <w:sz w:val="28"/>
          <w:szCs w:val="28"/>
          <w:lang w:eastAsia="ru-RU"/>
        </w:rPr>
        <w:t xml:space="preserve"> 2015р. – 1065</w:t>
      </w:r>
      <w:r w:rsidR="00D3591B" w:rsidRPr="0089786F">
        <w:rPr>
          <w:rFonts w:ascii="Times New Roman" w:eastAsia="Times New Roman" w:hAnsi="Times New Roman" w:cs="Times New Roman"/>
          <w:b/>
          <w:sz w:val="28"/>
          <w:szCs w:val="28"/>
          <w:lang w:eastAsia="ru-RU"/>
        </w:rPr>
        <w:t>;</w:t>
      </w:r>
      <w:r w:rsidRPr="0089786F">
        <w:rPr>
          <w:rFonts w:ascii="Times New Roman" w:eastAsia="Times New Roman" w:hAnsi="Times New Roman" w:cs="Times New Roman"/>
          <w:b/>
          <w:sz w:val="28"/>
          <w:szCs w:val="28"/>
          <w:lang w:eastAsia="ru-RU"/>
        </w:rPr>
        <w:t xml:space="preserve"> 2016р. </w:t>
      </w:r>
      <w:r w:rsidR="003D76AD" w:rsidRPr="0089786F">
        <w:rPr>
          <w:rFonts w:ascii="Times New Roman" w:eastAsia="Times New Roman" w:hAnsi="Times New Roman" w:cs="Times New Roman"/>
          <w:b/>
          <w:sz w:val="28"/>
          <w:szCs w:val="28"/>
          <w:lang w:eastAsia="ru-RU"/>
        </w:rPr>
        <w:t>–</w:t>
      </w:r>
      <w:r w:rsidRPr="0089786F">
        <w:rPr>
          <w:rFonts w:ascii="Times New Roman" w:eastAsia="Times New Roman" w:hAnsi="Times New Roman" w:cs="Times New Roman"/>
          <w:b/>
          <w:sz w:val="28"/>
          <w:szCs w:val="28"/>
          <w:lang w:eastAsia="ru-RU"/>
        </w:rPr>
        <w:t xml:space="preserve"> </w:t>
      </w:r>
      <w:r w:rsidR="00FD1810" w:rsidRPr="0089786F">
        <w:rPr>
          <w:rFonts w:ascii="Times New Roman" w:eastAsia="Times New Roman" w:hAnsi="Times New Roman" w:cs="Times New Roman"/>
          <w:b/>
          <w:sz w:val="28"/>
          <w:szCs w:val="28"/>
          <w:lang w:eastAsia="ru-RU"/>
        </w:rPr>
        <w:t>1222</w:t>
      </w:r>
      <w:r w:rsidR="00D3591B" w:rsidRPr="0089786F">
        <w:rPr>
          <w:rFonts w:ascii="Times New Roman" w:eastAsia="Times New Roman" w:hAnsi="Times New Roman" w:cs="Times New Roman"/>
          <w:b/>
          <w:sz w:val="28"/>
          <w:szCs w:val="28"/>
          <w:lang w:eastAsia="ru-RU"/>
        </w:rPr>
        <w:t>;</w:t>
      </w:r>
      <w:r w:rsidR="003D76AD" w:rsidRPr="0089786F">
        <w:rPr>
          <w:rFonts w:ascii="Times New Roman" w:eastAsia="Times New Roman" w:hAnsi="Times New Roman" w:cs="Times New Roman"/>
          <w:b/>
          <w:sz w:val="28"/>
          <w:szCs w:val="28"/>
          <w:lang w:eastAsia="ru-RU"/>
        </w:rPr>
        <w:t xml:space="preserve"> 2017р. – </w:t>
      </w:r>
      <w:r w:rsidR="00641DE2" w:rsidRPr="0089786F">
        <w:rPr>
          <w:rFonts w:ascii="Times New Roman" w:eastAsia="Times New Roman" w:hAnsi="Times New Roman" w:cs="Times New Roman"/>
          <w:b/>
          <w:sz w:val="28"/>
          <w:szCs w:val="28"/>
          <w:lang w:eastAsia="ru-RU"/>
        </w:rPr>
        <w:t>1373</w:t>
      </w:r>
      <w:r w:rsidR="00D3591B" w:rsidRPr="0089786F">
        <w:rPr>
          <w:rFonts w:ascii="Times New Roman" w:eastAsia="Times New Roman" w:hAnsi="Times New Roman" w:cs="Times New Roman"/>
          <w:b/>
          <w:sz w:val="28"/>
          <w:szCs w:val="28"/>
          <w:lang w:eastAsia="ru-RU"/>
        </w:rPr>
        <w:t>;</w:t>
      </w:r>
      <w:r w:rsidR="00145B62" w:rsidRPr="0089786F">
        <w:rPr>
          <w:rFonts w:ascii="Times New Roman" w:eastAsia="Times New Roman" w:hAnsi="Times New Roman" w:cs="Times New Roman"/>
          <w:b/>
          <w:sz w:val="28"/>
          <w:szCs w:val="28"/>
          <w:lang w:eastAsia="ru-RU"/>
        </w:rPr>
        <w:t xml:space="preserve"> 2018р. – </w:t>
      </w:r>
      <w:r w:rsidR="00B04B43">
        <w:rPr>
          <w:rFonts w:ascii="Times New Roman" w:eastAsia="Times New Roman" w:hAnsi="Times New Roman" w:cs="Times New Roman"/>
          <w:b/>
          <w:sz w:val="28"/>
          <w:szCs w:val="28"/>
          <w:lang w:eastAsia="ru-RU"/>
        </w:rPr>
        <w:t>1283</w:t>
      </w:r>
      <w:r w:rsidRPr="0089786F">
        <w:rPr>
          <w:rFonts w:ascii="Times New Roman" w:eastAsia="Times New Roman" w:hAnsi="Times New Roman" w:cs="Times New Roman"/>
          <w:b/>
          <w:sz w:val="28"/>
          <w:szCs w:val="28"/>
          <w:lang w:eastAsia="ru-RU"/>
        </w:rPr>
        <w:t>).</w:t>
      </w:r>
      <w:r w:rsidRPr="0089786F">
        <w:rPr>
          <w:rFonts w:ascii="Times New Roman" w:eastAsia="Times New Roman" w:hAnsi="Times New Roman" w:cs="Times New Roman"/>
          <w:sz w:val="28"/>
          <w:szCs w:val="28"/>
          <w:lang w:eastAsia="ru-RU"/>
        </w:rPr>
        <w:t xml:space="preserve">  </w:t>
      </w:r>
    </w:p>
    <w:p w:rsidR="00EF3AC6" w:rsidRPr="0089786F" w:rsidRDefault="003A65A4" w:rsidP="00D164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За останні рок</w:t>
      </w:r>
      <w:r w:rsidR="00A50EA6" w:rsidRPr="0089786F">
        <w:rPr>
          <w:rFonts w:ascii="Times New Roman" w:eastAsia="Times New Roman" w:hAnsi="Times New Roman" w:cs="Times New Roman"/>
          <w:sz w:val="28"/>
          <w:szCs w:val="28"/>
          <w:lang w:eastAsia="ru-RU"/>
        </w:rPr>
        <w:t>и</w:t>
      </w:r>
      <w:r w:rsidRPr="0089786F">
        <w:rPr>
          <w:rFonts w:ascii="Times New Roman" w:eastAsia="Times New Roman" w:hAnsi="Times New Roman" w:cs="Times New Roman"/>
          <w:sz w:val="28"/>
          <w:szCs w:val="28"/>
          <w:lang w:eastAsia="ru-RU"/>
        </w:rPr>
        <w:t xml:space="preserve"> після проведеної експертизи було надано </w:t>
      </w:r>
      <w:r w:rsidR="003A41D0" w:rsidRPr="0089786F">
        <w:rPr>
          <w:rFonts w:ascii="Times New Roman" w:eastAsia="Times New Roman" w:hAnsi="Times New Roman" w:cs="Times New Roman"/>
          <w:b/>
          <w:sz w:val="28"/>
          <w:szCs w:val="28"/>
          <w:lang w:eastAsia="ru-RU"/>
        </w:rPr>
        <w:t>45</w:t>
      </w:r>
      <w:r w:rsidR="00BB5EC4" w:rsidRPr="0089786F">
        <w:rPr>
          <w:rFonts w:ascii="Times New Roman" w:eastAsia="Times New Roman" w:hAnsi="Times New Roman" w:cs="Times New Roman"/>
          <w:b/>
          <w:sz w:val="28"/>
          <w:szCs w:val="28"/>
          <w:lang w:eastAsia="ru-RU"/>
        </w:rPr>
        <w:t>2</w:t>
      </w:r>
      <w:r w:rsidRPr="0089786F">
        <w:rPr>
          <w:rFonts w:ascii="Times New Roman" w:eastAsia="Times New Roman" w:hAnsi="Times New Roman" w:cs="Times New Roman"/>
          <w:sz w:val="28"/>
          <w:szCs w:val="28"/>
          <w:lang w:eastAsia="ru-RU"/>
        </w:rPr>
        <w:t xml:space="preserve"> позитивн</w:t>
      </w:r>
      <w:r w:rsidR="00615AEF" w:rsidRPr="0089786F">
        <w:rPr>
          <w:rFonts w:ascii="Times New Roman" w:eastAsia="Times New Roman" w:hAnsi="Times New Roman" w:cs="Times New Roman"/>
          <w:sz w:val="28"/>
          <w:szCs w:val="28"/>
          <w:lang w:eastAsia="ru-RU"/>
        </w:rPr>
        <w:t>і</w:t>
      </w:r>
      <w:r w:rsidRPr="0089786F">
        <w:rPr>
          <w:rFonts w:ascii="Times New Roman" w:eastAsia="Times New Roman" w:hAnsi="Times New Roman" w:cs="Times New Roman"/>
          <w:sz w:val="28"/>
          <w:szCs w:val="28"/>
          <w:lang w:eastAsia="ru-RU"/>
        </w:rPr>
        <w:t xml:space="preserve"> висновк</w:t>
      </w:r>
      <w:r w:rsidR="00615AEF" w:rsidRPr="0089786F">
        <w:rPr>
          <w:rFonts w:ascii="Times New Roman" w:eastAsia="Times New Roman" w:hAnsi="Times New Roman" w:cs="Times New Roman"/>
          <w:sz w:val="28"/>
          <w:szCs w:val="28"/>
          <w:lang w:eastAsia="ru-RU"/>
        </w:rPr>
        <w:t>и</w:t>
      </w:r>
      <w:r w:rsidRPr="0089786F">
        <w:rPr>
          <w:rFonts w:ascii="Times New Roman" w:eastAsia="Times New Roman" w:hAnsi="Times New Roman" w:cs="Times New Roman"/>
          <w:sz w:val="28"/>
          <w:szCs w:val="28"/>
          <w:lang w:eastAsia="ru-RU"/>
        </w:rPr>
        <w:t xml:space="preserve"> щодо можливості проведення передреєстраційних КВ в Україні</w:t>
      </w:r>
      <w:r w:rsidR="002B4A41" w:rsidRPr="0089786F">
        <w:rPr>
          <w:rFonts w:ascii="Times New Roman" w:eastAsia="Times New Roman" w:hAnsi="Times New Roman" w:cs="Times New Roman"/>
          <w:sz w:val="28"/>
          <w:szCs w:val="28"/>
          <w:lang w:eastAsia="ru-RU"/>
        </w:rPr>
        <w:t>,</w:t>
      </w:r>
      <w:r w:rsidRPr="0089786F">
        <w:rPr>
          <w:rFonts w:ascii="Times New Roman" w:eastAsia="Times New Roman" w:hAnsi="Times New Roman" w:cs="Times New Roman"/>
          <w:sz w:val="28"/>
          <w:szCs w:val="28"/>
          <w:lang w:eastAsia="ru-RU"/>
        </w:rPr>
        <w:t xml:space="preserve">  </w:t>
      </w:r>
      <w:r w:rsidR="002B4A41" w:rsidRPr="0089786F">
        <w:rPr>
          <w:rFonts w:ascii="Times New Roman" w:eastAsia="Times New Roman" w:hAnsi="Times New Roman" w:cs="Times New Roman"/>
          <w:sz w:val="28"/>
          <w:szCs w:val="28"/>
          <w:lang w:eastAsia="ru-RU"/>
        </w:rPr>
        <w:t>с</w:t>
      </w:r>
      <w:r w:rsidR="00EF3AC6" w:rsidRPr="0089786F">
        <w:rPr>
          <w:rFonts w:ascii="Times New Roman" w:eastAsia="Times New Roman" w:hAnsi="Times New Roman" w:cs="Times New Roman"/>
          <w:sz w:val="28"/>
          <w:szCs w:val="28"/>
          <w:lang w:eastAsia="ru-RU"/>
        </w:rPr>
        <w:t xml:space="preserve">еред яких за останні роки було надано </w:t>
      </w:r>
      <w:r w:rsidR="000F697E" w:rsidRPr="0089786F">
        <w:rPr>
          <w:rFonts w:ascii="Times New Roman" w:eastAsia="Times New Roman" w:hAnsi="Times New Roman" w:cs="Times New Roman"/>
          <w:b/>
          <w:sz w:val="28"/>
          <w:szCs w:val="28"/>
          <w:lang w:eastAsia="ru-RU"/>
        </w:rPr>
        <w:t>86</w:t>
      </w:r>
      <w:r w:rsidR="00EF3AC6" w:rsidRPr="0089786F">
        <w:rPr>
          <w:rFonts w:ascii="Times New Roman" w:eastAsia="Times New Roman" w:hAnsi="Times New Roman" w:cs="Times New Roman"/>
          <w:sz w:val="28"/>
          <w:szCs w:val="28"/>
          <w:lang w:eastAsia="ru-RU"/>
        </w:rPr>
        <w:t xml:space="preserve"> позитивних висновків щодо проведення досліджень </w:t>
      </w:r>
      <w:r w:rsidR="002B4A41" w:rsidRPr="0089786F">
        <w:rPr>
          <w:rFonts w:ascii="Times New Roman" w:eastAsia="Times New Roman" w:hAnsi="Times New Roman" w:cs="Times New Roman"/>
          <w:sz w:val="28"/>
          <w:szCs w:val="28"/>
          <w:lang w:eastAsia="ru-RU"/>
        </w:rPr>
        <w:t xml:space="preserve">з </w:t>
      </w:r>
      <w:r w:rsidR="00EF3AC6" w:rsidRPr="0089786F">
        <w:rPr>
          <w:rFonts w:ascii="Times New Roman" w:eastAsia="Times New Roman" w:hAnsi="Times New Roman" w:cs="Times New Roman"/>
          <w:sz w:val="28"/>
          <w:szCs w:val="28"/>
          <w:lang w:eastAsia="ru-RU"/>
        </w:rPr>
        <w:t>біоеквівалентності</w:t>
      </w:r>
      <w:r w:rsidR="002B4A41" w:rsidRPr="0089786F">
        <w:rPr>
          <w:rFonts w:ascii="Times New Roman" w:eastAsia="Times New Roman" w:hAnsi="Times New Roman" w:cs="Times New Roman"/>
          <w:sz w:val="28"/>
          <w:szCs w:val="28"/>
          <w:lang w:eastAsia="ru-RU"/>
        </w:rPr>
        <w:t>.</w:t>
      </w:r>
    </w:p>
    <w:p w:rsidR="003A65A4" w:rsidRPr="0089786F" w:rsidRDefault="003A65A4" w:rsidP="00D3591B">
      <w:pPr>
        <w:autoSpaceDE w:val="0"/>
        <w:autoSpaceDN w:val="0"/>
        <w:adjustRightInd w:val="0"/>
        <w:spacing w:after="0" w:line="240" w:lineRule="auto"/>
        <w:rPr>
          <w:rFonts w:ascii="Times New Roman" w:eastAsia="Times New Roman" w:hAnsi="Times New Roman" w:cs="Times New Roman"/>
          <w:b/>
          <w:sz w:val="28"/>
          <w:szCs w:val="28"/>
          <w:lang w:eastAsia="ru-RU"/>
        </w:rPr>
      </w:pPr>
    </w:p>
    <w:p w:rsidR="00D3591B" w:rsidRPr="0089786F" w:rsidRDefault="003A65A4" w:rsidP="00D35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Позитивні висновки щодо проведення передреєстраційних клінічних випробуван</w:t>
      </w:r>
      <w:r w:rsidR="00D3591B" w:rsidRPr="0089786F">
        <w:rPr>
          <w:rFonts w:ascii="Times New Roman" w:eastAsia="Times New Roman" w:hAnsi="Times New Roman" w:cs="Times New Roman"/>
          <w:b/>
          <w:sz w:val="28"/>
          <w:szCs w:val="28"/>
          <w:lang w:eastAsia="ru-RU"/>
        </w:rPr>
        <w:t>ь лікарських засобів в Україні</w:t>
      </w:r>
    </w:p>
    <w:p w:rsidR="00D3591B" w:rsidRPr="0089786F" w:rsidRDefault="00D3591B" w:rsidP="00D35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 xml:space="preserve">(з </w:t>
      </w:r>
      <w:r w:rsidRPr="0089786F">
        <w:rPr>
          <w:rFonts w:ascii="Times New Roman" w:eastAsia="Times New Roman" w:hAnsi="Times New Roman" w:cs="Times New Roman"/>
          <w:b/>
          <w:bCs/>
          <w:sz w:val="28"/>
          <w:szCs w:val="28"/>
          <w:lang w:eastAsia="ru-RU"/>
        </w:rPr>
        <w:t>2010 р. по 2018 р.</w:t>
      </w:r>
      <w:r w:rsidRPr="0089786F">
        <w:rPr>
          <w:rFonts w:ascii="Times New Roman" w:eastAsia="Times New Roman" w:hAnsi="Times New Roman" w:cs="Times New Roman"/>
          <w:b/>
          <w:sz w:val="28"/>
          <w:szCs w:val="28"/>
          <w:lang w:eastAsia="ru-RU"/>
        </w:rPr>
        <w:t>)</w:t>
      </w:r>
    </w:p>
    <w:p w:rsidR="003D3E58" w:rsidRPr="0089786F" w:rsidRDefault="003A65A4" w:rsidP="00497B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86F">
        <w:rPr>
          <w:rFonts w:ascii="Times New Roman" w:eastAsia="Arial Unicode MS" w:hAnsi="Times New Roman" w:cs="Times New Roman"/>
          <w:sz w:val="28"/>
          <w:szCs w:val="28"/>
          <w:lang w:eastAsia="ru-RU"/>
        </w:rPr>
        <w:br/>
      </w:r>
      <w:r w:rsidR="00C16BC9" w:rsidRPr="0089786F">
        <w:rPr>
          <w:noProof/>
          <w:lang w:eastAsia="uk-UA"/>
        </w:rPr>
        <w:drawing>
          <wp:inline distT="0" distB="0" distL="0" distR="0" wp14:anchorId="7756146A" wp14:editId="3C5A10AF">
            <wp:extent cx="5749588" cy="2545080"/>
            <wp:effectExtent l="0" t="0" r="0" b="0"/>
            <wp:docPr id="134" name="Диаграмма 1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65A4" w:rsidRPr="0089786F" w:rsidRDefault="00EF3AC6" w:rsidP="003A65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 xml:space="preserve">Позитивні висновки щодо проведення </w:t>
      </w:r>
      <w:r w:rsidR="003D3E58" w:rsidRPr="0089786F">
        <w:rPr>
          <w:rFonts w:ascii="Times New Roman" w:eastAsia="Times New Roman" w:hAnsi="Times New Roman" w:cs="Times New Roman"/>
          <w:b/>
          <w:sz w:val="28"/>
          <w:szCs w:val="28"/>
          <w:lang w:eastAsia="ru-RU"/>
        </w:rPr>
        <w:t>досліджен</w:t>
      </w:r>
      <w:r w:rsidR="006A2AF3" w:rsidRPr="0089786F">
        <w:rPr>
          <w:rFonts w:ascii="Times New Roman" w:eastAsia="Times New Roman" w:hAnsi="Times New Roman" w:cs="Times New Roman"/>
          <w:b/>
          <w:sz w:val="28"/>
          <w:szCs w:val="28"/>
          <w:lang w:eastAsia="ru-RU"/>
        </w:rPr>
        <w:t>ь з</w:t>
      </w:r>
      <w:r w:rsidR="003D3E58" w:rsidRPr="0089786F">
        <w:rPr>
          <w:rFonts w:ascii="Times New Roman" w:eastAsia="Times New Roman" w:hAnsi="Times New Roman" w:cs="Times New Roman"/>
          <w:b/>
          <w:sz w:val="28"/>
          <w:szCs w:val="28"/>
          <w:lang w:eastAsia="ru-RU"/>
        </w:rPr>
        <w:t xml:space="preserve"> біоеквівалентності</w:t>
      </w:r>
    </w:p>
    <w:p w:rsidR="00D3591B" w:rsidRPr="0089786F" w:rsidRDefault="00D3591B" w:rsidP="00D35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 xml:space="preserve">(з </w:t>
      </w:r>
      <w:r w:rsidRPr="0089786F">
        <w:rPr>
          <w:rFonts w:ascii="Times New Roman" w:eastAsia="Times New Roman" w:hAnsi="Times New Roman" w:cs="Times New Roman"/>
          <w:b/>
          <w:bCs/>
          <w:sz w:val="28"/>
          <w:szCs w:val="28"/>
          <w:lang w:eastAsia="ru-RU"/>
        </w:rPr>
        <w:t>2010 р. по 2018 р.</w:t>
      </w:r>
      <w:r w:rsidRPr="0089786F">
        <w:rPr>
          <w:rFonts w:ascii="Times New Roman" w:eastAsia="Times New Roman" w:hAnsi="Times New Roman" w:cs="Times New Roman"/>
          <w:b/>
          <w:sz w:val="28"/>
          <w:szCs w:val="28"/>
          <w:lang w:eastAsia="ru-RU"/>
        </w:rPr>
        <w:t>)</w:t>
      </w:r>
    </w:p>
    <w:p w:rsidR="00497BEB" w:rsidRPr="0089786F" w:rsidRDefault="00497BEB" w:rsidP="003A65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6543C" w:rsidRPr="0089786F" w:rsidRDefault="00B75FFC" w:rsidP="00EF16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noProof/>
          <w:sz w:val="28"/>
          <w:szCs w:val="28"/>
          <w:lang w:eastAsia="uk-UA"/>
        </w:rPr>
        <w:drawing>
          <wp:inline distT="0" distB="0" distL="0" distR="0" wp14:anchorId="663ECBE2" wp14:editId="122093CB">
            <wp:extent cx="5181600" cy="3005667"/>
            <wp:effectExtent l="0" t="0" r="0" b="444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65A4" w:rsidRPr="0089786F" w:rsidRDefault="003A65A4" w:rsidP="003A65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lastRenderedPageBreak/>
        <w:t>Кількість суттєвих поправок до м</w:t>
      </w:r>
      <w:r w:rsidR="00EF551A" w:rsidRPr="0089786F">
        <w:rPr>
          <w:rFonts w:ascii="Times New Roman" w:eastAsia="Times New Roman" w:hAnsi="Times New Roman" w:cs="Times New Roman"/>
          <w:b/>
          <w:sz w:val="28"/>
          <w:szCs w:val="28"/>
          <w:lang w:eastAsia="ru-RU"/>
        </w:rPr>
        <w:t>атеріалів передреєстраційних КВ</w:t>
      </w:r>
      <w:r w:rsidRPr="0089786F">
        <w:rPr>
          <w:rFonts w:ascii="Times New Roman" w:eastAsia="Times New Roman" w:hAnsi="Times New Roman" w:cs="Times New Roman"/>
          <w:b/>
          <w:sz w:val="28"/>
          <w:szCs w:val="28"/>
          <w:lang w:eastAsia="ru-RU"/>
        </w:rPr>
        <w:t xml:space="preserve"> </w:t>
      </w:r>
    </w:p>
    <w:p w:rsidR="00D3591B" w:rsidRPr="0089786F" w:rsidRDefault="00D3591B" w:rsidP="00D35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 xml:space="preserve">(з </w:t>
      </w:r>
      <w:r w:rsidRPr="0089786F">
        <w:rPr>
          <w:rFonts w:ascii="Times New Roman" w:eastAsia="Times New Roman" w:hAnsi="Times New Roman" w:cs="Times New Roman"/>
          <w:b/>
          <w:bCs/>
          <w:sz w:val="28"/>
          <w:szCs w:val="28"/>
          <w:lang w:eastAsia="ru-RU"/>
        </w:rPr>
        <w:t>2010 р. по 2018 р.</w:t>
      </w:r>
      <w:r w:rsidRPr="0089786F">
        <w:rPr>
          <w:rFonts w:ascii="Times New Roman" w:eastAsia="Times New Roman" w:hAnsi="Times New Roman" w:cs="Times New Roman"/>
          <w:b/>
          <w:sz w:val="28"/>
          <w:szCs w:val="28"/>
          <w:lang w:eastAsia="ru-RU"/>
        </w:rPr>
        <w:t>)</w:t>
      </w:r>
    </w:p>
    <w:p w:rsidR="00266403" w:rsidRPr="0089786F" w:rsidRDefault="00266403" w:rsidP="003E1E11">
      <w:pPr>
        <w:autoSpaceDE w:val="0"/>
        <w:autoSpaceDN w:val="0"/>
        <w:adjustRightInd w:val="0"/>
        <w:spacing w:after="0" w:line="240" w:lineRule="auto"/>
        <w:rPr>
          <w:rFonts w:ascii="Times New Roman" w:eastAsia="Times New Roman" w:hAnsi="Times New Roman" w:cs="Times New Roman"/>
          <w:b/>
          <w:sz w:val="28"/>
          <w:szCs w:val="28"/>
          <w:lang w:eastAsia="ru-RU"/>
        </w:rPr>
      </w:pPr>
    </w:p>
    <w:p w:rsidR="00264E87" w:rsidRPr="0089786F" w:rsidRDefault="00EF16F5" w:rsidP="003A65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noProof/>
          <w:sz w:val="28"/>
          <w:szCs w:val="28"/>
          <w:lang w:eastAsia="uk-UA"/>
        </w:rPr>
        <w:drawing>
          <wp:inline distT="0" distB="0" distL="0" distR="0" wp14:anchorId="06D27B70" wp14:editId="53D61D00">
            <wp:extent cx="5997575" cy="2824706"/>
            <wp:effectExtent l="0" t="0" r="3175" b="0"/>
            <wp:docPr id="133" name="Диаграмма 1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65A4" w:rsidRPr="0089786F" w:rsidRDefault="003A65A4" w:rsidP="003A65A4">
      <w:pPr>
        <w:spacing w:after="0" w:line="240" w:lineRule="auto"/>
        <w:ind w:firstLine="708"/>
        <w:jc w:val="both"/>
        <w:rPr>
          <w:rFonts w:ascii="Times New Roman" w:eastAsia="Times New Roman" w:hAnsi="Times New Roman" w:cs="Times New Roman"/>
          <w:b/>
          <w:sz w:val="28"/>
          <w:szCs w:val="28"/>
          <w:lang w:eastAsia="ru-RU"/>
        </w:rPr>
      </w:pPr>
    </w:p>
    <w:p w:rsidR="00266403" w:rsidRPr="0089786F" w:rsidRDefault="00266403" w:rsidP="003A65A4">
      <w:pPr>
        <w:spacing w:after="0" w:line="240" w:lineRule="auto"/>
        <w:ind w:firstLine="708"/>
        <w:jc w:val="both"/>
        <w:rPr>
          <w:rFonts w:ascii="Times New Roman" w:eastAsia="Times New Roman" w:hAnsi="Times New Roman" w:cs="Times New Roman"/>
          <w:b/>
          <w:sz w:val="28"/>
          <w:szCs w:val="28"/>
          <w:lang w:eastAsia="ru-RU"/>
        </w:rPr>
      </w:pPr>
    </w:p>
    <w:p w:rsidR="003A65A4" w:rsidRPr="0089786F" w:rsidRDefault="003A65A4" w:rsidP="003A65A4">
      <w:pPr>
        <w:spacing w:after="0" w:line="240" w:lineRule="auto"/>
        <w:ind w:firstLine="567"/>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Аналіз матеріалів клінічних випробувань за останні  рок</w:t>
      </w:r>
      <w:r w:rsidR="00A50EA6" w:rsidRPr="0089786F">
        <w:rPr>
          <w:rFonts w:ascii="Times New Roman" w:eastAsia="Times New Roman" w:hAnsi="Times New Roman" w:cs="Times New Roman"/>
          <w:sz w:val="28"/>
          <w:szCs w:val="28"/>
          <w:lang w:eastAsia="ru-RU"/>
        </w:rPr>
        <w:t>и</w:t>
      </w:r>
      <w:r w:rsidRPr="0089786F">
        <w:rPr>
          <w:rFonts w:ascii="Times New Roman" w:eastAsia="Times New Roman" w:hAnsi="Times New Roman" w:cs="Times New Roman"/>
          <w:sz w:val="28"/>
          <w:szCs w:val="28"/>
          <w:lang w:eastAsia="ru-RU"/>
        </w:rPr>
        <w:t xml:space="preserve"> показав, що найбільш частіше проводяться клінічні випробування лікарських засобів для лікування захворювань в онкології, психіатрії, неврології, пульмонології, ревматології, тощо. Це пов’язано з тим, що ці захворювання частіше за все стають причиною інвалідизації людини та погіршення якості її життя. </w:t>
      </w:r>
    </w:p>
    <w:p w:rsidR="003A65A4" w:rsidRPr="0089786F" w:rsidRDefault="003A65A4" w:rsidP="003A65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0" w:line="254" w:lineRule="atLeast"/>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ab/>
        <w:t xml:space="preserve"> </w:t>
      </w:r>
    </w:p>
    <w:p w:rsidR="004E198C" w:rsidRPr="0089786F" w:rsidRDefault="003A65A4" w:rsidP="00EF551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786F">
        <w:rPr>
          <w:rFonts w:ascii="SchoolBookCTT" w:eastAsia="Times New Roman" w:hAnsi="SchoolBookCTT" w:cs="SchoolBookCTT"/>
          <w:b/>
          <w:sz w:val="28"/>
          <w:szCs w:val="28"/>
          <w:lang w:eastAsia="ru-RU"/>
        </w:rPr>
        <w:t xml:space="preserve">Позитивні висновки щодо проведення міжнародних багатоцентрових КВ в Україні за областями медицини </w:t>
      </w:r>
      <w:r w:rsidR="00EF551A" w:rsidRPr="0089786F">
        <w:rPr>
          <w:rFonts w:ascii="Times New Roman" w:eastAsia="Times New Roman" w:hAnsi="Times New Roman" w:cs="Times New Roman"/>
          <w:b/>
          <w:sz w:val="28"/>
          <w:szCs w:val="28"/>
          <w:lang w:eastAsia="ru-RU"/>
        </w:rPr>
        <w:t xml:space="preserve">з </w:t>
      </w:r>
      <w:r w:rsidR="00EF551A" w:rsidRPr="0089786F">
        <w:rPr>
          <w:rFonts w:ascii="Times New Roman" w:eastAsia="Times New Roman" w:hAnsi="Times New Roman" w:cs="Times New Roman"/>
          <w:b/>
          <w:bCs/>
          <w:sz w:val="28"/>
          <w:szCs w:val="28"/>
          <w:lang w:eastAsia="ru-RU"/>
        </w:rPr>
        <w:t>2012 р. по 2018 р.</w:t>
      </w:r>
      <w:r w:rsidR="00EF551A" w:rsidRPr="0089786F">
        <w:rPr>
          <w:rFonts w:ascii="Times New Roman" w:eastAsia="Times New Roman" w:hAnsi="Times New Roman" w:cs="Times New Roman"/>
          <w:b/>
          <w:sz w:val="28"/>
          <w:szCs w:val="28"/>
          <w:lang w:eastAsia="ru-RU"/>
        </w:rPr>
        <w:t xml:space="preserve"> </w:t>
      </w:r>
      <w:r w:rsidRPr="0089786F">
        <w:rPr>
          <w:rFonts w:ascii="SchoolBookCTT" w:eastAsia="Times New Roman" w:hAnsi="SchoolBookCTT" w:cs="SchoolBookCTT"/>
          <w:b/>
          <w:sz w:val="28"/>
          <w:szCs w:val="28"/>
          <w:lang w:eastAsia="ru-RU"/>
        </w:rPr>
        <w:t>(лідери</w:t>
      </w:r>
      <w:r w:rsidR="00EF551A" w:rsidRPr="0089786F">
        <w:rPr>
          <w:rFonts w:ascii="SchoolBookCTT" w:eastAsia="Times New Roman" w:hAnsi="SchoolBookCTT" w:cs="SchoolBookCTT"/>
          <w:b/>
          <w:sz w:val="28"/>
          <w:szCs w:val="28"/>
          <w:lang w:eastAsia="ru-RU"/>
        </w:rPr>
        <w:t>)</w:t>
      </w:r>
    </w:p>
    <w:p w:rsidR="003A65A4" w:rsidRPr="0089786F" w:rsidRDefault="004E198C" w:rsidP="002F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0" w:line="254" w:lineRule="atLeast"/>
        <w:ind w:left="-709"/>
        <w:jc w:val="center"/>
        <w:rPr>
          <w:rFonts w:ascii="SchoolBookCTT" w:eastAsia="Times New Roman" w:hAnsi="SchoolBookCTT" w:cs="SchoolBookCTT"/>
          <w:b/>
          <w:sz w:val="28"/>
          <w:szCs w:val="28"/>
          <w:lang w:eastAsia="ru-RU"/>
        </w:rPr>
      </w:pPr>
      <w:r w:rsidRPr="0089786F">
        <w:rPr>
          <w:rFonts w:ascii="Times New Roman" w:eastAsia="Times New Roman" w:hAnsi="Times New Roman" w:cs="Times New Roman"/>
          <w:b/>
          <w:noProof/>
          <w:sz w:val="28"/>
          <w:szCs w:val="28"/>
          <w:lang w:eastAsia="uk-UA"/>
        </w:rPr>
        <w:drawing>
          <wp:inline distT="0" distB="0" distL="0" distR="0" wp14:anchorId="5823745F" wp14:editId="63344583">
            <wp:extent cx="7063740" cy="3523213"/>
            <wp:effectExtent l="0" t="0" r="3810" b="1270"/>
            <wp:docPr id="132" name="Диаграмма 1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65A4" w:rsidRPr="0089786F" w:rsidRDefault="003A65A4" w:rsidP="003A65A4">
      <w:pPr>
        <w:spacing w:after="0" w:line="240" w:lineRule="auto"/>
        <w:ind w:firstLine="567"/>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lastRenderedPageBreak/>
        <w:t>Проведений аналіз матеріалів клінічних випробувань свідчить, що частіше за все проводяться КВ ІІ</w:t>
      </w:r>
      <w:r w:rsidR="00390E14" w:rsidRPr="0089786F">
        <w:rPr>
          <w:rFonts w:ascii="Times New Roman" w:eastAsia="Times New Roman" w:hAnsi="Times New Roman" w:cs="Times New Roman"/>
          <w:sz w:val="28"/>
          <w:szCs w:val="28"/>
          <w:lang w:eastAsia="ru-RU"/>
        </w:rPr>
        <w:t xml:space="preserve"> та </w:t>
      </w:r>
      <w:r w:rsidRPr="0089786F">
        <w:rPr>
          <w:rFonts w:ascii="Times New Roman" w:eastAsia="Times New Roman" w:hAnsi="Times New Roman" w:cs="Times New Roman"/>
          <w:sz w:val="28"/>
          <w:szCs w:val="28"/>
          <w:lang w:eastAsia="ru-RU"/>
        </w:rPr>
        <w:t>III фази, з залученням пацієнтів із захворюваннями, для якого розробляється даний ЛЗ.</w:t>
      </w:r>
    </w:p>
    <w:p w:rsidR="003E1E11" w:rsidRPr="0089786F" w:rsidRDefault="003E1E11" w:rsidP="003A65A4">
      <w:pPr>
        <w:spacing w:after="0" w:line="240" w:lineRule="auto"/>
        <w:ind w:firstLine="567"/>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8752" behindDoc="0" locked="0" layoutInCell="1" allowOverlap="1" wp14:anchorId="675BAD18" wp14:editId="430C713F">
                <wp:simplePos x="0" y="0"/>
                <wp:positionH relativeFrom="margin">
                  <wp:align>left</wp:align>
                </wp:positionH>
                <wp:positionV relativeFrom="paragraph">
                  <wp:posOffset>7051</wp:posOffset>
                </wp:positionV>
                <wp:extent cx="5709132" cy="649933"/>
                <wp:effectExtent l="0" t="0" r="0" b="0"/>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132" cy="64993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5A4" w:rsidRPr="00C54C47" w:rsidRDefault="003A65A4" w:rsidP="003A65A4">
                            <w:pPr>
                              <w:autoSpaceDE w:val="0"/>
                              <w:autoSpaceDN w:val="0"/>
                              <w:adjustRightInd w:val="0"/>
                              <w:jc w:val="center"/>
                              <w:rPr>
                                <w:rFonts w:ascii="Times New Roman" w:hAnsi="Times New Roman" w:cs="Times New Roman"/>
                                <w:b/>
                                <w:sz w:val="28"/>
                                <w:szCs w:val="28"/>
                              </w:rPr>
                            </w:pPr>
                            <w:r w:rsidRPr="00C54C47">
                              <w:rPr>
                                <w:rFonts w:ascii="Times New Roman" w:hAnsi="Times New Roman" w:cs="Times New Roman"/>
                                <w:b/>
                                <w:sz w:val="28"/>
                                <w:szCs w:val="28"/>
                              </w:rPr>
                              <w:t>Позитивні висновки щодо проведення міжнародних багатоц</w:t>
                            </w:r>
                            <w:r w:rsidR="00EF551A" w:rsidRPr="00C54C47">
                              <w:rPr>
                                <w:rFonts w:ascii="Times New Roman" w:hAnsi="Times New Roman" w:cs="Times New Roman"/>
                                <w:b/>
                                <w:sz w:val="28"/>
                                <w:szCs w:val="28"/>
                              </w:rPr>
                              <w:t>ентрових КВ в Україні за фазами</w:t>
                            </w:r>
                            <w:r w:rsidRPr="00C54C47">
                              <w:rPr>
                                <w:rFonts w:ascii="Times New Roman" w:hAnsi="Times New Roman" w:cs="Times New Roman"/>
                                <w:b/>
                                <w:sz w:val="28"/>
                                <w:szCs w:val="28"/>
                              </w:rPr>
                              <w:t xml:space="preserve"> </w:t>
                            </w:r>
                            <w:r w:rsidR="002F34B2" w:rsidRPr="0089786F">
                              <w:rPr>
                                <w:rFonts w:ascii="Times New Roman" w:eastAsia="Times New Roman" w:hAnsi="Times New Roman" w:cs="Times New Roman"/>
                                <w:b/>
                                <w:sz w:val="28"/>
                                <w:szCs w:val="28"/>
                                <w:lang w:eastAsia="ru-RU"/>
                              </w:rPr>
                              <w:t xml:space="preserve">з </w:t>
                            </w:r>
                            <w:r w:rsidR="002F34B2" w:rsidRPr="0089786F">
                              <w:rPr>
                                <w:rFonts w:ascii="Times New Roman" w:eastAsia="Times New Roman" w:hAnsi="Times New Roman" w:cs="Times New Roman"/>
                                <w:b/>
                                <w:bCs/>
                                <w:sz w:val="28"/>
                                <w:szCs w:val="28"/>
                                <w:lang w:eastAsia="ru-RU"/>
                              </w:rPr>
                              <w:t>2012 р. по 2018 р.</w:t>
                            </w:r>
                          </w:p>
                        </w:txbxContent>
                      </wps:txbx>
                      <wps:bodyPr rot="0" vert="horz" wrap="square" lIns="63094" tIns="31547" rIns="63094" bIns="31547"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5BAD18" id="Прямоугольник 188" o:spid="_x0000_s1026" style="position:absolute;left:0;text-align:left;margin-left:0;margin-top:.55pt;width:449.55pt;height:51.2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" filled="f" fillcolor="#bbe0e3" stroked="f">
                <v:textbox inset="1.75261mm,.87631mm,1.75261mm,.87631mm">
                  <w:txbxContent>
                    <w:p w:rsidR="003A65A4" w:rsidRPr="00C54C47" w:rsidRDefault="003A65A4" w:rsidP="003A65A4">
                      <w:pPr>
                        <w:autoSpaceDE w:val="0"/>
                        <w:autoSpaceDN w:val="0"/>
                        <w:adjustRightInd w:val="0"/>
                        <w:jc w:val="center"/>
                        <w:rPr>
                          <w:rFonts w:ascii="Times New Roman" w:hAnsi="Times New Roman" w:cs="Times New Roman"/>
                          <w:b/>
                          <w:sz w:val="28"/>
                          <w:szCs w:val="28"/>
                        </w:rPr>
                      </w:pPr>
                      <w:r w:rsidRPr="00C54C47">
                        <w:rPr>
                          <w:rFonts w:ascii="Times New Roman" w:hAnsi="Times New Roman" w:cs="Times New Roman"/>
                          <w:b/>
                          <w:sz w:val="28"/>
                          <w:szCs w:val="28"/>
                        </w:rPr>
                        <w:t>Позитивні висновки щодо проведення міжнародних багатоц</w:t>
                      </w:r>
                      <w:r w:rsidR="00EF551A" w:rsidRPr="00C54C47">
                        <w:rPr>
                          <w:rFonts w:ascii="Times New Roman" w:hAnsi="Times New Roman" w:cs="Times New Roman"/>
                          <w:b/>
                          <w:sz w:val="28"/>
                          <w:szCs w:val="28"/>
                        </w:rPr>
                        <w:t>ентрових КВ в Україні за фазами</w:t>
                      </w:r>
                      <w:r w:rsidRPr="00C54C47">
                        <w:rPr>
                          <w:rFonts w:ascii="Times New Roman" w:hAnsi="Times New Roman" w:cs="Times New Roman"/>
                          <w:b/>
                          <w:sz w:val="28"/>
                          <w:szCs w:val="28"/>
                        </w:rPr>
                        <w:t xml:space="preserve"> </w:t>
                      </w:r>
                      <w:r w:rsidR="002F34B2" w:rsidRPr="0089786F">
                        <w:rPr>
                          <w:rFonts w:ascii="Times New Roman" w:eastAsia="Times New Roman" w:hAnsi="Times New Roman" w:cs="Times New Roman"/>
                          <w:b/>
                          <w:sz w:val="28"/>
                          <w:szCs w:val="28"/>
                          <w:lang w:eastAsia="ru-RU"/>
                        </w:rPr>
                        <w:t xml:space="preserve">з </w:t>
                      </w:r>
                      <w:r w:rsidR="002F34B2" w:rsidRPr="0089786F">
                        <w:rPr>
                          <w:rFonts w:ascii="Times New Roman" w:eastAsia="Times New Roman" w:hAnsi="Times New Roman" w:cs="Times New Roman"/>
                          <w:b/>
                          <w:bCs/>
                          <w:sz w:val="28"/>
                          <w:szCs w:val="28"/>
                          <w:lang w:eastAsia="ru-RU"/>
                        </w:rPr>
                        <w:t>2012 р. по 2018 р.</w:t>
                      </w:r>
                    </w:p>
                  </w:txbxContent>
                </v:textbox>
                <w10:wrap anchorx="margin"/>
              </v:rect>
            </w:pict>
          </mc:Fallback>
        </mc:AlternateContent>
      </w: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sz w:val="24"/>
          <w:szCs w:val="24"/>
          <w:lang w:eastAsia="ru-RU"/>
        </w:rPr>
      </w:pPr>
    </w:p>
    <w:p w:rsidR="00597AA6" w:rsidRPr="0089786F" w:rsidRDefault="00597AA6" w:rsidP="003A65A4">
      <w:pPr>
        <w:spacing w:after="0" w:line="240" w:lineRule="auto"/>
        <w:jc w:val="both"/>
        <w:rPr>
          <w:rFonts w:ascii="Times New Roman" w:eastAsia="Times New Roman" w:hAnsi="Times New Roman" w:cs="Times New Roman"/>
          <w:sz w:val="24"/>
          <w:szCs w:val="24"/>
          <w:lang w:eastAsia="ru-RU"/>
        </w:rPr>
      </w:pPr>
      <w:r w:rsidRPr="0089786F">
        <w:rPr>
          <w:rFonts w:ascii="Times New Roman" w:eastAsia="Times New Roman" w:hAnsi="Times New Roman" w:cs="Times New Roman"/>
          <w:noProof/>
          <w:sz w:val="28"/>
          <w:szCs w:val="28"/>
          <w:lang w:eastAsia="uk-UA"/>
        </w:rPr>
        <w:drawing>
          <wp:inline distT="0" distB="0" distL="0" distR="0" wp14:anchorId="4F615D92" wp14:editId="654F8227">
            <wp:extent cx="5940425" cy="3114675"/>
            <wp:effectExtent l="0" t="0" r="317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65A4" w:rsidRPr="0089786F" w:rsidRDefault="003A65A4" w:rsidP="003A65A4">
      <w:pPr>
        <w:spacing w:after="0" w:line="240" w:lineRule="auto"/>
        <w:jc w:val="both"/>
        <w:rPr>
          <w:rFonts w:ascii="Times New Roman" w:eastAsia="Times New Roman" w:hAnsi="Times New Roman" w:cs="Times New Roman"/>
          <w:sz w:val="24"/>
          <w:szCs w:val="24"/>
          <w:lang w:eastAsia="ru-RU"/>
        </w:rPr>
      </w:pPr>
    </w:p>
    <w:p w:rsidR="00657FD6" w:rsidRPr="0089786F" w:rsidRDefault="00657FD6" w:rsidP="003A65A4">
      <w:pPr>
        <w:spacing w:after="0" w:line="240" w:lineRule="auto"/>
        <w:jc w:val="both"/>
        <w:rPr>
          <w:rFonts w:ascii="Times New Roman" w:eastAsia="Times New Roman" w:hAnsi="Times New Roman" w:cs="Times New Roman"/>
          <w:sz w:val="24"/>
          <w:szCs w:val="24"/>
          <w:lang w:eastAsia="ru-RU"/>
        </w:rPr>
      </w:pPr>
    </w:p>
    <w:p w:rsidR="003A65A4" w:rsidRPr="0089786F" w:rsidRDefault="003A65A4" w:rsidP="003A65A4">
      <w:pPr>
        <w:spacing w:after="0" w:line="240" w:lineRule="auto"/>
        <w:ind w:firstLine="567"/>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Саме ці фази КВ потребують включення значної кількості пацієнтів для доведення ефективності та безпечності досліджуваного лікарського засобу.</w:t>
      </w:r>
    </w:p>
    <w:p w:rsidR="003A65A4" w:rsidRPr="0089786F" w:rsidRDefault="003A65A4" w:rsidP="003A65A4">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Існуюча на даний час в Україні нормативно-правова база щодо клінічних випробувань лікарських засобів повністю відповідає кращим міжнародним підходам та директивам ЄС, про що неодноразово засвідчували експерти ВООЗ, представники ЕМА та FDA. Більш того, законодавство України, зокрема в частині проведення клінічних випробувань за участю дітей, на даний час більш регламентоване та суворіше навіть у порівнянні з країнами Європи. </w:t>
      </w:r>
    </w:p>
    <w:p w:rsidR="003A65A4" w:rsidRPr="0089786F" w:rsidRDefault="003A65A4" w:rsidP="003A65A4">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Таке ставлення свідчить про високу відповідальність до КВ, які проводяться із залученням дітей. </w:t>
      </w:r>
    </w:p>
    <w:p w:rsidR="003A65A4" w:rsidRPr="0089786F" w:rsidRDefault="003A65A4" w:rsidP="003A65A4">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Це обумовлено тим, що діти мають ряд фізіологічних та психологічних особливостей, пов’язаних із розвитком організму дитини, недосконалістю ферментативних і рецепторних систем, які визначають характер фармакокінетики та фармакодинаміки ЛЗ. Крім того, існує ряд захворювань, які зустрічаються тільки в дитячому віці. Наявні відмінності між дитячою та дорослою популяцією, а також між дітьми різних вікових груп є основним чинником, що визначає необхідність проведення клінічних випробувань (КВ) ЛЗ в педіатрії, як з урахуванням фізіологічних особливостей організму, так і віку дитини. У всьому світі, і в Україні в тому числі, існує гостра потреба у </w:t>
      </w:r>
      <w:r w:rsidRPr="00806D3C">
        <w:rPr>
          <w:rFonts w:ascii="Times New Roman" w:eastAsia="Times New Roman" w:hAnsi="Times New Roman" w:cs="Times New Roman"/>
          <w:sz w:val="28"/>
          <w:szCs w:val="28"/>
          <w:lang w:eastAsia="ru-RU"/>
        </w:rPr>
        <w:lastRenderedPageBreak/>
        <w:t>розробці нових і більш детального вивчення вже існуючих ЛЗ для використання в педіатрії.</w:t>
      </w:r>
    </w:p>
    <w:p w:rsidR="004F499E" w:rsidRPr="0089786F" w:rsidRDefault="008042B6" w:rsidP="008042B6">
      <w:pPr>
        <w:tabs>
          <w:tab w:val="left" w:pos="3710"/>
        </w:tabs>
        <w:spacing w:after="0" w:line="240" w:lineRule="auto"/>
        <w:ind w:firstLine="54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ab/>
      </w:r>
    </w:p>
    <w:p w:rsidR="003A65A4" w:rsidRPr="0089786F" w:rsidRDefault="003A65A4" w:rsidP="003A65A4">
      <w:pPr>
        <w:spacing w:after="0" w:line="240" w:lineRule="auto"/>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b/>
          <w:bCs/>
          <w:sz w:val="28"/>
          <w:szCs w:val="28"/>
          <w:lang w:eastAsia="ru-RU"/>
        </w:rPr>
      </w:pPr>
      <w:r w:rsidRPr="0089786F">
        <w:rPr>
          <w:rFonts w:ascii="Times New Roman" w:eastAsia="Times New Roman" w:hAnsi="Times New Roman" w:cs="Times New Roman"/>
          <w:b/>
          <w:bCs/>
          <w:sz w:val="28"/>
          <w:szCs w:val="28"/>
          <w:lang w:eastAsia="ru-RU"/>
        </w:rPr>
        <w:t>Позитивні висновки щодо проведення КВ</w:t>
      </w:r>
      <w:r w:rsidR="004F499E" w:rsidRPr="0089786F">
        <w:rPr>
          <w:rFonts w:ascii="Times New Roman" w:eastAsia="Times New Roman" w:hAnsi="Times New Roman" w:cs="Times New Roman"/>
          <w:b/>
          <w:bCs/>
          <w:sz w:val="28"/>
          <w:szCs w:val="28"/>
          <w:lang w:eastAsia="ru-RU"/>
        </w:rPr>
        <w:t xml:space="preserve"> лікарських засобів</w:t>
      </w:r>
      <w:r w:rsidRPr="0089786F">
        <w:rPr>
          <w:rFonts w:ascii="Times New Roman" w:eastAsia="Times New Roman" w:hAnsi="Times New Roman" w:cs="Times New Roman"/>
          <w:b/>
          <w:bCs/>
          <w:sz w:val="28"/>
          <w:szCs w:val="28"/>
          <w:lang w:eastAsia="ru-RU"/>
        </w:rPr>
        <w:t>, що застосовуються у педіатрії</w:t>
      </w:r>
      <w:r w:rsidRPr="0089786F">
        <w:rPr>
          <w:rFonts w:ascii="Times New Roman" w:eastAsia="Times New Roman" w:hAnsi="Times New Roman" w:cs="Times New Roman"/>
          <w:sz w:val="28"/>
          <w:szCs w:val="28"/>
          <w:lang w:eastAsia="ru-RU"/>
        </w:rPr>
        <w:t xml:space="preserve"> </w:t>
      </w:r>
      <w:r w:rsidRPr="0089786F">
        <w:rPr>
          <w:rFonts w:ascii="Times New Roman" w:eastAsia="Times New Roman" w:hAnsi="Times New Roman" w:cs="Times New Roman"/>
          <w:b/>
          <w:bCs/>
          <w:sz w:val="28"/>
          <w:szCs w:val="28"/>
          <w:lang w:eastAsia="ru-RU"/>
        </w:rPr>
        <w:t xml:space="preserve">як, міжнародних багатоцентрових, так і </w:t>
      </w:r>
      <w:r w:rsidR="00EF551A" w:rsidRPr="0089786F">
        <w:rPr>
          <w:rFonts w:ascii="Times New Roman" w:eastAsia="Times New Roman" w:hAnsi="Times New Roman" w:cs="Times New Roman"/>
          <w:b/>
          <w:bCs/>
          <w:sz w:val="28"/>
          <w:szCs w:val="28"/>
          <w:lang w:eastAsia="ru-RU"/>
        </w:rPr>
        <w:t>передреєстраційних КВ за період</w:t>
      </w:r>
      <w:r w:rsidRPr="0089786F">
        <w:rPr>
          <w:rFonts w:ascii="Times New Roman" w:eastAsia="Times New Roman" w:hAnsi="Times New Roman" w:cs="Times New Roman"/>
          <w:b/>
          <w:bCs/>
          <w:sz w:val="28"/>
          <w:szCs w:val="28"/>
          <w:lang w:eastAsia="ru-RU"/>
        </w:rPr>
        <w:t xml:space="preserve"> </w:t>
      </w:r>
      <w:r w:rsidR="00EF551A" w:rsidRPr="0089786F">
        <w:rPr>
          <w:rFonts w:ascii="Times New Roman" w:eastAsia="Times New Roman" w:hAnsi="Times New Roman" w:cs="Times New Roman"/>
          <w:b/>
          <w:bCs/>
          <w:sz w:val="28"/>
          <w:szCs w:val="28"/>
          <w:lang w:eastAsia="ru-RU"/>
        </w:rPr>
        <w:t xml:space="preserve">з </w:t>
      </w:r>
      <w:r w:rsidRPr="0089786F">
        <w:rPr>
          <w:rFonts w:ascii="Times New Roman" w:eastAsia="Times New Roman" w:hAnsi="Times New Roman" w:cs="Times New Roman"/>
          <w:b/>
          <w:bCs/>
          <w:sz w:val="28"/>
          <w:szCs w:val="28"/>
          <w:lang w:eastAsia="ru-RU"/>
        </w:rPr>
        <w:t>2012</w:t>
      </w:r>
      <w:r w:rsidR="00EF551A" w:rsidRPr="0089786F">
        <w:rPr>
          <w:rFonts w:ascii="Times New Roman" w:eastAsia="Times New Roman" w:hAnsi="Times New Roman" w:cs="Times New Roman"/>
          <w:b/>
          <w:bCs/>
          <w:sz w:val="28"/>
          <w:szCs w:val="28"/>
          <w:lang w:eastAsia="ru-RU"/>
        </w:rPr>
        <w:t xml:space="preserve"> р.</w:t>
      </w:r>
      <w:r w:rsidR="00114FC9">
        <w:rPr>
          <w:rFonts w:ascii="Times New Roman" w:eastAsia="Times New Roman" w:hAnsi="Times New Roman" w:cs="Times New Roman"/>
          <w:b/>
          <w:bCs/>
          <w:sz w:val="28"/>
          <w:szCs w:val="28"/>
          <w:lang w:eastAsia="ru-RU"/>
        </w:rPr>
        <w:t xml:space="preserve"> </w:t>
      </w:r>
      <w:r w:rsidR="00EF551A" w:rsidRPr="0089786F">
        <w:rPr>
          <w:rFonts w:ascii="Times New Roman" w:eastAsia="Times New Roman" w:hAnsi="Times New Roman" w:cs="Times New Roman"/>
          <w:b/>
          <w:bCs/>
          <w:sz w:val="28"/>
          <w:szCs w:val="28"/>
          <w:lang w:eastAsia="ru-RU"/>
        </w:rPr>
        <w:t>по</w:t>
      </w:r>
      <w:r w:rsidR="006B4934" w:rsidRPr="0089786F">
        <w:rPr>
          <w:rFonts w:ascii="Times New Roman" w:eastAsia="Times New Roman" w:hAnsi="Times New Roman" w:cs="Times New Roman"/>
          <w:b/>
          <w:sz w:val="28"/>
          <w:szCs w:val="28"/>
          <w:lang w:eastAsia="ru-RU"/>
        </w:rPr>
        <w:t xml:space="preserve"> </w:t>
      </w:r>
      <w:r w:rsidR="00480CB5" w:rsidRPr="0089786F">
        <w:rPr>
          <w:rFonts w:ascii="Times New Roman" w:eastAsia="Times New Roman" w:hAnsi="Times New Roman" w:cs="Times New Roman"/>
          <w:b/>
          <w:sz w:val="28"/>
          <w:szCs w:val="28"/>
          <w:lang w:eastAsia="ru-RU"/>
        </w:rPr>
        <w:t>2018</w:t>
      </w:r>
      <w:r w:rsidR="00EF551A" w:rsidRPr="0089786F">
        <w:rPr>
          <w:rFonts w:ascii="Times New Roman" w:eastAsia="Times New Roman" w:hAnsi="Times New Roman" w:cs="Times New Roman"/>
          <w:b/>
          <w:sz w:val="28"/>
          <w:szCs w:val="28"/>
          <w:lang w:eastAsia="ru-RU"/>
        </w:rPr>
        <w:t xml:space="preserve"> р. </w:t>
      </w:r>
    </w:p>
    <w:p w:rsidR="004F499E" w:rsidRPr="0089786F" w:rsidRDefault="004F499E" w:rsidP="003A65A4">
      <w:pPr>
        <w:spacing w:after="0" w:line="240" w:lineRule="auto"/>
        <w:jc w:val="center"/>
        <w:rPr>
          <w:rFonts w:ascii="Times New Roman" w:eastAsia="Times New Roman" w:hAnsi="Times New Roman" w:cs="Times New Roman"/>
          <w:b/>
          <w:bCs/>
          <w:sz w:val="28"/>
          <w:szCs w:val="28"/>
          <w:lang w:eastAsia="ru-RU"/>
        </w:rPr>
      </w:pPr>
    </w:p>
    <w:p w:rsidR="004F499E" w:rsidRPr="0089786F" w:rsidRDefault="004F499E" w:rsidP="003A65A4">
      <w:pPr>
        <w:spacing w:after="0" w:line="240" w:lineRule="auto"/>
        <w:jc w:val="center"/>
        <w:rPr>
          <w:rFonts w:ascii="Times New Roman" w:eastAsia="Times New Roman" w:hAnsi="Times New Roman" w:cs="Times New Roman"/>
          <w:b/>
          <w:bCs/>
          <w:sz w:val="28"/>
          <w:szCs w:val="28"/>
          <w:lang w:eastAsia="ru-RU"/>
        </w:rPr>
      </w:pPr>
    </w:p>
    <w:p w:rsidR="004F499E" w:rsidRPr="0089786F" w:rsidRDefault="00700629" w:rsidP="003A65A4">
      <w:pPr>
        <w:spacing w:after="0" w:line="240" w:lineRule="auto"/>
        <w:jc w:val="center"/>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28"/>
          <w:szCs w:val="28"/>
          <w:lang w:eastAsia="uk-UA"/>
        </w:rPr>
        <w:drawing>
          <wp:anchor distT="0" distB="0" distL="114300" distR="114300" simplePos="0" relativeHeight="251663872" behindDoc="0" locked="0" layoutInCell="1" allowOverlap="1" wp14:anchorId="36410363" wp14:editId="772BB20C">
            <wp:simplePos x="0" y="0"/>
            <wp:positionH relativeFrom="margin">
              <wp:align>left</wp:align>
            </wp:positionH>
            <wp:positionV relativeFrom="paragraph">
              <wp:posOffset>6887</wp:posOffset>
            </wp:positionV>
            <wp:extent cx="6419850" cy="3373511"/>
            <wp:effectExtent l="0" t="0" r="0" b="0"/>
            <wp:wrapNone/>
            <wp:docPr id="187" name="Диаграмма 1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4F499E" w:rsidRPr="0089786F" w:rsidRDefault="004F499E" w:rsidP="003A65A4">
      <w:pPr>
        <w:spacing w:after="0" w:line="240" w:lineRule="auto"/>
        <w:ind w:firstLine="708"/>
        <w:jc w:val="both"/>
        <w:rPr>
          <w:rFonts w:ascii="Times New Roman" w:eastAsia="Times New Roman" w:hAnsi="Times New Roman" w:cs="Times New Roman"/>
          <w:sz w:val="28"/>
          <w:szCs w:val="28"/>
          <w:lang w:eastAsia="ru-RU"/>
        </w:rPr>
      </w:pPr>
    </w:p>
    <w:p w:rsidR="004F499E" w:rsidRPr="0089786F" w:rsidRDefault="004F499E" w:rsidP="003A65A4">
      <w:pPr>
        <w:spacing w:after="0" w:line="240" w:lineRule="auto"/>
        <w:ind w:firstLine="708"/>
        <w:jc w:val="both"/>
        <w:rPr>
          <w:rFonts w:ascii="Times New Roman" w:eastAsia="Times New Roman" w:hAnsi="Times New Roman" w:cs="Times New Roman"/>
          <w:sz w:val="28"/>
          <w:szCs w:val="28"/>
          <w:lang w:eastAsia="ru-RU"/>
        </w:rPr>
      </w:pPr>
    </w:p>
    <w:p w:rsidR="004F499E" w:rsidRPr="0089786F" w:rsidRDefault="004F499E" w:rsidP="003A65A4">
      <w:pPr>
        <w:spacing w:after="0" w:line="240" w:lineRule="auto"/>
        <w:ind w:firstLine="708"/>
        <w:jc w:val="both"/>
        <w:rPr>
          <w:rFonts w:ascii="Times New Roman" w:eastAsia="Times New Roman" w:hAnsi="Times New Roman" w:cs="Times New Roman"/>
          <w:sz w:val="28"/>
          <w:szCs w:val="28"/>
          <w:lang w:eastAsia="ru-RU"/>
        </w:rPr>
      </w:pPr>
    </w:p>
    <w:p w:rsidR="004F499E" w:rsidRPr="0089786F" w:rsidRDefault="004F499E" w:rsidP="003A65A4">
      <w:pPr>
        <w:spacing w:after="0" w:line="240" w:lineRule="auto"/>
        <w:ind w:firstLine="708"/>
        <w:jc w:val="both"/>
        <w:rPr>
          <w:rFonts w:ascii="Times New Roman" w:eastAsia="Times New Roman" w:hAnsi="Times New Roman" w:cs="Times New Roman"/>
          <w:sz w:val="28"/>
          <w:szCs w:val="28"/>
          <w:lang w:eastAsia="ru-RU"/>
        </w:rPr>
      </w:pPr>
    </w:p>
    <w:p w:rsidR="004F499E" w:rsidRPr="0089786F" w:rsidRDefault="004F499E" w:rsidP="003A65A4">
      <w:pPr>
        <w:spacing w:after="0" w:line="240" w:lineRule="auto"/>
        <w:ind w:firstLine="708"/>
        <w:jc w:val="both"/>
        <w:rPr>
          <w:rFonts w:ascii="Times New Roman" w:eastAsia="Times New Roman" w:hAnsi="Times New Roman" w:cs="Times New Roman"/>
          <w:sz w:val="28"/>
          <w:szCs w:val="28"/>
          <w:lang w:eastAsia="ru-RU"/>
        </w:rPr>
      </w:pPr>
    </w:p>
    <w:p w:rsidR="004F499E" w:rsidRPr="0089786F" w:rsidRDefault="004F499E" w:rsidP="003A65A4">
      <w:pPr>
        <w:spacing w:after="0" w:line="240" w:lineRule="auto"/>
        <w:ind w:firstLine="708"/>
        <w:jc w:val="both"/>
        <w:rPr>
          <w:rFonts w:ascii="Times New Roman" w:eastAsia="Times New Roman" w:hAnsi="Times New Roman" w:cs="Times New Roman"/>
          <w:sz w:val="28"/>
          <w:szCs w:val="28"/>
          <w:lang w:eastAsia="ru-RU"/>
        </w:rPr>
      </w:pPr>
    </w:p>
    <w:p w:rsidR="004F499E" w:rsidRPr="0089786F" w:rsidRDefault="004F499E" w:rsidP="0096543C">
      <w:pPr>
        <w:spacing w:after="0" w:line="240" w:lineRule="auto"/>
        <w:jc w:val="both"/>
        <w:rPr>
          <w:rFonts w:ascii="Times New Roman" w:eastAsia="Times New Roman" w:hAnsi="Times New Roman" w:cs="Times New Roman"/>
          <w:sz w:val="28"/>
          <w:szCs w:val="28"/>
          <w:lang w:eastAsia="ru-RU"/>
        </w:rPr>
      </w:pPr>
    </w:p>
    <w:p w:rsidR="004F499E" w:rsidRPr="0089786F" w:rsidRDefault="004F499E" w:rsidP="00204D9B">
      <w:pPr>
        <w:spacing w:after="0" w:line="240" w:lineRule="auto"/>
        <w:jc w:val="both"/>
        <w:rPr>
          <w:rFonts w:ascii="Times New Roman" w:eastAsia="Times New Roman" w:hAnsi="Times New Roman" w:cs="Times New Roman"/>
          <w:sz w:val="28"/>
          <w:szCs w:val="28"/>
          <w:lang w:eastAsia="ru-RU"/>
        </w:rPr>
      </w:pPr>
    </w:p>
    <w:p w:rsidR="004F499E" w:rsidRPr="0089786F" w:rsidRDefault="004F499E" w:rsidP="003A65A4">
      <w:pPr>
        <w:spacing w:after="0" w:line="240" w:lineRule="auto"/>
        <w:ind w:firstLine="708"/>
        <w:jc w:val="both"/>
        <w:rPr>
          <w:rFonts w:ascii="Times New Roman" w:eastAsia="Times New Roman" w:hAnsi="Times New Roman" w:cs="Times New Roman"/>
          <w:sz w:val="28"/>
          <w:szCs w:val="28"/>
          <w:lang w:eastAsia="ru-RU"/>
        </w:rPr>
      </w:pPr>
    </w:p>
    <w:p w:rsidR="004F499E" w:rsidRPr="0089786F" w:rsidRDefault="004F499E" w:rsidP="004F499E">
      <w:pPr>
        <w:spacing w:after="0" w:line="240" w:lineRule="auto"/>
        <w:ind w:firstLine="708"/>
        <w:jc w:val="center"/>
        <w:rPr>
          <w:rFonts w:ascii="Times New Roman" w:eastAsia="Times New Roman" w:hAnsi="Times New Roman" w:cs="Times New Roman"/>
          <w:sz w:val="28"/>
          <w:szCs w:val="28"/>
          <w:lang w:eastAsia="ru-RU"/>
        </w:rPr>
      </w:pPr>
      <w:r w:rsidRPr="0089786F">
        <w:rPr>
          <w:rFonts w:ascii="Times New Roman" w:eastAsia="Times New Roman" w:hAnsi="Times New Roman" w:cs="Times New Roman"/>
          <w:b/>
          <w:bCs/>
          <w:sz w:val="28"/>
          <w:szCs w:val="28"/>
          <w:lang w:eastAsia="ru-RU"/>
        </w:rPr>
        <w:t xml:space="preserve">Позитивні висновки щодо проведення міжнародних багатоцентрових КВ лікарських засобів, що застосовуються у педіатрії за фазами </w:t>
      </w:r>
      <w:r w:rsidR="00114FC9" w:rsidRPr="0089786F">
        <w:rPr>
          <w:rFonts w:ascii="Times New Roman" w:eastAsia="Times New Roman" w:hAnsi="Times New Roman" w:cs="Times New Roman"/>
          <w:b/>
          <w:bCs/>
          <w:sz w:val="28"/>
          <w:szCs w:val="28"/>
          <w:lang w:eastAsia="ru-RU"/>
        </w:rPr>
        <w:t>за період з 2012 р.</w:t>
      </w:r>
      <w:r w:rsidR="00114FC9">
        <w:rPr>
          <w:rFonts w:ascii="Times New Roman" w:eastAsia="Times New Roman" w:hAnsi="Times New Roman" w:cs="Times New Roman"/>
          <w:b/>
          <w:bCs/>
          <w:sz w:val="28"/>
          <w:szCs w:val="28"/>
          <w:lang w:eastAsia="ru-RU"/>
        </w:rPr>
        <w:t xml:space="preserve"> </w:t>
      </w:r>
      <w:r w:rsidR="00114FC9" w:rsidRPr="0089786F">
        <w:rPr>
          <w:rFonts w:ascii="Times New Roman" w:eastAsia="Times New Roman" w:hAnsi="Times New Roman" w:cs="Times New Roman"/>
          <w:b/>
          <w:bCs/>
          <w:sz w:val="28"/>
          <w:szCs w:val="28"/>
          <w:lang w:eastAsia="ru-RU"/>
        </w:rPr>
        <w:t>по</w:t>
      </w:r>
      <w:r w:rsidR="00114FC9" w:rsidRPr="0089786F">
        <w:rPr>
          <w:rFonts w:ascii="Times New Roman" w:eastAsia="Times New Roman" w:hAnsi="Times New Roman" w:cs="Times New Roman"/>
          <w:b/>
          <w:sz w:val="28"/>
          <w:szCs w:val="28"/>
          <w:lang w:eastAsia="ru-RU"/>
        </w:rPr>
        <w:t xml:space="preserve"> 2018 р.</w:t>
      </w: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D52B59" w:rsidP="003A65A4">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28"/>
          <w:szCs w:val="28"/>
          <w:lang w:eastAsia="uk-UA"/>
        </w:rPr>
        <w:drawing>
          <wp:anchor distT="0" distB="0" distL="114300" distR="114300" simplePos="0" relativeHeight="251660800" behindDoc="0" locked="0" layoutInCell="1" allowOverlap="1" wp14:anchorId="625A6254" wp14:editId="407B26FA">
            <wp:simplePos x="0" y="0"/>
            <wp:positionH relativeFrom="margin">
              <wp:align>center</wp:align>
            </wp:positionH>
            <wp:positionV relativeFrom="paragraph">
              <wp:posOffset>8341</wp:posOffset>
            </wp:positionV>
            <wp:extent cx="4750676" cy="2612579"/>
            <wp:effectExtent l="0" t="0" r="12065" b="16510"/>
            <wp:wrapNone/>
            <wp:docPr id="186" name="Диаграмма 1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sz w:val="28"/>
          <w:szCs w:val="28"/>
          <w:lang w:eastAsia="ru-RU"/>
        </w:rPr>
      </w:pPr>
    </w:p>
    <w:p w:rsidR="00D52B59" w:rsidRPr="0089786F" w:rsidRDefault="00D52B59" w:rsidP="00D52B59">
      <w:pPr>
        <w:spacing w:after="0" w:line="240" w:lineRule="auto"/>
        <w:jc w:val="both"/>
        <w:rPr>
          <w:rFonts w:ascii="Times New Roman" w:eastAsia="Times New Roman" w:hAnsi="Times New Roman" w:cs="Times New Roman"/>
          <w:sz w:val="28"/>
          <w:szCs w:val="28"/>
          <w:lang w:eastAsia="ru-RU"/>
        </w:rPr>
      </w:pPr>
    </w:p>
    <w:p w:rsidR="00D52B59" w:rsidRPr="0089786F" w:rsidRDefault="00D52B59"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Як свідчать наведені дані, міжнародні багатоцентрові КВ із залученням дітей проводяться частіше як</w:t>
      </w:r>
      <w:r w:rsidR="00EA03DC" w:rsidRPr="0089786F">
        <w:rPr>
          <w:rFonts w:ascii="Times New Roman" w:eastAsia="Times New Roman" w:hAnsi="Times New Roman" w:cs="Times New Roman"/>
          <w:sz w:val="28"/>
          <w:szCs w:val="28"/>
          <w:lang w:eastAsia="ru-RU"/>
        </w:rPr>
        <w:t xml:space="preserve"> II </w:t>
      </w:r>
      <w:r w:rsidR="00D376F7" w:rsidRPr="0089786F">
        <w:rPr>
          <w:rFonts w:ascii="Times New Roman" w:eastAsia="Times New Roman" w:hAnsi="Times New Roman" w:cs="Times New Roman"/>
          <w:sz w:val="28"/>
          <w:szCs w:val="28"/>
          <w:lang w:eastAsia="ru-RU"/>
        </w:rPr>
        <w:t xml:space="preserve">та </w:t>
      </w:r>
      <w:r w:rsidRPr="0089786F">
        <w:rPr>
          <w:rFonts w:ascii="Times New Roman" w:eastAsia="Times New Roman" w:hAnsi="Times New Roman" w:cs="Times New Roman"/>
          <w:sz w:val="28"/>
          <w:szCs w:val="28"/>
          <w:lang w:eastAsia="ru-RU"/>
        </w:rPr>
        <w:t xml:space="preserve">III фаза, тобто, коли ЛЗ вже вивчався на ранніх фазах </w:t>
      </w:r>
      <w:r w:rsidR="00EA03DC" w:rsidRPr="0089786F">
        <w:rPr>
          <w:rFonts w:ascii="Times New Roman" w:eastAsia="Times New Roman" w:hAnsi="Times New Roman" w:cs="Times New Roman"/>
          <w:sz w:val="28"/>
          <w:szCs w:val="28"/>
          <w:lang w:eastAsia="ru-RU"/>
        </w:rPr>
        <w:t>щодо</w:t>
      </w:r>
      <w:r w:rsidRPr="0089786F">
        <w:rPr>
          <w:rFonts w:ascii="Times New Roman" w:eastAsia="Times New Roman" w:hAnsi="Times New Roman" w:cs="Times New Roman"/>
          <w:sz w:val="28"/>
          <w:szCs w:val="28"/>
          <w:lang w:eastAsia="ru-RU"/>
        </w:rPr>
        <w:t xml:space="preserve"> ефективності та безпе</w:t>
      </w:r>
      <w:r w:rsidR="00EA03DC" w:rsidRPr="0089786F">
        <w:rPr>
          <w:rFonts w:ascii="Times New Roman" w:eastAsia="Times New Roman" w:hAnsi="Times New Roman" w:cs="Times New Roman"/>
          <w:sz w:val="28"/>
          <w:szCs w:val="28"/>
          <w:lang w:eastAsia="ru-RU"/>
        </w:rPr>
        <w:t>ки у дослідженні</w:t>
      </w:r>
      <w:r w:rsidRPr="0089786F">
        <w:rPr>
          <w:rFonts w:ascii="Times New Roman" w:eastAsia="Times New Roman" w:hAnsi="Times New Roman" w:cs="Times New Roman"/>
          <w:sz w:val="28"/>
          <w:szCs w:val="28"/>
          <w:lang w:eastAsia="ru-RU"/>
        </w:rPr>
        <w:t>. Основні галузі медицини в області яких розробляються ЛЗ для дітей, це, на сам перед: психіатрія, неврологія, пульмонологія, ендокринологія та гематологія, що відповідає необхідності створення ефективних і безпечних ЛЗ для дітей з такими захворюваннями.</w:t>
      </w:r>
    </w:p>
    <w:p w:rsidR="003A65A4" w:rsidRPr="0089786F" w:rsidRDefault="003A65A4" w:rsidP="003A65A4">
      <w:pPr>
        <w:spacing w:after="0" w:line="240" w:lineRule="auto"/>
        <w:jc w:val="center"/>
        <w:rPr>
          <w:rFonts w:ascii="Times New Roman" w:eastAsia="Times New Roman" w:hAnsi="Times New Roman" w:cs="Times New Roman"/>
          <w:b/>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Позитивні висновки щодо проведення МБКВ,</w:t>
      </w:r>
    </w:p>
    <w:p w:rsidR="00114FC9" w:rsidRDefault="003A65A4" w:rsidP="00114F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9786F">
        <w:rPr>
          <w:rFonts w:ascii="Times New Roman" w:eastAsia="Times New Roman" w:hAnsi="Times New Roman" w:cs="Times New Roman"/>
          <w:b/>
          <w:sz w:val="28"/>
          <w:szCs w:val="28"/>
          <w:lang w:eastAsia="ru-RU"/>
        </w:rPr>
        <w:t>що застосовуються у педіатрії за областями медицини</w:t>
      </w:r>
      <w:r w:rsidR="00114FC9" w:rsidRPr="00114FC9">
        <w:rPr>
          <w:rFonts w:ascii="Times New Roman" w:eastAsia="Times New Roman" w:hAnsi="Times New Roman" w:cs="Times New Roman"/>
          <w:b/>
          <w:bCs/>
          <w:sz w:val="28"/>
          <w:szCs w:val="28"/>
          <w:lang w:eastAsia="ru-RU"/>
        </w:rPr>
        <w:t xml:space="preserve"> </w:t>
      </w:r>
    </w:p>
    <w:p w:rsidR="00367ACB" w:rsidRPr="0089786F" w:rsidRDefault="00114FC9" w:rsidP="00114FC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86F">
        <w:rPr>
          <w:rFonts w:ascii="Times New Roman" w:eastAsia="Times New Roman" w:hAnsi="Times New Roman" w:cs="Times New Roman"/>
          <w:b/>
          <w:bCs/>
          <w:sz w:val="28"/>
          <w:szCs w:val="28"/>
          <w:lang w:eastAsia="ru-RU"/>
        </w:rPr>
        <w:t>за період з 2012 р.</w:t>
      </w:r>
      <w:r>
        <w:rPr>
          <w:rFonts w:ascii="Times New Roman" w:eastAsia="Times New Roman" w:hAnsi="Times New Roman" w:cs="Times New Roman"/>
          <w:b/>
          <w:bCs/>
          <w:sz w:val="28"/>
          <w:szCs w:val="28"/>
          <w:lang w:eastAsia="ru-RU"/>
        </w:rPr>
        <w:t xml:space="preserve"> </w:t>
      </w:r>
      <w:r w:rsidRPr="0089786F">
        <w:rPr>
          <w:rFonts w:ascii="Times New Roman" w:eastAsia="Times New Roman" w:hAnsi="Times New Roman" w:cs="Times New Roman"/>
          <w:b/>
          <w:bCs/>
          <w:sz w:val="28"/>
          <w:szCs w:val="28"/>
          <w:lang w:eastAsia="ru-RU"/>
        </w:rPr>
        <w:t>по</w:t>
      </w:r>
      <w:r w:rsidRPr="0089786F">
        <w:rPr>
          <w:rFonts w:ascii="Times New Roman" w:eastAsia="Times New Roman" w:hAnsi="Times New Roman" w:cs="Times New Roman"/>
          <w:b/>
          <w:sz w:val="28"/>
          <w:szCs w:val="28"/>
          <w:lang w:eastAsia="ru-RU"/>
        </w:rPr>
        <w:t xml:space="preserve"> 2018 р.</w:t>
      </w:r>
      <w:r w:rsidR="00701406" w:rsidRPr="0089786F">
        <w:rPr>
          <w:rFonts w:ascii="Times New Roman" w:eastAsia="Times New Roman" w:hAnsi="Times New Roman" w:cs="Times New Roman"/>
          <w:noProof/>
          <w:sz w:val="44"/>
          <w:szCs w:val="28"/>
          <w:lang w:eastAsia="uk-UA"/>
        </w:rPr>
        <w:drawing>
          <wp:inline distT="0" distB="0" distL="0" distR="0" wp14:anchorId="4F932554" wp14:editId="5B0BDF8E">
            <wp:extent cx="6085115" cy="3287485"/>
            <wp:effectExtent l="0" t="0" r="11430" b="82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48FD" w:rsidRPr="0089786F" w:rsidRDefault="003C48FD" w:rsidP="00FB02DA">
      <w:pPr>
        <w:spacing w:after="0" w:line="240" w:lineRule="auto"/>
        <w:ind w:hanging="284"/>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40"/>
          <w:szCs w:val="28"/>
          <w:lang w:eastAsia="uk-UA"/>
        </w:rPr>
        <w:drawing>
          <wp:inline distT="0" distB="0" distL="0" distR="0" wp14:anchorId="718C34D5" wp14:editId="2AD3BEF3">
            <wp:extent cx="6149975" cy="3419203"/>
            <wp:effectExtent l="0" t="0" r="3175"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7ACB" w:rsidRPr="0089786F" w:rsidRDefault="003C48FD" w:rsidP="00FB02DA">
      <w:pPr>
        <w:spacing w:after="0" w:line="240" w:lineRule="auto"/>
        <w:ind w:hanging="284"/>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40"/>
          <w:szCs w:val="28"/>
          <w:lang w:eastAsia="uk-UA"/>
        </w:rPr>
        <w:lastRenderedPageBreak/>
        <w:drawing>
          <wp:inline distT="0" distB="0" distL="0" distR="0" wp14:anchorId="18513597" wp14:editId="7E819601">
            <wp:extent cx="6231466" cy="4385733"/>
            <wp:effectExtent l="0" t="0" r="17145"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D3E58" w:rsidRPr="0089786F" w:rsidRDefault="003D3E58" w:rsidP="00FB02DA">
      <w:pPr>
        <w:spacing w:after="0" w:line="240" w:lineRule="auto"/>
        <w:jc w:val="both"/>
        <w:rPr>
          <w:rFonts w:ascii="Times New Roman" w:eastAsia="Times New Roman" w:hAnsi="Times New Roman" w:cs="Times New Roman"/>
          <w:sz w:val="28"/>
          <w:szCs w:val="28"/>
          <w:lang w:eastAsia="ru-RU"/>
        </w:rPr>
      </w:pPr>
    </w:p>
    <w:p w:rsidR="003A65A4" w:rsidRPr="0089786F" w:rsidRDefault="00A941CD" w:rsidP="00A941CD">
      <w:pPr>
        <w:spacing w:after="0" w:line="240" w:lineRule="auto"/>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     </w:t>
      </w:r>
      <w:r w:rsidR="003A65A4" w:rsidRPr="0089786F">
        <w:rPr>
          <w:rFonts w:ascii="Times New Roman" w:eastAsia="Times New Roman" w:hAnsi="Times New Roman" w:cs="Times New Roman"/>
          <w:sz w:val="28"/>
          <w:szCs w:val="28"/>
          <w:lang w:eastAsia="ru-RU"/>
        </w:rPr>
        <w:t>Участь України у проведенні багатоцентрових КВ, які проводяться одночасно у багатьох країнах світу, має велике значення для пацієнтів, лікарів та країни в цілому. Для пацієнтів - це дає можливість отримати безкоштовне лікування новими лікарськими засобами, для лікарів - це знайомство з новими технологіями лікування захворювань, для країни - можливість подальшої реєстрації лікарських засобів з доведеною ефективність та безпечністю.</w:t>
      </w:r>
    </w:p>
    <w:p w:rsidR="003A65A4" w:rsidRPr="0089786F" w:rsidRDefault="003A65A4" w:rsidP="003A65A4">
      <w:pPr>
        <w:spacing w:after="0" w:line="240" w:lineRule="auto"/>
        <w:ind w:firstLine="44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Експертиза матеріалів клінічних випробувань з метою подальшого складання висновку щодо проведення клінічного випробування / щодо суттєвої поправки проводиться співробітниками Центру із належним дотриманням вищевказаних нормативних документів та у відповідності до їх посадових інструкцій. </w:t>
      </w:r>
    </w:p>
    <w:p w:rsidR="003A65A4" w:rsidRPr="0089786F" w:rsidRDefault="003A65A4" w:rsidP="003A65A4">
      <w:pPr>
        <w:spacing w:after="0" w:line="240" w:lineRule="auto"/>
        <w:ind w:firstLine="44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Так, аналіз проведення експертизи показав, що Центр ретельно ставиться до матеріалів клінічних випробувань, які плануються проводити в Україні і терміни проведення експертизи не перевищують термінів, встановлених Порядком 690.</w:t>
      </w:r>
    </w:p>
    <w:p w:rsidR="00A941CD" w:rsidRPr="0089786F" w:rsidRDefault="00A941CD" w:rsidP="003A65A4">
      <w:pPr>
        <w:spacing w:after="0" w:line="240" w:lineRule="auto"/>
        <w:ind w:firstLine="448"/>
        <w:jc w:val="both"/>
        <w:rPr>
          <w:rFonts w:ascii="Times New Roman" w:eastAsia="Times New Roman" w:hAnsi="Times New Roman" w:cs="Times New Roman"/>
          <w:sz w:val="28"/>
          <w:szCs w:val="28"/>
          <w:lang w:eastAsia="ru-RU"/>
        </w:rPr>
      </w:pPr>
    </w:p>
    <w:p w:rsidR="00A941CD" w:rsidRPr="0089786F" w:rsidRDefault="00A941CD" w:rsidP="003A65A4">
      <w:pPr>
        <w:spacing w:after="0" w:line="240" w:lineRule="auto"/>
        <w:ind w:firstLine="448"/>
        <w:jc w:val="both"/>
        <w:rPr>
          <w:rFonts w:ascii="Times New Roman" w:eastAsia="Times New Roman" w:hAnsi="Times New Roman" w:cs="Times New Roman"/>
          <w:sz w:val="28"/>
          <w:szCs w:val="28"/>
          <w:lang w:eastAsia="ru-RU"/>
        </w:rPr>
      </w:pPr>
    </w:p>
    <w:p w:rsidR="00A941CD" w:rsidRPr="0089786F" w:rsidRDefault="00A941CD" w:rsidP="003A65A4">
      <w:pPr>
        <w:spacing w:after="0" w:line="240" w:lineRule="auto"/>
        <w:ind w:firstLine="448"/>
        <w:jc w:val="both"/>
        <w:rPr>
          <w:rFonts w:ascii="Times New Roman" w:eastAsia="Times New Roman" w:hAnsi="Times New Roman" w:cs="Times New Roman"/>
          <w:sz w:val="28"/>
          <w:szCs w:val="28"/>
          <w:lang w:eastAsia="ru-RU"/>
        </w:rPr>
      </w:pPr>
    </w:p>
    <w:p w:rsidR="00A941CD" w:rsidRPr="0089786F" w:rsidRDefault="00A941CD" w:rsidP="003A65A4">
      <w:pPr>
        <w:spacing w:after="0" w:line="240" w:lineRule="auto"/>
        <w:ind w:firstLine="448"/>
        <w:jc w:val="both"/>
        <w:rPr>
          <w:rFonts w:ascii="Times New Roman" w:eastAsia="Times New Roman" w:hAnsi="Times New Roman" w:cs="Times New Roman"/>
          <w:sz w:val="28"/>
          <w:szCs w:val="28"/>
          <w:lang w:eastAsia="ru-RU"/>
        </w:rPr>
      </w:pPr>
    </w:p>
    <w:p w:rsidR="00A941CD" w:rsidRPr="0089786F" w:rsidRDefault="00A941CD" w:rsidP="003A65A4">
      <w:pPr>
        <w:spacing w:after="0" w:line="240" w:lineRule="auto"/>
        <w:ind w:firstLine="448"/>
        <w:jc w:val="both"/>
        <w:rPr>
          <w:rFonts w:ascii="Times New Roman" w:eastAsia="Times New Roman" w:hAnsi="Times New Roman" w:cs="Times New Roman"/>
          <w:sz w:val="28"/>
          <w:szCs w:val="28"/>
          <w:lang w:eastAsia="ru-RU"/>
        </w:rPr>
      </w:pPr>
    </w:p>
    <w:p w:rsidR="00B94CD3" w:rsidRPr="0089786F" w:rsidRDefault="00B94CD3" w:rsidP="003A65A4">
      <w:pPr>
        <w:spacing w:after="0" w:line="240" w:lineRule="auto"/>
        <w:ind w:firstLine="44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44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28"/>
          <w:szCs w:val="28"/>
          <w:lang w:eastAsia="uk-UA"/>
        </w:rPr>
        <w:lastRenderedPageBreak/>
        <mc:AlternateContent>
          <mc:Choice Requires="wps">
            <w:drawing>
              <wp:anchor distT="0" distB="0" distL="114300" distR="114300" simplePos="0" relativeHeight="251659776" behindDoc="0" locked="0" layoutInCell="1" allowOverlap="1" wp14:anchorId="4C648E63" wp14:editId="48B746B4">
                <wp:simplePos x="0" y="0"/>
                <wp:positionH relativeFrom="column">
                  <wp:posOffset>107534</wp:posOffset>
                </wp:positionH>
                <wp:positionV relativeFrom="paragraph">
                  <wp:posOffset>-299676</wp:posOffset>
                </wp:positionV>
                <wp:extent cx="5940425" cy="646386"/>
                <wp:effectExtent l="0" t="0" r="0" b="1905"/>
                <wp:wrapNone/>
                <wp:docPr id="184" name="Надпись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64638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5A4" w:rsidRPr="00204D9B" w:rsidRDefault="003A65A4" w:rsidP="003A65A4">
                            <w:pPr>
                              <w:autoSpaceDE w:val="0"/>
                              <w:autoSpaceDN w:val="0"/>
                              <w:adjustRightInd w:val="0"/>
                              <w:jc w:val="center"/>
                              <w:rPr>
                                <w:rFonts w:ascii="Times New Roman" w:hAnsi="Times New Roman" w:cs="Times New Roman"/>
                                <w:b/>
                                <w:sz w:val="28"/>
                                <w:szCs w:val="28"/>
                              </w:rPr>
                            </w:pPr>
                            <w:r w:rsidRPr="00204D9B">
                              <w:rPr>
                                <w:rFonts w:ascii="Times New Roman" w:hAnsi="Times New Roman" w:cs="Times New Roman"/>
                                <w:b/>
                                <w:sz w:val="28"/>
                                <w:szCs w:val="28"/>
                              </w:rPr>
                              <w:t xml:space="preserve">Позитивні висновки щодо проведення клінічних випробувань лікарських засобів в Україні </w:t>
                            </w:r>
                            <w:r w:rsidR="00204D9B">
                              <w:rPr>
                                <w:rFonts w:ascii="Times New Roman" w:hAnsi="Times New Roman" w:cs="Times New Roman"/>
                                <w:b/>
                                <w:sz w:val="28"/>
                                <w:szCs w:val="28"/>
                              </w:rPr>
                              <w:t>з</w:t>
                            </w:r>
                            <w:r w:rsidRPr="00204D9B">
                              <w:rPr>
                                <w:rFonts w:ascii="Times New Roman" w:hAnsi="Times New Roman" w:cs="Times New Roman"/>
                                <w:b/>
                                <w:sz w:val="28"/>
                                <w:szCs w:val="28"/>
                              </w:rPr>
                              <w:t xml:space="preserve"> 2013</w:t>
                            </w:r>
                            <w:r w:rsidR="00204D9B">
                              <w:rPr>
                                <w:rFonts w:ascii="Times New Roman" w:hAnsi="Times New Roman" w:cs="Times New Roman"/>
                                <w:b/>
                                <w:sz w:val="28"/>
                                <w:szCs w:val="28"/>
                              </w:rPr>
                              <w:t xml:space="preserve"> </w:t>
                            </w:r>
                            <w:r w:rsidRPr="00204D9B">
                              <w:rPr>
                                <w:rFonts w:ascii="Times New Roman" w:hAnsi="Times New Roman" w:cs="Times New Roman"/>
                                <w:b/>
                                <w:sz w:val="28"/>
                                <w:szCs w:val="28"/>
                              </w:rPr>
                              <w:t xml:space="preserve">р. </w:t>
                            </w:r>
                            <w:r w:rsidR="00204D9B">
                              <w:rPr>
                                <w:rFonts w:ascii="Times New Roman" w:hAnsi="Times New Roman" w:cs="Times New Roman"/>
                                <w:b/>
                                <w:sz w:val="28"/>
                                <w:szCs w:val="28"/>
                              </w:rPr>
                              <w:t>по</w:t>
                            </w:r>
                            <w:r w:rsidR="0003747D" w:rsidRPr="00204D9B">
                              <w:rPr>
                                <w:rFonts w:ascii="Times New Roman" w:hAnsi="Times New Roman" w:cs="Times New Roman"/>
                                <w:b/>
                                <w:sz w:val="28"/>
                                <w:szCs w:val="28"/>
                              </w:rPr>
                              <w:t xml:space="preserve"> </w:t>
                            </w:r>
                            <w:r w:rsidR="00504D4E" w:rsidRPr="00204D9B">
                              <w:rPr>
                                <w:rFonts w:ascii="Times New Roman" w:hAnsi="Times New Roman" w:cs="Times New Roman"/>
                                <w:b/>
                                <w:sz w:val="28"/>
                                <w:szCs w:val="28"/>
                              </w:rPr>
                              <w:t>2018</w:t>
                            </w:r>
                            <w:r w:rsidR="00504D4E" w:rsidRPr="00204D9B">
                              <w:rPr>
                                <w:rFonts w:ascii="Times New Roman" w:hAnsi="Times New Roman" w:cs="Times New Roman"/>
                                <w:b/>
                                <w:sz w:val="28"/>
                                <w:szCs w:val="28"/>
                                <w:lang w:val="ru-RU"/>
                              </w:rPr>
                              <w:t xml:space="preserve"> </w:t>
                            </w:r>
                            <w:r w:rsidR="00504D4E" w:rsidRPr="00204D9B">
                              <w:rPr>
                                <w:rFonts w:ascii="Times New Roman" w:hAnsi="Times New Roman" w:cs="Times New Roman"/>
                                <w:b/>
                                <w:sz w:val="28"/>
                                <w:szCs w:val="28"/>
                              </w:rPr>
                              <w:t>р.</w:t>
                            </w:r>
                          </w:p>
                        </w:txbxContent>
                      </wps:txbx>
                      <wps:bodyPr rot="0" vert="horz" wrap="square" lIns="74066" tIns="37033" rIns="74066" bIns="3703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48E63" id="_x0000_t202" coordsize="21600,21600" o:spt="202" path="m,l,21600r21600,l21600,xe">
                <v:stroke joinstyle="miter"/>
                <v:path gradientshapeok="t" o:connecttype="rect"/>
              </v:shapetype>
              <v:shape id="Надпись 184" o:spid="_x0000_s1027" type="#_x0000_t202" style="position:absolute;left:0;text-align:left;margin-left:8.45pt;margin-top:-23.6pt;width:467.75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" filled="f" fillcolor="#bbe0e3" stroked="f">
                <v:textbox inset="2.05739mm,1.0287mm,2.05739mm,1.0287mm">
                  <w:txbxContent>
                    <w:p w:rsidR="003A65A4" w:rsidRPr="00204D9B" w:rsidRDefault="003A65A4" w:rsidP="003A65A4">
                      <w:pPr>
                        <w:autoSpaceDE w:val="0"/>
                        <w:autoSpaceDN w:val="0"/>
                        <w:adjustRightInd w:val="0"/>
                        <w:jc w:val="center"/>
                        <w:rPr>
                          <w:rFonts w:ascii="Times New Roman" w:hAnsi="Times New Roman" w:cs="Times New Roman"/>
                          <w:b/>
                          <w:sz w:val="28"/>
                          <w:szCs w:val="28"/>
                        </w:rPr>
                      </w:pPr>
                      <w:r w:rsidRPr="00204D9B">
                        <w:rPr>
                          <w:rFonts w:ascii="Times New Roman" w:hAnsi="Times New Roman" w:cs="Times New Roman"/>
                          <w:b/>
                          <w:sz w:val="28"/>
                          <w:szCs w:val="28"/>
                        </w:rPr>
                        <w:t xml:space="preserve">Позитивні висновки щодо проведення клінічних випробувань лікарських засобів в Україні </w:t>
                      </w:r>
                      <w:r w:rsidR="00204D9B">
                        <w:rPr>
                          <w:rFonts w:ascii="Times New Roman" w:hAnsi="Times New Roman" w:cs="Times New Roman"/>
                          <w:b/>
                          <w:sz w:val="28"/>
                          <w:szCs w:val="28"/>
                        </w:rPr>
                        <w:t>з</w:t>
                      </w:r>
                      <w:r w:rsidRPr="00204D9B">
                        <w:rPr>
                          <w:rFonts w:ascii="Times New Roman" w:hAnsi="Times New Roman" w:cs="Times New Roman"/>
                          <w:b/>
                          <w:sz w:val="28"/>
                          <w:szCs w:val="28"/>
                        </w:rPr>
                        <w:t xml:space="preserve"> 2013</w:t>
                      </w:r>
                      <w:r w:rsidR="00204D9B">
                        <w:rPr>
                          <w:rFonts w:ascii="Times New Roman" w:hAnsi="Times New Roman" w:cs="Times New Roman"/>
                          <w:b/>
                          <w:sz w:val="28"/>
                          <w:szCs w:val="28"/>
                        </w:rPr>
                        <w:t xml:space="preserve"> </w:t>
                      </w:r>
                      <w:r w:rsidRPr="00204D9B">
                        <w:rPr>
                          <w:rFonts w:ascii="Times New Roman" w:hAnsi="Times New Roman" w:cs="Times New Roman"/>
                          <w:b/>
                          <w:sz w:val="28"/>
                          <w:szCs w:val="28"/>
                        </w:rPr>
                        <w:t xml:space="preserve">р. </w:t>
                      </w:r>
                      <w:r w:rsidR="00204D9B">
                        <w:rPr>
                          <w:rFonts w:ascii="Times New Roman" w:hAnsi="Times New Roman" w:cs="Times New Roman"/>
                          <w:b/>
                          <w:sz w:val="28"/>
                          <w:szCs w:val="28"/>
                        </w:rPr>
                        <w:t>по</w:t>
                      </w:r>
                      <w:r w:rsidR="0003747D" w:rsidRPr="00204D9B">
                        <w:rPr>
                          <w:rFonts w:ascii="Times New Roman" w:hAnsi="Times New Roman" w:cs="Times New Roman"/>
                          <w:b/>
                          <w:sz w:val="28"/>
                          <w:szCs w:val="28"/>
                        </w:rPr>
                        <w:t xml:space="preserve"> </w:t>
                      </w:r>
                      <w:r w:rsidR="00504D4E" w:rsidRPr="00204D9B">
                        <w:rPr>
                          <w:rFonts w:ascii="Times New Roman" w:hAnsi="Times New Roman" w:cs="Times New Roman"/>
                          <w:b/>
                          <w:sz w:val="28"/>
                          <w:szCs w:val="28"/>
                        </w:rPr>
                        <w:t>2018</w:t>
                      </w:r>
                      <w:r w:rsidR="00504D4E" w:rsidRPr="00204D9B">
                        <w:rPr>
                          <w:rFonts w:ascii="Times New Roman" w:hAnsi="Times New Roman" w:cs="Times New Roman"/>
                          <w:b/>
                          <w:sz w:val="28"/>
                          <w:szCs w:val="28"/>
                          <w:lang w:val="ru-RU"/>
                        </w:rPr>
                        <w:t xml:space="preserve"> </w:t>
                      </w:r>
                      <w:r w:rsidR="00504D4E" w:rsidRPr="00204D9B">
                        <w:rPr>
                          <w:rFonts w:ascii="Times New Roman" w:hAnsi="Times New Roman" w:cs="Times New Roman"/>
                          <w:b/>
                          <w:sz w:val="28"/>
                          <w:szCs w:val="28"/>
                        </w:rPr>
                        <w:t>р.</w:t>
                      </w:r>
                    </w:p>
                  </w:txbxContent>
                </v:textbox>
              </v:shape>
            </w:pict>
          </mc:Fallback>
        </mc:AlternateContent>
      </w:r>
    </w:p>
    <w:p w:rsidR="003A65A4" w:rsidRPr="0089786F" w:rsidRDefault="003A65A4"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8038D6" w:rsidP="003A65A4">
      <w:pPr>
        <w:spacing w:after="0" w:line="240" w:lineRule="auto"/>
        <w:jc w:val="center"/>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28"/>
          <w:szCs w:val="28"/>
          <w:lang w:eastAsia="uk-UA"/>
        </w:rPr>
        <w:drawing>
          <wp:inline distT="0" distB="0" distL="0" distR="0" wp14:anchorId="3A203FF5" wp14:editId="0242684F">
            <wp:extent cx="5940425" cy="3359785"/>
            <wp:effectExtent l="0" t="0" r="3175" b="120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76F7" w:rsidRPr="0089786F" w:rsidRDefault="00D376F7" w:rsidP="003A65A4">
      <w:pPr>
        <w:spacing w:after="0" w:line="240" w:lineRule="auto"/>
        <w:ind w:firstLine="567"/>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ind w:firstLine="567"/>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Крім того, </w:t>
      </w:r>
      <w:r w:rsidR="00861E2D" w:rsidRPr="0089786F">
        <w:rPr>
          <w:rFonts w:ascii="Times New Roman" w:eastAsia="Times New Roman" w:hAnsi="Times New Roman" w:cs="Times New Roman"/>
          <w:sz w:val="28"/>
          <w:szCs w:val="28"/>
          <w:lang w:eastAsia="ru-RU"/>
        </w:rPr>
        <w:t>за</w:t>
      </w:r>
      <w:r w:rsidR="00700629" w:rsidRPr="0089786F">
        <w:rPr>
          <w:rFonts w:ascii="Times New Roman" w:eastAsia="Times New Roman" w:hAnsi="Times New Roman" w:cs="Times New Roman"/>
          <w:sz w:val="28"/>
          <w:szCs w:val="28"/>
          <w:lang w:eastAsia="ru-RU"/>
        </w:rPr>
        <w:t xml:space="preserve"> </w:t>
      </w:r>
      <w:r w:rsidR="008038D6" w:rsidRPr="0089786F">
        <w:rPr>
          <w:rFonts w:ascii="Times New Roman" w:eastAsia="Times New Roman" w:hAnsi="Times New Roman" w:cs="Times New Roman"/>
          <w:sz w:val="28"/>
          <w:szCs w:val="28"/>
          <w:lang w:eastAsia="ru-RU"/>
        </w:rPr>
        <w:t xml:space="preserve">2018 </w:t>
      </w:r>
      <w:r w:rsidRPr="0089786F">
        <w:rPr>
          <w:rFonts w:ascii="Times New Roman" w:eastAsia="Times New Roman" w:hAnsi="Times New Roman" w:cs="Times New Roman"/>
          <w:sz w:val="28"/>
          <w:szCs w:val="28"/>
          <w:lang w:eastAsia="ru-RU"/>
        </w:rPr>
        <w:t>р. було знято з розгляду матеріали КВ</w:t>
      </w:r>
      <w:r w:rsidR="00165AFD" w:rsidRPr="0089786F">
        <w:rPr>
          <w:rFonts w:ascii="Times New Roman" w:eastAsia="Times New Roman" w:hAnsi="Times New Roman" w:cs="Times New Roman"/>
          <w:sz w:val="28"/>
          <w:szCs w:val="28"/>
          <w:lang w:eastAsia="ru-RU"/>
        </w:rPr>
        <w:t xml:space="preserve"> (протоколів</w:t>
      </w:r>
      <w:r w:rsidRPr="0089786F">
        <w:rPr>
          <w:rFonts w:ascii="Times New Roman" w:eastAsia="Times New Roman" w:hAnsi="Times New Roman" w:cs="Times New Roman"/>
          <w:sz w:val="28"/>
          <w:szCs w:val="28"/>
          <w:lang w:eastAsia="ru-RU"/>
        </w:rPr>
        <w:t xml:space="preserve"> та суттєвих поправок</w:t>
      </w:r>
      <w:r w:rsidR="00165AFD" w:rsidRPr="0089786F">
        <w:rPr>
          <w:rFonts w:ascii="Times New Roman" w:eastAsia="Times New Roman" w:hAnsi="Times New Roman" w:cs="Times New Roman"/>
          <w:sz w:val="28"/>
          <w:szCs w:val="28"/>
          <w:lang w:eastAsia="ru-RU"/>
        </w:rPr>
        <w:t>)</w:t>
      </w:r>
      <w:r w:rsidRPr="0089786F">
        <w:rPr>
          <w:rFonts w:ascii="Times New Roman" w:eastAsia="Times New Roman" w:hAnsi="Times New Roman" w:cs="Times New Roman"/>
          <w:sz w:val="28"/>
          <w:szCs w:val="28"/>
          <w:lang w:eastAsia="ru-RU"/>
        </w:rPr>
        <w:t>, які не відповідали вимогам нормативної бази або за бажанням заявника:</w:t>
      </w:r>
    </w:p>
    <w:p w:rsidR="003A65A4" w:rsidRPr="0089786F" w:rsidRDefault="003A65A4" w:rsidP="003A65A4">
      <w:pPr>
        <w:numPr>
          <w:ilvl w:val="0"/>
          <w:numId w:val="1"/>
        </w:numPr>
        <w:spacing w:after="0" w:line="240" w:lineRule="auto"/>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матеріали протоколів міжнародних клінічних випробувань – </w:t>
      </w:r>
      <w:r w:rsidR="00E92B90">
        <w:rPr>
          <w:rFonts w:ascii="Times New Roman" w:eastAsia="Times New Roman" w:hAnsi="Times New Roman" w:cs="Times New Roman"/>
          <w:sz w:val="28"/>
          <w:szCs w:val="28"/>
          <w:lang w:eastAsia="ru-RU"/>
        </w:rPr>
        <w:t>14</w:t>
      </w:r>
      <w:r w:rsidRPr="0089786F">
        <w:rPr>
          <w:rFonts w:ascii="Times New Roman" w:eastAsia="Times New Roman" w:hAnsi="Times New Roman" w:cs="Times New Roman"/>
          <w:sz w:val="28"/>
          <w:szCs w:val="28"/>
          <w:lang w:eastAsia="ru-RU"/>
        </w:rPr>
        <w:t>;</w:t>
      </w:r>
    </w:p>
    <w:p w:rsidR="00690FEE" w:rsidRPr="0089786F" w:rsidRDefault="003A65A4" w:rsidP="005C2B06">
      <w:pPr>
        <w:numPr>
          <w:ilvl w:val="0"/>
          <w:numId w:val="1"/>
        </w:numPr>
        <w:spacing w:after="0" w:line="240" w:lineRule="auto"/>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матеріалів суттєвих поправок до міжнародних КВ – </w:t>
      </w:r>
      <w:r w:rsidR="00E92B90">
        <w:rPr>
          <w:rFonts w:ascii="Times New Roman" w:eastAsia="Times New Roman" w:hAnsi="Times New Roman" w:cs="Times New Roman"/>
          <w:sz w:val="28"/>
          <w:szCs w:val="28"/>
          <w:lang w:eastAsia="ru-RU"/>
        </w:rPr>
        <w:t>22</w:t>
      </w:r>
      <w:r w:rsidRPr="0089786F">
        <w:rPr>
          <w:rFonts w:ascii="Times New Roman" w:eastAsia="Times New Roman" w:hAnsi="Times New Roman" w:cs="Times New Roman"/>
          <w:sz w:val="28"/>
          <w:szCs w:val="28"/>
          <w:lang w:eastAsia="ru-RU"/>
        </w:rPr>
        <w:t>;</w:t>
      </w:r>
    </w:p>
    <w:p w:rsidR="00861E2D" w:rsidRPr="0089786F" w:rsidRDefault="00861E2D" w:rsidP="00861E2D">
      <w:pPr>
        <w:numPr>
          <w:ilvl w:val="0"/>
          <w:numId w:val="1"/>
        </w:numPr>
        <w:spacing w:after="0" w:line="240" w:lineRule="auto"/>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матеріалів протоколів КВ ЛЗ вітчизняних виробників – </w:t>
      </w:r>
      <w:r w:rsidR="00E92B90">
        <w:rPr>
          <w:rFonts w:ascii="Times New Roman" w:eastAsia="Times New Roman" w:hAnsi="Times New Roman" w:cs="Times New Roman"/>
          <w:sz w:val="28"/>
          <w:szCs w:val="28"/>
          <w:lang w:eastAsia="ru-RU"/>
        </w:rPr>
        <w:t>13</w:t>
      </w:r>
      <w:r w:rsidRPr="0089786F">
        <w:rPr>
          <w:rFonts w:ascii="Times New Roman" w:eastAsia="Times New Roman" w:hAnsi="Times New Roman" w:cs="Times New Roman"/>
          <w:sz w:val="28"/>
          <w:szCs w:val="28"/>
          <w:lang w:eastAsia="ru-RU"/>
        </w:rPr>
        <w:t>;</w:t>
      </w:r>
    </w:p>
    <w:p w:rsidR="00485B1C" w:rsidRPr="0089786F" w:rsidRDefault="003A65A4" w:rsidP="005C2B06">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Згідно оцінкам експертів ринку клінічних випробувань, потенціал України щодо можливості проведення КВ використовується лише на 10-15%. До важливих переваг для розміщення в Україні проектів КВ відноситься як збереження централізованої системи охорони здоров’я, так і можливість залучати пацієнтів з рідкісними захворюваннями.</w:t>
      </w:r>
    </w:p>
    <w:p w:rsidR="00485B1C" w:rsidRPr="0089786F" w:rsidRDefault="00485B1C" w:rsidP="003A65A4">
      <w:pPr>
        <w:spacing w:after="0" w:line="240" w:lineRule="auto"/>
        <w:ind w:firstLine="708"/>
        <w:jc w:val="both"/>
        <w:rPr>
          <w:rFonts w:ascii="Times New Roman" w:eastAsia="Times New Roman" w:hAnsi="Times New Roman" w:cs="Times New Roman"/>
          <w:sz w:val="28"/>
          <w:szCs w:val="28"/>
          <w:lang w:eastAsia="ru-RU"/>
        </w:rPr>
      </w:pPr>
    </w:p>
    <w:p w:rsidR="00485B1C" w:rsidRPr="0089786F" w:rsidRDefault="00485B1C" w:rsidP="003A65A4">
      <w:pPr>
        <w:spacing w:after="0" w:line="240" w:lineRule="auto"/>
        <w:ind w:firstLine="708"/>
        <w:jc w:val="both"/>
        <w:rPr>
          <w:rFonts w:ascii="Times New Roman" w:eastAsia="Times New Roman" w:hAnsi="Times New Roman" w:cs="Times New Roman"/>
          <w:sz w:val="28"/>
          <w:szCs w:val="28"/>
          <w:lang w:eastAsia="ru-RU"/>
        </w:rPr>
      </w:pPr>
    </w:p>
    <w:p w:rsidR="00485B1C" w:rsidRPr="0089786F" w:rsidRDefault="00485B1C" w:rsidP="003A65A4">
      <w:pPr>
        <w:spacing w:after="0" w:line="240" w:lineRule="auto"/>
        <w:ind w:firstLine="708"/>
        <w:jc w:val="both"/>
        <w:rPr>
          <w:rFonts w:ascii="Times New Roman" w:eastAsia="Times New Roman" w:hAnsi="Times New Roman" w:cs="Times New Roman"/>
          <w:sz w:val="28"/>
          <w:szCs w:val="28"/>
          <w:lang w:eastAsia="ru-RU"/>
        </w:rPr>
      </w:pPr>
    </w:p>
    <w:p w:rsidR="00485B1C" w:rsidRPr="0089786F" w:rsidRDefault="00485B1C" w:rsidP="003A65A4">
      <w:pPr>
        <w:spacing w:after="0" w:line="240" w:lineRule="auto"/>
        <w:ind w:firstLine="708"/>
        <w:jc w:val="both"/>
        <w:rPr>
          <w:rFonts w:ascii="Times New Roman" w:eastAsia="Times New Roman" w:hAnsi="Times New Roman" w:cs="Times New Roman"/>
          <w:sz w:val="28"/>
          <w:szCs w:val="28"/>
          <w:lang w:eastAsia="ru-RU"/>
        </w:rPr>
      </w:pPr>
    </w:p>
    <w:p w:rsidR="00485B1C" w:rsidRPr="0089786F" w:rsidRDefault="00485B1C" w:rsidP="003A65A4">
      <w:pPr>
        <w:spacing w:after="0" w:line="240" w:lineRule="auto"/>
        <w:ind w:firstLine="708"/>
        <w:jc w:val="both"/>
        <w:rPr>
          <w:rFonts w:ascii="Times New Roman" w:eastAsia="Times New Roman" w:hAnsi="Times New Roman" w:cs="Times New Roman"/>
          <w:sz w:val="28"/>
          <w:szCs w:val="28"/>
          <w:lang w:eastAsia="ru-RU"/>
        </w:rPr>
      </w:pPr>
    </w:p>
    <w:p w:rsidR="00485B1C" w:rsidRPr="0089786F" w:rsidRDefault="00485B1C" w:rsidP="003A65A4">
      <w:pPr>
        <w:spacing w:after="0" w:line="240" w:lineRule="auto"/>
        <w:ind w:firstLine="708"/>
        <w:jc w:val="both"/>
        <w:rPr>
          <w:rFonts w:ascii="Times New Roman" w:eastAsia="Times New Roman" w:hAnsi="Times New Roman" w:cs="Times New Roman"/>
          <w:sz w:val="28"/>
          <w:szCs w:val="28"/>
          <w:lang w:eastAsia="ru-RU"/>
        </w:rPr>
      </w:pPr>
    </w:p>
    <w:p w:rsidR="00485B1C" w:rsidRPr="0089786F" w:rsidRDefault="00485B1C" w:rsidP="003A65A4">
      <w:pPr>
        <w:spacing w:after="0" w:line="240" w:lineRule="auto"/>
        <w:ind w:firstLine="708"/>
        <w:jc w:val="both"/>
        <w:rPr>
          <w:rFonts w:ascii="Times New Roman" w:eastAsia="Times New Roman" w:hAnsi="Times New Roman" w:cs="Times New Roman"/>
          <w:sz w:val="28"/>
          <w:szCs w:val="28"/>
          <w:lang w:eastAsia="ru-RU"/>
        </w:rPr>
      </w:pPr>
    </w:p>
    <w:p w:rsidR="00485B1C" w:rsidRPr="0089786F" w:rsidRDefault="00485B1C" w:rsidP="003A65A4">
      <w:pPr>
        <w:spacing w:after="0" w:line="240" w:lineRule="auto"/>
        <w:ind w:firstLine="708"/>
        <w:jc w:val="both"/>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b/>
          <w:sz w:val="28"/>
          <w:szCs w:val="28"/>
          <w:lang w:eastAsia="ru-RU"/>
        </w:rPr>
      </w:pPr>
    </w:p>
    <w:p w:rsidR="0018609C" w:rsidRPr="0089786F" w:rsidRDefault="0018609C" w:rsidP="00485B1C">
      <w:pPr>
        <w:spacing w:after="0" w:line="240" w:lineRule="auto"/>
        <w:jc w:val="both"/>
        <w:rPr>
          <w:rFonts w:ascii="Times New Roman" w:eastAsia="Times New Roman" w:hAnsi="Times New Roman" w:cs="Times New Roman"/>
          <w:b/>
          <w:sz w:val="28"/>
          <w:szCs w:val="28"/>
          <w:lang w:eastAsia="ru-RU"/>
        </w:rPr>
      </w:pPr>
    </w:p>
    <w:p w:rsidR="00FB02DA" w:rsidRPr="0089786F" w:rsidRDefault="00FB02DA" w:rsidP="00485B1C">
      <w:pPr>
        <w:spacing w:after="0" w:line="240" w:lineRule="auto"/>
        <w:jc w:val="both"/>
        <w:rPr>
          <w:rFonts w:ascii="Times New Roman" w:eastAsia="Times New Roman" w:hAnsi="Times New Roman" w:cs="Times New Roman"/>
          <w:b/>
          <w:sz w:val="28"/>
          <w:szCs w:val="28"/>
          <w:lang w:eastAsia="ru-RU"/>
        </w:rPr>
      </w:pPr>
    </w:p>
    <w:p w:rsidR="003E1E11" w:rsidRPr="0089786F" w:rsidRDefault="003E1E11" w:rsidP="00485B1C">
      <w:pPr>
        <w:spacing w:after="0" w:line="240" w:lineRule="auto"/>
        <w:jc w:val="both"/>
        <w:rPr>
          <w:rFonts w:ascii="Times New Roman" w:eastAsia="Times New Roman" w:hAnsi="Times New Roman" w:cs="Times New Roman"/>
          <w:b/>
          <w:sz w:val="28"/>
          <w:szCs w:val="28"/>
          <w:lang w:eastAsia="ru-RU"/>
        </w:rPr>
      </w:pPr>
    </w:p>
    <w:p w:rsidR="003E1E11" w:rsidRPr="0089786F" w:rsidRDefault="003E1E11" w:rsidP="00485B1C">
      <w:pPr>
        <w:spacing w:after="0" w:line="240" w:lineRule="auto"/>
        <w:jc w:val="both"/>
        <w:rPr>
          <w:rFonts w:ascii="Times New Roman" w:eastAsia="Times New Roman" w:hAnsi="Times New Roman" w:cs="Times New Roman"/>
          <w:b/>
          <w:sz w:val="28"/>
          <w:szCs w:val="28"/>
          <w:lang w:eastAsia="ru-RU"/>
        </w:rPr>
      </w:pPr>
    </w:p>
    <w:p w:rsidR="00690FEE" w:rsidRPr="0089786F" w:rsidRDefault="00690FEE" w:rsidP="00F87922">
      <w:pPr>
        <w:spacing w:after="0" w:line="240" w:lineRule="auto"/>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r w:rsidRPr="0089786F">
        <w:rPr>
          <w:rFonts w:ascii="Arial" w:eastAsia="Times New Roman" w:hAnsi="Arial" w:cs="Arial"/>
          <w:b/>
          <w:sz w:val="29"/>
          <w:szCs w:val="29"/>
          <w:lang w:eastAsia="ru-RU"/>
        </w:rPr>
        <w:lastRenderedPageBreak/>
        <w:t xml:space="preserve">Заявники міжнародних багатоцентрових </w:t>
      </w:r>
      <w:r w:rsidRPr="0089786F">
        <w:rPr>
          <w:rFonts w:ascii="Arial" w:eastAsia="Times New Roman" w:hAnsi="Arial" w:cs="Arial"/>
          <w:b/>
          <w:sz w:val="29"/>
          <w:szCs w:val="29"/>
          <w:lang w:eastAsia="ru-RU"/>
        </w:rPr>
        <w:br/>
        <w:t>клінічних випробувань в Україні (2014 р.)</w:t>
      </w:r>
    </w:p>
    <w:p w:rsidR="00690FEE" w:rsidRPr="0089786F" w:rsidRDefault="00690FEE"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r w:rsidRPr="0089786F">
        <w:rPr>
          <w:rFonts w:ascii="Times New Roman" w:eastAsia="Times New Roman" w:hAnsi="Times New Roman" w:cs="Times New Roman"/>
          <w:noProof/>
          <w:sz w:val="28"/>
          <w:szCs w:val="28"/>
          <w:lang w:eastAsia="uk-UA"/>
        </w:rPr>
        <w:drawing>
          <wp:anchor distT="0" distB="0" distL="114300" distR="114300" simplePos="0" relativeHeight="251655680" behindDoc="0" locked="0" layoutInCell="1" allowOverlap="1" wp14:anchorId="07B370C4" wp14:editId="09F9B891">
            <wp:simplePos x="0" y="0"/>
            <wp:positionH relativeFrom="column">
              <wp:posOffset>114351</wp:posOffset>
            </wp:positionH>
            <wp:positionV relativeFrom="paragraph">
              <wp:posOffset>80388</wp:posOffset>
            </wp:positionV>
            <wp:extent cx="5417820" cy="3220994"/>
            <wp:effectExtent l="0" t="0" r="0" b="0"/>
            <wp:wrapNone/>
            <wp:docPr id="176" name="Диаграмма 1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p>
    <w:p w:rsidR="00C57864" w:rsidRPr="0089786F" w:rsidRDefault="00C57864" w:rsidP="003A65A4">
      <w:pPr>
        <w:spacing w:after="0" w:line="240" w:lineRule="auto"/>
        <w:jc w:val="center"/>
        <w:rPr>
          <w:rFonts w:ascii="Arial" w:eastAsia="Times New Roman" w:hAnsi="Arial" w:cs="Arial"/>
          <w:b/>
          <w:sz w:val="29"/>
          <w:szCs w:val="29"/>
          <w:lang w:eastAsia="ru-RU"/>
        </w:rPr>
      </w:pPr>
    </w:p>
    <w:p w:rsidR="001C5F54" w:rsidRPr="0089786F" w:rsidRDefault="001C5F54" w:rsidP="003A65A4">
      <w:pPr>
        <w:spacing w:after="0" w:line="240" w:lineRule="auto"/>
        <w:jc w:val="center"/>
        <w:rPr>
          <w:rFonts w:ascii="Arial" w:eastAsia="Times New Roman" w:hAnsi="Arial" w:cs="Arial"/>
          <w:b/>
          <w:sz w:val="29"/>
          <w:szCs w:val="29"/>
          <w:lang w:eastAsia="ru-RU"/>
        </w:rPr>
      </w:pPr>
    </w:p>
    <w:p w:rsidR="00121A0E" w:rsidRPr="0089786F" w:rsidRDefault="00121A0E" w:rsidP="003A65A4">
      <w:pPr>
        <w:spacing w:after="0" w:line="240" w:lineRule="auto"/>
        <w:jc w:val="center"/>
        <w:rPr>
          <w:rFonts w:ascii="Arial" w:eastAsia="Times New Roman" w:hAnsi="Arial" w:cs="Arial"/>
          <w:b/>
          <w:sz w:val="29"/>
          <w:szCs w:val="29"/>
          <w:lang w:eastAsia="ru-RU"/>
        </w:rPr>
      </w:pPr>
    </w:p>
    <w:p w:rsidR="00121A0E" w:rsidRPr="0089786F" w:rsidRDefault="00121A0E" w:rsidP="003A65A4">
      <w:pPr>
        <w:spacing w:after="0" w:line="240" w:lineRule="auto"/>
        <w:jc w:val="center"/>
        <w:rPr>
          <w:rFonts w:ascii="Arial" w:eastAsia="Times New Roman" w:hAnsi="Arial" w:cs="Arial"/>
          <w:b/>
          <w:sz w:val="29"/>
          <w:szCs w:val="29"/>
          <w:lang w:eastAsia="ru-RU"/>
        </w:rPr>
      </w:pPr>
    </w:p>
    <w:p w:rsidR="00714A0B" w:rsidRPr="0089786F" w:rsidRDefault="00714A0B" w:rsidP="003A65A4">
      <w:pPr>
        <w:spacing w:after="0" w:line="240" w:lineRule="auto"/>
        <w:jc w:val="center"/>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r w:rsidRPr="0089786F">
        <w:rPr>
          <w:rFonts w:ascii="Arial" w:eastAsia="Times New Roman" w:hAnsi="Arial" w:cs="Arial"/>
          <w:b/>
          <w:sz w:val="29"/>
          <w:szCs w:val="29"/>
          <w:lang w:eastAsia="ru-RU"/>
        </w:rPr>
        <w:t xml:space="preserve">Заявники міжнародних багатоцентрових </w:t>
      </w:r>
      <w:r w:rsidRPr="0089786F">
        <w:rPr>
          <w:rFonts w:ascii="Arial" w:eastAsia="Times New Roman" w:hAnsi="Arial" w:cs="Arial"/>
          <w:b/>
          <w:sz w:val="29"/>
          <w:szCs w:val="29"/>
          <w:lang w:eastAsia="ru-RU"/>
        </w:rPr>
        <w:br/>
        <w:t>клінічних випробувань в Україні (2015 р.)</w:t>
      </w:r>
    </w:p>
    <w:p w:rsidR="003A65A4" w:rsidRPr="0089786F" w:rsidRDefault="003A65A4" w:rsidP="003A65A4">
      <w:pPr>
        <w:spacing w:after="0" w:line="240" w:lineRule="auto"/>
        <w:jc w:val="center"/>
        <w:rPr>
          <w:rFonts w:ascii="Times New Roman" w:eastAsia="Times New Roman" w:hAnsi="Times New Roman" w:cs="Times New Roman"/>
          <w:sz w:val="28"/>
          <w:szCs w:val="28"/>
          <w:lang w:eastAsia="ru-RU"/>
        </w:rPr>
      </w:pPr>
    </w:p>
    <w:p w:rsidR="003A65A4" w:rsidRPr="0089786F" w:rsidRDefault="00B94CD3" w:rsidP="003A65A4">
      <w:pPr>
        <w:spacing w:after="0" w:line="240" w:lineRule="auto"/>
        <w:jc w:val="center"/>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28"/>
          <w:szCs w:val="28"/>
          <w:lang w:eastAsia="uk-UA"/>
        </w:rPr>
        <w:drawing>
          <wp:anchor distT="0" distB="0" distL="114300" distR="114300" simplePos="0" relativeHeight="251657728" behindDoc="0" locked="0" layoutInCell="1" allowOverlap="1" wp14:anchorId="4C2A5057" wp14:editId="0E590641">
            <wp:simplePos x="0" y="0"/>
            <wp:positionH relativeFrom="column">
              <wp:posOffset>556754</wp:posOffset>
            </wp:positionH>
            <wp:positionV relativeFrom="paragraph">
              <wp:posOffset>46778</wp:posOffset>
            </wp:positionV>
            <wp:extent cx="5044440" cy="3293110"/>
            <wp:effectExtent l="0" t="0" r="0" b="0"/>
            <wp:wrapNone/>
            <wp:docPr id="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4440" cy="32931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A65A4" w:rsidRPr="0089786F" w:rsidRDefault="003A65A4" w:rsidP="003A65A4">
      <w:pPr>
        <w:spacing w:after="0" w:line="240" w:lineRule="auto"/>
        <w:jc w:val="center"/>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sz w:val="28"/>
          <w:szCs w:val="28"/>
          <w:lang w:eastAsia="ru-RU"/>
        </w:rPr>
      </w:pPr>
    </w:p>
    <w:p w:rsidR="003A65A4" w:rsidRPr="0089786F" w:rsidRDefault="003A65A4" w:rsidP="003A65A4">
      <w:pPr>
        <w:spacing w:after="0" w:line="240" w:lineRule="auto"/>
        <w:rPr>
          <w:rFonts w:ascii="Times New Roman" w:eastAsia="Times New Roman" w:hAnsi="Times New Roman" w:cs="Times New Roman"/>
          <w:sz w:val="28"/>
          <w:szCs w:val="28"/>
          <w:lang w:eastAsia="ru-RU"/>
        </w:rPr>
      </w:pPr>
    </w:p>
    <w:p w:rsidR="003A65A4" w:rsidRPr="0089786F" w:rsidRDefault="003A65A4" w:rsidP="003A65A4">
      <w:pPr>
        <w:spacing w:after="0" w:line="240" w:lineRule="auto"/>
        <w:rPr>
          <w:rFonts w:ascii="Times New Roman" w:eastAsia="Times New Roman" w:hAnsi="Times New Roman" w:cs="Times New Roman"/>
          <w:sz w:val="28"/>
          <w:szCs w:val="28"/>
          <w:lang w:eastAsia="ru-RU"/>
        </w:rPr>
      </w:pPr>
    </w:p>
    <w:p w:rsidR="003A65A4" w:rsidRPr="0089786F" w:rsidRDefault="003A65A4" w:rsidP="003A65A4">
      <w:pPr>
        <w:spacing w:after="0" w:line="240" w:lineRule="auto"/>
        <w:rPr>
          <w:rFonts w:ascii="Times New Roman" w:eastAsia="Times New Roman" w:hAnsi="Times New Roman" w:cs="Times New Roman"/>
          <w:sz w:val="28"/>
          <w:szCs w:val="28"/>
          <w:lang w:eastAsia="ru-RU"/>
        </w:rPr>
      </w:pPr>
    </w:p>
    <w:p w:rsidR="003A65A4" w:rsidRPr="0089786F" w:rsidRDefault="003A65A4" w:rsidP="003A65A4">
      <w:pPr>
        <w:spacing w:after="0" w:line="240" w:lineRule="auto"/>
        <w:rPr>
          <w:rFonts w:ascii="Times New Roman" w:eastAsia="Times New Roman" w:hAnsi="Times New Roman" w:cs="Times New Roman"/>
          <w:sz w:val="28"/>
          <w:szCs w:val="28"/>
          <w:lang w:eastAsia="ru-RU"/>
        </w:rPr>
      </w:pPr>
    </w:p>
    <w:p w:rsidR="003A65A4" w:rsidRPr="0089786F" w:rsidRDefault="003A65A4" w:rsidP="003A65A4">
      <w:pPr>
        <w:spacing w:after="0" w:line="240" w:lineRule="auto"/>
        <w:rPr>
          <w:rFonts w:ascii="Times New Roman" w:eastAsia="Times New Roman" w:hAnsi="Times New Roman" w:cs="Times New Roman"/>
          <w:sz w:val="28"/>
          <w:szCs w:val="28"/>
          <w:lang w:eastAsia="ru-RU"/>
        </w:rPr>
      </w:pPr>
    </w:p>
    <w:p w:rsidR="003A65A4" w:rsidRPr="0089786F" w:rsidRDefault="003A65A4" w:rsidP="003A65A4">
      <w:pPr>
        <w:spacing w:after="0" w:line="240" w:lineRule="auto"/>
        <w:rPr>
          <w:rFonts w:ascii="Times New Roman" w:eastAsia="Times New Roman" w:hAnsi="Times New Roman" w:cs="Times New Roman"/>
          <w:sz w:val="28"/>
          <w:szCs w:val="28"/>
          <w:lang w:eastAsia="ru-RU"/>
        </w:rPr>
      </w:pPr>
    </w:p>
    <w:p w:rsidR="0018609C" w:rsidRPr="0089786F" w:rsidRDefault="0018609C" w:rsidP="00636EA3">
      <w:pPr>
        <w:spacing w:after="0" w:line="240" w:lineRule="auto"/>
        <w:rPr>
          <w:rFonts w:ascii="Arial" w:eastAsia="Times New Roman" w:hAnsi="Arial" w:cs="Arial"/>
          <w:b/>
          <w:sz w:val="29"/>
          <w:szCs w:val="29"/>
          <w:lang w:eastAsia="ru-RU"/>
        </w:rPr>
      </w:pPr>
    </w:p>
    <w:p w:rsidR="003A65A4" w:rsidRPr="0089786F" w:rsidRDefault="003A65A4" w:rsidP="003A65A4">
      <w:pPr>
        <w:spacing w:after="0" w:line="240" w:lineRule="auto"/>
        <w:jc w:val="center"/>
        <w:rPr>
          <w:rFonts w:ascii="Arial" w:eastAsia="Times New Roman" w:hAnsi="Arial" w:cs="Arial"/>
          <w:b/>
          <w:sz w:val="29"/>
          <w:szCs w:val="29"/>
          <w:lang w:eastAsia="ru-RU"/>
        </w:rPr>
      </w:pPr>
      <w:r w:rsidRPr="0089786F">
        <w:rPr>
          <w:rFonts w:ascii="Arial" w:eastAsia="Times New Roman" w:hAnsi="Arial" w:cs="Arial"/>
          <w:b/>
          <w:sz w:val="29"/>
          <w:szCs w:val="29"/>
          <w:lang w:eastAsia="ru-RU"/>
        </w:rPr>
        <w:t xml:space="preserve">Заявники міжнародних багатоцентрових </w:t>
      </w:r>
      <w:r w:rsidRPr="0089786F">
        <w:rPr>
          <w:rFonts w:ascii="Arial" w:eastAsia="Times New Roman" w:hAnsi="Arial" w:cs="Arial"/>
          <w:b/>
          <w:sz w:val="29"/>
          <w:szCs w:val="29"/>
          <w:lang w:eastAsia="ru-RU"/>
        </w:rPr>
        <w:br/>
        <w:t>клінічних випробувань в Україні (2016 р.)</w:t>
      </w:r>
    </w:p>
    <w:p w:rsidR="003A65A4" w:rsidRPr="0089786F" w:rsidRDefault="003A65A4" w:rsidP="003A65A4">
      <w:pPr>
        <w:spacing w:after="0" w:line="240" w:lineRule="auto"/>
        <w:rPr>
          <w:rFonts w:ascii="Times New Roman" w:eastAsia="Times New Roman" w:hAnsi="Times New Roman" w:cs="Times New Roman"/>
          <w:sz w:val="28"/>
          <w:szCs w:val="28"/>
          <w:lang w:eastAsia="ru-RU"/>
        </w:rPr>
      </w:pPr>
    </w:p>
    <w:p w:rsidR="003A65A4" w:rsidRPr="0089786F" w:rsidRDefault="003A65A4" w:rsidP="003A65A4">
      <w:pPr>
        <w:spacing w:after="0" w:line="240" w:lineRule="auto"/>
        <w:rPr>
          <w:rFonts w:ascii="Times New Roman" w:eastAsia="Times New Roman" w:hAnsi="Times New Roman" w:cs="Times New Roman"/>
          <w:sz w:val="28"/>
          <w:szCs w:val="28"/>
          <w:lang w:eastAsia="ru-RU"/>
        </w:rPr>
      </w:pPr>
    </w:p>
    <w:p w:rsidR="003A65A4" w:rsidRPr="0089786F" w:rsidRDefault="003A65A4" w:rsidP="003A65A4">
      <w:pPr>
        <w:spacing w:after="0" w:line="240" w:lineRule="auto"/>
        <w:rPr>
          <w:rFonts w:ascii="Times New Roman" w:eastAsia="Times New Roman" w:hAnsi="Times New Roman" w:cs="Times New Roman"/>
          <w:sz w:val="28"/>
          <w:szCs w:val="28"/>
          <w:lang w:eastAsia="ru-RU"/>
        </w:rPr>
      </w:pPr>
    </w:p>
    <w:p w:rsidR="00E3234B" w:rsidRPr="0089786F" w:rsidRDefault="00D94902" w:rsidP="00C57864">
      <w:pPr>
        <w:spacing w:after="0" w:line="240" w:lineRule="auto"/>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28"/>
          <w:szCs w:val="28"/>
          <w:lang w:eastAsia="uk-UA"/>
        </w:rPr>
        <w:drawing>
          <wp:inline distT="0" distB="0" distL="0" distR="0" wp14:anchorId="0851ADA1" wp14:editId="407EADF0">
            <wp:extent cx="5802630" cy="3740727"/>
            <wp:effectExtent l="0" t="0" r="762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3234B" w:rsidRPr="0089786F" w:rsidRDefault="00E3234B" w:rsidP="00E3234B">
      <w:pPr>
        <w:spacing w:after="0" w:line="240" w:lineRule="auto"/>
        <w:jc w:val="center"/>
        <w:rPr>
          <w:rFonts w:ascii="Arial" w:eastAsia="Times New Roman" w:hAnsi="Arial" w:cs="Arial"/>
          <w:sz w:val="29"/>
          <w:szCs w:val="29"/>
          <w:lang w:eastAsia="ru-RU"/>
        </w:rPr>
      </w:pPr>
      <w:r w:rsidRPr="0089786F">
        <w:rPr>
          <w:rFonts w:ascii="Arial" w:eastAsia="Times New Roman" w:hAnsi="Arial" w:cs="Arial"/>
          <w:sz w:val="29"/>
          <w:szCs w:val="29"/>
          <w:lang w:eastAsia="ru-RU"/>
        </w:rPr>
        <w:t xml:space="preserve">Заявники міжнародних багатоцентрових </w:t>
      </w:r>
      <w:r w:rsidRPr="0089786F">
        <w:rPr>
          <w:rFonts w:ascii="Arial" w:eastAsia="Times New Roman" w:hAnsi="Arial" w:cs="Arial"/>
          <w:sz w:val="29"/>
          <w:szCs w:val="29"/>
          <w:lang w:eastAsia="ru-RU"/>
        </w:rPr>
        <w:br/>
        <w:t>клінічних випробувань в Україні (2017р.)</w:t>
      </w:r>
    </w:p>
    <w:p w:rsidR="00E3234B" w:rsidRPr="0089786F" w:rsidRDefault="00A941CD" w:rsidP="00485B1C">
      <w:pPr>
        <w:spacing w:after="0" w:line="240" w:lineRule="auto"/>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28"/>
          <w:szCs w:val="28"/>
          <w:lang w:eastAsia="uk-UA"/>
        </w:rPr>
        <w:drawing>
          <wp:inline distT="0" distB="0" distL="0" distR="0" wp14:anchorId="56E3AFB8" wp14:editId="77D91662">
            <wp:extent cx="5509260" cy="3657600"/>
            <wp:effectExtent l="0" t="0" r="1524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04D9B" w:rsidRPr="0089786F" w:rsidRDefault="00204D9B" w:rsidP="00485B1C">
      <w:pPr>
        <w:spacing w:after="0" w:line="240" w:lineRule="auto"/>
        <w:rPr>
          <w:rFonts w:ascii="Times New Roman" w:eastAsia="Times New Roman" w:hAnsi="Times New Roman" w:cs="Times New Roman"/>
          <w:sz w:val="28"/>
          <w:szCs w:val="28"/>
          <w:lang w:eastAsia="ru-RU"/>
        </w:rPr>
      </w:pPr>
    </w:p>
    <w:p w:rsidR="00204D9B" w:rsidRPr="0089786F" w:rsidRDefault="00204D9B" w:rsidP="0089786F">
      <w:pPr>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sz w:val="28"/>
          <w:szCs w:val="28"/>
          <w:lang w:eastAsia="ru-RU"/>
        </w:rPr>
        <w:t xml:space="preserve">Заявники міжнародних багатоцентрових </w:t>
      </w:r>
      <w:r w:rsidRPr="0089786F">
        <w:rPr>
          <w:rFonts w:ascii="Times New Roman" w:eastAsia="Times New Roman" w:hAnsi="Times New Roman" w:cs="Times New Roman"/>
          <w:b/>
          <w:sz w:val="28"/>
          <w:szCs w:val="28"/>
          <w:lang w:eastAsia="ru-RU"/>
        </w:rPr>
        <w:br/>
        <w:t>клінічних випробувань в Україні (</w:t>
      </w:r>
      <w:r w:rsidR="0089786F" w:rsidRPr="0089786F">
        <w:rPr>
          <w:rFonts w:ascii="Times New Roman" w:eastAsia="Times New Roman" w:hAnsi="Times New Roman" w:cs="Times New Roman"/>
          <w:b/>
          <w:sz w:val="28"/>
          <w:szCs w:val="28"/>
          <w:lang w:eastAsia="ru-RU"/>
        </w:rPr>
        <w:t>2018 р.</w:t>
      </w:r>
      <w:r w:rsidRPr="0089786F">
        <w:rPr>
          <w:rFonts w:ascii="Times New Roman" w:eastAsia="Times New Roman" w:hAnsi="Times New Roman" w:cs="Times New Roman"/>
          <w:b/>
          <w:sz w:val="28"/>
          <w:szCs w:val="28"/>
          <w:lang w:eastAsia="ru-RU"/>
        </w:rPr>
        <w:t>)</w:t>
      </w:r>
    </w:p>
    <w:p w:rsidR="00204D9B" w:rsidRPr="0089786F" w:rsidRDefault="00204D9B" w:rsidP="00485B1C">
      <w:pPr>
        <w:spacing w:after="0" w:line="240" w:lineRule="auto"/>
        <w:rPr>
          <w:rFonts w:ascii="Times New Roman" w:eastAsia="Times New Roman" w:hAnsi="Times New Roman" w:cs="Times New Roman"/>
          <w:sz w:val="28"/>
          <w:szCs w:val="28"/>
          <w:lang w:eastAsia="ru-RU"/>
        </w:rPr>
      </w:pPr>
    </w:p>
    <w:p w:rsidR="00204D9B" w:rsidRPr="0089786F" w:rsidRDefault="00204D9B" w:rsidP="00485B1C">
      <w:pPr>
        <w:spacing w:after="0" w:line="240" w:lineRule="auto"/>
        <w:rPr>
          <w:rFonts w:ascii="Times New Roman" w:eastAsia="Times New Roman" w:hAnsi="Times New Roman" w:cs="Times New Roman"/>
          <w:sz w:val="28"/>
          <w:szCs w:val="28"/>
          <w:lang w:eastAsia="ru-RU"/>
        </w:rPr>
      </w:pPr>
    </w:p>
    <w:p w:rsidR="00BC78B0" w:rsidRPr="0089786F" w:rsidRDefault="00BC78B0" w:rsidP="00485B1C">
      <w:pPr>
        <w:spacing w:after="0" w:line="240" w:lineRule="auto"/>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28"/>
          <w:szCs w:val="28"/>
          <w:lang w:eastAsia="uk-UA"/>
        </w:rPr>
        <w:drawing>
          <wp:inline distT="0" distB="0" distL="0" distR="0" wp14:anchorId="5E3CA70F" wp14:editId="57E1D539">
            <wp:extent cx="5509260" cy="3657600"/>
            <wp:effectExtent l="0" t="0" r="1524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5792D" w:rsidRDefault="0045792D" w:rsidP="00485B1C">
      <w:pPr>
        <w:spacing w:after="0" w:line="240" w:lineRule="auto"/>
        <w:rPr>
          <w:rFonts w:ascii="Times New Roman" w:eastAsia="Times New Roman" w:hAnsi="Times New Roman" w:cs="Times New Roman"/>
          <w:sz w:val="28"/>
          <w:szCs w:val="28"/>
          <w:lang w:eastAsia="ru-RU"/>
        </w:rPr>
      </w:pPr>
    </w:p>
    <w:p w:rsidR="00F87922" w:rsidRDefault="00F87922" w:rsidP="00F87922">
      <w:pPr>
        <w:spacing w:after="0" w:line="240" w:lineRule="auto"/>
        <w:jc w:val="center"/>
        <w:rPr>
          <w:rFonts w:ascii="Times New Roman" w:eastAsia="Times New Roman" w:hAnsi="Times New Roman" w:cs="Times New Roman"/>
          <w:b/>
          <w:sz w:val="28"/>
          <w:szCs w:val="28"/>
          <w:lang w:eastAsia="ru-RU"/>
        </w:rPr>
      </w:pPr>
    </w:p>
    <w:p w:rsidR="00F87922" w:rsidRPr="0089786F" w:rsidRDefault="00F87922" w:rsidP="00F8792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Спонсори - лідери </w:t>
      </w:r>
      <w:r w:rsidRPr="0089786F">
        <w:rPr>
          <w:rFonts w:ascii="Times New Roman" w:eastAsia="Times New Roman" w:hAnsi="Times New Roman" w:cs="Times New Roman"/>
          <w:b/>
          <w:sz w:val="28"/>
          <w:szCs w:val="28"/>
          <w:lang w:eastAsia="ru-RU"/>
        </w:rPr>
        <w:t xml:space="preserve">міжнародних багатоцентрових </w:t>
      </w:r>
      <w:r w:rsidRPr="0089786F">
        <w:rPr>
          <w:rFonts w:ascii="Times New Roman" w:eastAsia="Times New Roman" w:hAnsi="Times New Roman" w:cs="Times New Roman"/>
          <w:b/>
          <w:sz w:val="28"/>
          <w:szCs w:val="28"/>
          <w:lang w:eastAsia="ru-RU"/>
        </w:rPr>
        <w:br/>
        <w:t xml:space="preserve">клінічних випробувань в Україні </w:t>
      </w:r>
    </w:p>
    <w:p w:rsidR="00F87922" w:rsidRDefault="00F87922" w:rsidP="00F87922">
      <w:pPr>
        <w:shd w:val="clear" w:color="auto" w:fill="FFFFFF"/>
        <w:spacing w:after="150" w:line="240" w:lineRule="auto"/>
        <w:ind w:firstLine="567"/>
        <w:jc w:val="both"/>
        <w:rPr>
          <w:rFonts w:ascii="Times New Roman" w:eastAsia="Times New Roman" w:hAnsi="Times New Roman" w:cs="Times New Roman"/>
          <w:color w:val="000000"/>
          <w:sz w:val="28"/>
          <w:szCs w:val="28"/>
          <w:lang w:eastAsia="uk-UA"/>
        </w:rPr>
      </w:pPr>
    </w:p>
    <w:p w:rsidR="00F87922" w:rsidRDefault="00F87922" w:rsidP="00F87922">
      <w:pPr>
        <w:shd w:val="clear" w:color="auto" w:fill="FFFFFF"/>
        <w:spacing w:after="150" w:line="240" w:lineRule="auto"/>
        <w:ind w:firstLine="567"/>
        <w:jc w:val="both"/>
        <w:rPr>
          <w:rFonts w:ascii="Times New Roman" w:eastAsia="Times New Roman" w:hAnsi="Times New Roman" w:cs="Times New Roman"/>
          <w:color w:val="000000"/>
          <w:sz w:val="28"/>
          <w:szCs w:val="28"/>
          <w:lang w:eastAsia="uk-UA"/>
        </w:rPr>
      </w:pPr>
    </w:p>
    <w:p w:rsidR="00F87922" w:rsidRDefault="00F87922" w:rsidP="00F87922">
      <w:pPr>
        <w:shd w:val="clear" w:color="auto" w:fill="FFFFFF"/>
        <w:spacing w:after="15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sz w:val="28"/>
          <w:szCs w:val="28"/>
          <w:lang w:eastAsia="uk-UA"/>
        </w:rPr>
        <w:drawing>
          <wp:inline distT="0" distB="0" distL="0" distR="0">
            <wp:extent cx="5791200" cy="295656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87922" w:rsidRDefault="00F87922" w:rsidP="00F87922">
      <w:pPr>
        <w:shd w:val="clear" w:color="auto" w:fill="FFFFFF"/>
        <w:spacing w:after="15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sz w:val="24"/>
          <w:szCs w:val="28"/>
          <w:lang w:eastAsia="uk-UA"/>
        </w:rPr>
        <w:lastRenderedPageBreak/>
        <w:drawing>
          <wp:inline distT="0" distB="0" distL="0" distR="0">
            <wp:extent cx="5669280" cy="2865120"/>
            <wp:effectExtent l="0" t="0" r="7620"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87922" w:rsidRDefault="00F87922" w:rsidP="00F87922">
      <w:pPr>
        <w:shd w:val="clear" w:color="auto" w:fill="FFFFFF"/>
        <w:spacing w:after="150" w:line="240" w:lineRule="auto"/>
        <w:ind w:firstLine="567"/>
        <w:jc w:val="both"/>
        <w:rPr>
          <w:rFonts w:ascii="Times New Roman" w:eastAsia="Times New Roman" w:hAnsi="Times New Roman" w:cs="Times New Roman"/>
          <w:color w:val="000000"/>
          <w:sz w:val="28"/>
          <w:szCs w:val="28"/>
          <w:lang w:eastAsia="uk-UA"/>
        </w:rPr>
      </w:pPr>
    </w:p>
    <w:p w:rsidR="00F87922" w:rsidRDefault="00F87922" w:rsidP="00F87922">
      <w:pPr>
        <w:shd w:val="clear" w:color="auto" w:fill="FFFFFF"/>
        <w:spacing w:after="15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sz w:val="28"/>
          <w:szCs w:val="28"/>
          <w:lang w:eastAsia="uk-UA"/>
        </w:rPr>
        <w:drawing>
          <wp:inline distT="0" distB="0" distL="0" distR="0">
            <wp:extent cx="6210300" cy="32766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87922" w:rsidRDefault="00F87922" w:rsidP="00F87922">
      <w:pPr>
        <w:shd w:val="clear" w:color="auto" w:fill="FFFFFF"/>
        <w:spacing w:after="150" w:line="240" w:lineRule="auto"/>
        <w:jc w:val="both"/>
        <w:rPr>
          <w:rFonts w:ascii="Times New Roman" w:eastAsia="Times New Roman" w:hAnsi="Times New Roman" w:cs="Times New Roman"/>
          <w:color w:val="000000"/>
          <w:sz w:val="28"/>
          <w:szCs w:val="28"/>
          <w:lang w:eastAsia="uk-UA"/>
        </w:rPr>
      </w:pPr>
    </w:p>
    <w:p w:rsidR="00F87922" w:rsidRPr="0089786F" w:rsidRDefault="00F87922" w:rsidP="00485B1C">
      <w:pPr>
        <w:spacing w:after="0" w:line="240" w:lineRule="auto"/>
        <w:rPr>
          <w:rFonts w:ascii="Times New Roman" w:eastAsia="Times New Roman" w:hAnsi="Times New Roman" w:cs="Times New Roman"/>
          <w:sz w:val="28"/>
          <w:szCs w:val="28"/>
          <w:lang w:eastAsia="ru-RU"/>
        </w:rPr>
      </w:pPr>
    </w:p>
    <w:p w:rsidR="0045792D" w:rsidRPr="0089786F" w:rsidRDefault="0045792D" w:rsidP="00485B1C">
      <w:pPr>
        <w:spacing w:after="0" w:line="240" w:lineRule="auto"/>
        <w:rPr>
          <w:rFonts w:ascii="Times New Roman" w:eastAsia="Times New Roman" w:hAnsi="Times New Roman" w:cs="Times New Roman"/>
          <w:sz w:val="28"/>
          <w:szCs w:val="28"/>
          <w:lang w:eastAsia="ru-RU"/>
        </w:rPr>
      </w:pPr>
    </w:p>
    <w:p w:rsidR="00121A0E" w:rsidRPr="0089786F" w:rsidRDefault="00121A0E" w:rsidP="003A65A4">
      <w:pPr>
        <w:spacing w:after="0" w:line="240" w:lineRule="auto"/>
        <w:rPr>
          <w:rFonts w:ascii="Times New Roman" w:eastAsia="Times New Roman" w:hAnsi="Times New Roman" w:cs="Times New Roman"/>
          <w:sz w:val="28"/>
          <w:szCs w:val="28"/>
          <w:lang w:eastAsia="ru-RU"/>
        </w:rPr>
      </w:pPr>
    </w:p>
    <w:p w:rsidR="00204D9B" w:rsidRPr="0089786F" w:rsidRDefault="00204D9B" w:rsidP="00A941CD">
      <w:pPr>
        <w:autoSpaceDE w:val="0"/>
        <w:autoSpaceDN w:val="0"/>
        <w:adjustRightInd w:val="0"/>
        <w:jc w:val="center"/>
        <w:rPr>
          <w:rFonts w:ascii="Arial" w:hAnsi="Arial" w:cs="Arial"/>
          <w:b/>
          <w:sz w:val="26"/>
          <w:szCs w:val="26"/>
        </w:rPr>
      </w:pPr>
    </w:p>
    <w:p w:rsidR="00204D9B" w:rsidRPr="0089786F" w:rsidRDefault="00204D9B" w:rsidP="00A941CD">
      <w:pPr>
        <w:autoSpaceDE w:val="0"/>
        <w:autoSpaceDN w:val="0"/>
        <w:adjustRightInd w:val="0"/>
        <w:jc w:val="center"/>
        <w:rPr>
          <w:rFonts w:ascii="Arial" w:hAnsi="Arial" w:cs="Arial"/>
          <w:b/>
          <w:sz w:val="26"/>
          <w:szCs w:val="26"/>
        </w:rPr>
      </w:pPr>
    </w:p>
    <w:p w:rsidR="00204D9B" w:rsidRPr="0089786F" w:rsidRDefault="00204D9B" w:rsidP="00A941CD">
      <w:pPr>
        <w:autoSpaceDE w:val="0"/>
        <w:autoSpaceDN w:val="0"/>
        <w:adjustRightInd w:val="0"/>
        <w:jc w:val="center"/>
        <w:rPr>
          <w:rFonts w:ascii="Arial" w:hAnsi="Arial" w:cs="Arial"/>
          <w:b/>
          <w:sz w:val="26"/>
          <w:szCs w:val="26"/>
        </w:rPr>
      </w:pPr>
    </w:p>
    <w:p w:rsidR="00204D9B" w:rsidRPr="0089786F" w:rsidRDefault="00204D9B" w:rsidP="00A941CD">
      <w:pPr>
        <w:autoSpaceDE w:val="0"/>
        <w:autoSpaceDN w:val="0"/>
        <w:adjustRightInd w:val="0"/>
        <w:jc w:val="center"/>
        <w:rPr>
          <w:rFonts w:ascii="Arial" w:hAnsi="Arial" w:cs="Arial"/>
          <w:b/>
          <w:sz w:val="26"/>
          <w:szCs w:val="26"/>
        </w:rPr>
      </w:pPr>
    </w:p>
    <w:p w:rsidR="00204D9B" w:rsidRPr="0089786F" w:rsidRDefault="00204D9B" w:rsidP="00626244">
      <w:pPr>
        <w:autoSpaceDE w:val="0"/>
        <w:autoSpaceDN w:val="0"/>
        <w:adjustRightInd w:val="0"/>
        <w:rPr>
          <w:rFonts w:ascii="Arial" w:hAnsi="Arial" w:cs="Arial"/>
          <w:b/>
          <w:sz w:val="26"/>
          <w:szCs w:val="26"/>
        </w:rPr>
      </w:pPr>
    </w:p>
    <w:p w:rsidR="00A941CD" w:rsidRPr="00F87922" w:rsidRDefault="00A941CD" w:rsidP="00F87922">
      <w:pPr>
        <w:autoSpaceDE w:val="0"/>
        <w:autoSpaceDN w:val="0"/>
        <w:adjustRightInd w:val="0"/>
        <w:jc w:val="center"/>
        <w:rPr>
          <w:rFonts w:ascii="Arial" w:hAnsi="Arial" w:cs="Arial"/>
          <w:b/>
          <w:sz w:val="26"/>
          <w:szCs w:val="26"/>
        </w:rPr>
      </w:pPr>
      <w:bookmarkStart w:id="0" w:name="_GoBack"/>
      <w:bookmarkEnd w:id="0"/>
      <w:r w:rsidRPr="0089786F">
        <w:rPr>
          <w:rFonts w:ascii="Arial" w:hAnsi="Arial" w:cs="Arial"/>
          <w:b/>
          <w:sz w:val="26"/>
          <w:szCs w:val="26"/>
        </w:rPr>
        <w:lastRenderedPageBreak/>
        <w:t xml:space="preserve">Заявники </w:t>
      </w:r>
      <w:r w:rsidR="00F87922">
        <w:rPr>
          <w:rFonts w:ascii="Arial" w:hAnsi="Arial" w:cs="Arial"/>
          <w:b/>
          <w:sz w:val="26"/>
          <w:szCs w:val="26"/>
        </w:rPr>
        <w:t>вітчизняних</w:t>
      </w:r>
      <w:r w:rsidRPr="0089786F">
        <w:rPr>
          <w:rFonts w:ascii="Arial" w:hAnsi="Arial" w:cs="Arial"/>
          <w:b/>
          <w:sz w:val="26"/>
          <w:szCs w:val="26"/>
        </w:rPr>
        <w:t xml:space="preserve"> </w:t>
      </w:r>
      <w:r w:rsidRPr="0089786F">
        <w:rPr>
          <w:rFonts w:ascii="Arial" w:hAnsi="Arial" w:cs="Arial"/>
          <w:b/>
          <w:sz w:val="26"/>
          <w:szCs w:val="26"/>
        </w:rPr>
        <w:br/>
        <w:t>клінічних випробувань в Україні</w:t>
      </w:r>
    </w:p>
    <w:p w:rsidR="003A65A4" w:rsidRPr="0089786F" w:rsidRDefault="003A65A4" w:rsidP="003A65A4">
      <w:pPr>
        <w:spacing w:after="0" w:line="240" w:lineRule="auto"/>
        <w:jc w:val="both"/>
        <w:rPr>
          <w:rFonts w:ascii="Times New Roman" w:eastAsia="Times New Roman" w:hAnsi="Times New Roman" w:cs="Times New Roman"/>
          <w:b/>
          <w:sz w:val="28"/>
          <w:szCs w:val="28"/>
          <w:lang w:eastAsia="ru-RU"/>
        </w:rPr>
      </w:pPr>
    </w:p>
    <w:p w:rsidR="003A65A4" w:rsidRPr="0089786F" w:rsidRDefault="003A65A4" w:rsidP="003A65A4">
      <w:pPr>
        <w:spacing w:after="0" w:line="240" w:lineRule="auto"/>
        <w:jc w:val="both"/>
        <w:rPr>
          <w:rFonts w:ascii="Times New Roman" w:eastAsia="Times New Roman" w:hAnsi="Times New Roman" w:cs="Times New Roman"/>
          <w:b/>
          <w:sz w:val="28"/>
          <w:szCs w:val="28"/>
          <w:lang w:eastAsia="ru-RU"/>
        </w:rPr>
      </w:pPr>
    </w:p>
    <w:p w:rsidR="003A65A4" w:rsidRPr="0089786F" w:rsidRDefault="003A65A4" w:rsidP="003A65A4">
      <w:pPr>
        <w:spacing w:after="0" w:line="240" w:lineRule="auto"/>
        <w:jc w:val="center"/>
        <w:rPr>
          <w:rFonts w:ascii="Times New Roman" w:eastAsia="Times New Roman" w:hAnsi="Times New Roman" w:cs="Times New Roman"/>
          <w:b/>
          <w:sz w:val="28"/>
          <w:szCs w:val="28"/>
          <w:lang w:eastAsia="ru-RU"/>
        </w:rPr>
      </w:pPr>
      <w:r w:rsidRPr="0089786F">
        <w:rPr>
          <w:rFonts w:ascii="Times New Roman" w:eastAsia="Times New Roman" w:hAnsi="Times New Roman" w:cs="Times New Roman"/>
          <w:b/>
          <w:noProof/>
          <w:sz w:val="28"/>
          <w:szCs w:val="28"/>
          <w:lang w:eastAsia="uk-UA"/>
        </w:rPr>
        <w:drawing>
          <wp:anchor distT="0" distB="0" distL="114300" distR="114300" simplePos="0" relativeHeight="251656704" behindDoc="0" locked="0" layoutInCell="1" allowOverlap="1" wp14:anchorId="194CAEE0" wp14:editId="2DDD7682">
            <wp:simplePos x="0" y="0"/>
            <wp:positionH relativeFrom="column">
              <wp:posOffset>-801370</wp:posOffset>
            </wp:positionH>
            <wp:positionV relativeFrom="paragraph">
              <wp:posOffset>173355</wp:posOffset>
            </wp:positionV>
            <wp:extent cx="3916680" cy="2774950"/>
            <wp:effectExtent l="2540" t="0" r="0" b="0"/>
            <wp:wrapNone/>
            <wp:docPr id="158" name="Диаграмма 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89786F">
        <w:rPr>
          <w:rFonts w:ascii="Times New Roman" w:eastAsia="Times New Roman" w:hAnsi="Times New Roman" w:cs="Times New Roman"/>
          <w:b/>
          <w:sz w:val="28"/>
          <w:szCs w:val="28"/>
          <w:lang w:eastAsia="ru-RU"/>
        </w:rPr>
        <w:t>2014 р.                                                        2015 р.</w:t>
      </w:r>
    </w:p>
    <w:p w:rsidR="003A65A4" w:rsidRPr="0089786F" w:rsidRDefault="003A65A4" w:rsidP="008B18BE">
      <w:pPr>
        <w:spacing w:after="0" w:line="240" w:lineRule="auto"/>
        <w:jc w:val="right"/>
        <w:rPr>
          <w:rFonts w:ascii="Arial" w:eastAsia="Times New Roman" w:hAnsi="Arial" w:cs="Arial"/>
          <w:b/>
          <w:sz w:val="28"/>
          <w:szCs w:val="28"/>
          <w:lang w:eastAsia="ru-RU"/>
        </w:rPr>
      </w:pPr>
      <w:r w:rsidRPr="0089786F">
        <w:rPr>
          <w:rFonts w:ascii="Times New Roman" w:eastAsia="Times New Roman" w:hAnsi="Times New Roman" w:cs="Times New Roman"/>
          <w:b/>
          <w:noProof/>
          <w:sz w:val="28"/>
          <w:szCs w:val="28"/>
          <w:lang w:eastAsia="uk-UA"/>
        </w:rPr>
        <w:drawing>
          <wp:inline distT="0" distB="0" distL="0" distR="0" wp14:anchorId="2418165F" wp14:editId="4B1EF661">
            <wp:extent cx="3230245" cy="2484755"/>
            <wp:effectExtent l="0" t="0" r="0" b="0"/>
            <wp:docPr id="128" name="Диаграмма 1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C78B0" w:rsidRPr="0089786F" w:rsidRDefault="00BC78B0" w:rsidP="008B18BE">
      <w:pPr>
        <w:spacing w:after="0" w:line="240" w:lineRule="auto"/>
        <w:jc w:val="right"/>
        <w:rPr>
          <w:rFonts w:ascii="Arial" w:eastAsia="Times New Roman" w:hAnsi="Arial" w:cs="Arial"/>
          <w:b/>
          <w:sz w:val="28"/>
          <w:szCs w:val="28"/>
          <w:lang w:eastAsia="ru-RU"/>
        </w:rPr>
      </w:pPr>
    </w:p>
    <w:p w:rsidR="00BC78B0" w:rsidRPr="0089786F" w:rsidRDefault="00BC78B0" w:rsidP="008B18BE">
      <w:pPr>
        <w:spacing w:after="0" w:line="240" w:lineRule="auto"/>
        <w:jc w:val="right"/>
        <w:rPr>
          <w:rFonts w:ascii="Arial" w:eastAsia="Times New Roman" w:hAnsi="Arial" w:cs="Arial"/>
          <w:b/>
          <w:sz w:val="28"/>
          <w:szCs w:val="28"/>
          <w:lang w:eastAsia="ru-RU"/>
        </w:rPr>
      </w:pPr>
    </w:p>
    <w:p w:rsidR="00BC78B0" w:rsidRPr="0089786F" w:rsidRDefault="00BC78B0" w:rsidP="008B18BE">
      <w:pPr>
        <w:spacing w:after="0" w:line="240" w:lineRule="auto"/>
        <w:jc w:val="right"/>
        <w:rPr>
          <w:rFonts w:ascii="Times New Roman" w:eastAsia="Times New Roman" w:hAnsi="Times New Roman" w:cs="Times New Roman"/>
          <w:b/>
          <w:sz w:val="28"/>
          <w:szCs w:val="28"/>
          <w:lang w:eastAsia="ru-RU"/>
        </w:rPr>
      </w:pPr>
    </w:p>
    <w:p w:rsidR="003A65A4" w:rsidRPr="0089786F" w:rsidRDefault="000F47A1" w:rsidP="003A65A4">
      <w:pPr>
        <w:autoSpaceDE w:val="0"/>
        <w:autoSpaceDN w:val="0"/>
        <w:adjustRightInd w:val="0"/>
        <w:spacing w:after="0" w:line="240" w:lineRule="auto"/>
        <w:jc w:val="center"/>
        <w:rPr>
          <w:rFonts w:ascii="Arial" w:eastAsia="Times New Roman" w:hAnsi="Arial" w:cs="Arial"/>
          <w:b/>
          <w:sz w:val="28"/>
          <w:szCs w:val="28"/>
          <w:lang w:eastAsia="ru-RU"/>
        </w:rPr>
      </w:pPr>
      <w:r w:rsidRPr="0089786F">
        <w:rPr>
          <w:rFonts w:ascii="Arial" w:eastAsia="Times New Roman" w:hAnsi="Arial" w:cs="Arial"/>
          <w:b/>
          <w:noProof/>
          <w:sz w:val="28"/>
          <w:szCs w:val="28"/>
          <w:lang w:eastAsia="uk-UA"/>
        </w:rPr>
        <w:drawing>
          <wp:inline distT="0" distB="0" distL="0" distR="0" wp14:anchorId="7DDEC618" wp14:editId="66628545">
            <wp:extent cx="6031149" cy="3200400"/>
            <wp:effectExtent l="0" t="0" r="825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A65A4" w:rsidRPr="0089786F" w:rsidRDefault="003A65A4" w:rsidP="003A65A4">
      <w:pPr>
        <w:autoSpaceDE w:val="0"/>
        <w:autoSpaceDN w:val="0"/>
        <w:adjustRightInd w:val="0"/>
        <w:spacing w:after="0" w:line="240" w:lineRule="auto"/>
        <w:ind w:firstLine="708"/>
        <w:jc w:val="both"/>
        <w:rPr>
          <w:rFonts w:ascii="Arial" w:eastAsia="Times New Roman" w:hAnsi="Arial" w:cs="Arial"/>
          <w:b/>
          <w:sz w:val="28"/>
          <w:szCs w:val="28"/>
          <w:lang w:eastAsia="ru-RU"/>
        </w:rPr>
      </w:pPr>
    </w:p>
    <w:p w:rsidR="00E3234B" w:rsidRPr="0089786F" w:rsidRDefault="00E3234B" w:rsidP="00636EA3">
      <w:pPr>
        <w:autoSpaceDE w:val="0"/>
        <w:autoSpaceDN w:val="0"/>
        <w:adjustRightInd w:val="0"/>
        <w:spacing w:after="0" w:line="240" w:lineRule="auto"/>
        <w:jc w:val="both"/>
        <w:rPr>
          <w:rFonts w:ascii="Arial" w:eastAsia="Times New Roman" w:hAnsi="Arial" w:cs="Arial"/>
          <w:b/>
          <w:sz w:val="28"/>
          <w:szCs w:val="28"/>
          <w:lang w:eastAsia="ru-RU"/>
        </w:rPr>
      </w:pPr>
    </w:p>
    <w:p w:rsidR="00E3234B" w:rsidRPr="0089786F" w:rsidRDefault="00E3234B" w:rsidP="003A65A4">
      <w:pPr>
        <w:autoSpaceDE w:val="0"/>
        <w:autoSpaceDN w:val="0"/>
        <w:adjustRightInd w:val="0"/>
        <w:spacing w:after="0" w:line="240" w:lineRule="auto"/>
        <w:ind w:firstLine="708"/>
        <w:jc w:val="both"/>
        <w:rPr>
          <w:rFonts w:ascii="Arial" w:eastAsia="Times New Roman" w:hAnsi="Arial" w:cs="Arial"/>
          <w:b/>
          <w:sz w:val="28"/>
          <w:szCs w:val="28"/>
          <w:lang w:eastAsia="ru-RU"/>
        </w:rPr>
      </w:pPr>
    </w:p>
    <w:p w:rsidR="00E3234B" w:rsidRPr="0089786F" w:rsidRDefault="00E3234B" w:rsidP="00485B1C">
      <w:pPr>
        <w:autoSpaceDE w:val="0"/>
        <w:autoSpaceDN w:val="0"/>
        <w:adjustRightInd w:val="0"/>
        <w:spacing w:after="0" w:line="240" w:lineRule="auto"/>
        <w:jc w:val="both"/>
        <w:rPr>
          <w:rFonts w:ascii="Arial" w:eastAsia="Times New Roman" w:hAnsi="Arial" w:cs="Arial"/>
          <w:b/>
          <w:sz w:val="28"/>
          <w:szCs w:val="28"/>
          <w:lang w:eastAsia="ru-RU"/>
        </w:rPr>
      </w:pPr>
    </w:p>
    <w:p w:rsidR="00E3234B" w:rsidRPr="0089786F" w:rsidRDefault="00E3234B" w:rsidP="003A65A4">
      <w:pPr>
        <w:autoSpaceDE w:val="0"/>
        <w:autoSpaceDN w:val="0"/>
        <w:adjustRightInd w:val="0"/>
        <w:spacing w:after="0" w:line="240" w:lineRule="auto"/>
        <w:ind w:firstLine="708"/>
        <w:jc w:val="both"/>
        <w:rPr>
          <w:rFonts w:ascii="Arial" w:eastAsia="Times New Roman" w:hAnsi="Arial" w:cs="Arial"/>
          <w:b/>
          <w:sz w:val="28"/>
          <w:szCs w:val="28"/>
          <w:lang w:eastAsia="ru-RU"/>
        </w:rPr>
      </w:pPr>
    </w:p>
    <w:p w:rsidR="00A307F0" w:rsidRPr="0089786F" w:rsidRDefault="00E3234B" w:rsidP="00E323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86F">
        <w:rPr>
          <w:noProof/>
          <w:shd w:val="clear" w:color="auto" w:fill="9CC2E5" w:themeFill="accent1" w:themeFillTint="99"/>
          <w:lang w:eastAsia="uk-UA"/>
        </w:rPr>
        <w:lastRenderedPageBreak/>
        <w:drawing>
          <wp:inline distT="0" distB="0" distL="0" distR="0" wp14:anchorId="6C9FA053" wp14:editId="42D67E72">
            <wp:extent cx="5573591" cy="4527550"/>
            <wp:effectExtent l="0" t="0" r="8255"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C78B0" w:rsidRPr="0089786F" w:rsidRDefault="00BC78B0" w:rsidP="00E323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86F">
        <w:rPr>
          <w:noProof/>
          <w:shd w:val="clear" w:color="auto" w:fill="9CC2E5" w:themeFill="accent1" w:themeFillTint="99"/>
          <w:lang w:eastAsia="uk-UA"/>
        </w:rPr>
        <w:drawing>
          <wp:inline distT="0" distB="0" distL="0" distR="0" wp14:anchorId="39BDC3A4" wp14:editId="40073774">
            <wp:extent cx="5573591" cy="4527550"/>
            <wp:effectExtent l="0" t="0" r="8255" b="63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33022" w:rsidRPr="0089786F" w:rsidRDefault="00033022" w:rsidP="00A307F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C78B0" w:rsidRPr="0089786F" w:rsidRDefault="00BC78B0" w:rsidP="00BC78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Важливою складовою у забезпеченні якості проведення КВ є проведення клінічного аудиту випробування, який проводять співробітники Центру. Клінічний аудит КВ - це процедура офіційної перевірки, Центром, документів, приміщень, устаткування та обладнання, записів, системи гарантії якості та інших ресурсів, які мають відношення до КВ, які можуть міститися в ЛПЗ – місцях проведення КВ (клінічних базах), приміщеннях спонсора та контрактно-дослідницькій організації, а також в інших місцях, які приймають участь у проведенні КВ. Вимоги до проведення КА визначені у Розділі ХІІІ Поряду 690.</w:t>
      </w:r>
    </w:p>
    <w:p w:rsidR="00BC78B0" w:rsidRPr="0089786F" w:rsidRDefault="00BC78B0" w:rsidP="00BC78B0">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Попередній план КА розміщується на офіційному сайті Центру та оновлюється один раз у квартал. У плані зазначається дата та місце проведення КА.</w:t>
      </w:r>
    </w:p>
    <w:p w:rsidR="00BC78B0" w:rsidRPr="0089786F" w:rsidRDefault="00BC78B0" w:rsidP="00BC78B0">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Клінічний аудит КВ проводяться співробітниками Центру з 1999 р. </w:t>
      </w:r>
      <w:r w:rsidRPr="0089786F">
        <w:rPr>
          <w:rFonts w:ascii="Times New Roman" w:eastAsia="Times New Roman" w:hAnsi="Times New Roman" w:cs="Times New Roman"/>
          <w:iCs/>
          <w:sz w:val="28"/>
          <w:szCs w:val="28"/>
          <w:lang w:eastAsia="ru-RU"/>
        </w:rPr>
        <w:t>Основними завданнями КА</w:t>
      </w:r>
      <w:r w:rsidRPr="0089786F">
        <w:rPr>
          <w:rFonts w:ascii="Times New Roman" w:eastAsia="Times New Roman" w:hAnsi="Times New Roman" w:cs="Times New Roman"/>
          <w:sz w:val="28"/>
          <w:szCs w:val="28"/>
          <w:lang w:eastAsia="ru-RU"/>
        </w:rPr>
        <w:t xml:space="preserve"> КВ є перевірка:</w:t>
      </w:r>
    </w:p>
    <w:p w:rsidR="00BC78B0" w:rsidRPr="0089786F" w:rsidRDefault="00BC78B0" w:rsidP="00BC7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b/>
          <w:bCs/>
          <w:sz w:val="28"/>
          <w:szCs w:val="28"/>
          <w:lang w:eastAsia="ru-RU"/>
        </w:rPr>
        <w:t xml:space="preserve">• </w:t>
      </w:r>
      <w:r w:rsidRPr="0089786F">
        <w:rPr>
          <w:rFonts w:ascii="Times New Roman" w:eastAsia="Times New Roman" w:hAnsi="Times New Roman" w:cs="Times New Roman"/>
          <w:sz w:val="28"/>
          <w:szCs w:val="28"/>
          <w:lang w:eastAsia="ru-RU"/>
        </w:rPr>
        <w:t>відповідності проведення КВ затвердженому протоколу й діючим нормативно-правовим актам;</w:t>
      </w:r>
    </w:p>
    <w:p w:rsidR="00BC78B0" w:rsidRPr="0089786F" w:rsidRDefault="00BC78B0" w:rsidP="00BC7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b/>
          <w:bCs/>
          <w:sz w:val="28"/>
          <w:szCs w:val="28"/>
          <w:lang w:eastAsia="ru-RU"/>
        </w:rPr>
        <w:t xml:space="preserve">• </w:t>
      </w:r>
      <w:r w:rsidRPr="0089786F">
        <w:rPr>
          <w:rFonts w:ascii="Times New Roman" w:eastAsia="Times New Roman" w:hAnsi="Times New Roman" w:cs="Times New Roman"/>
          <w:sz w:val="28"/>
          <w:szCs w:val="28"/>
          <w:lang w:eastAsia="ru-RU"/>
        </w:rPr>
        <w:t>можливості проведення КВ в даному місці проведення досліджень: включення достатньої кількості досліджуваних відповідно до профілю КВ, наявність необхідного устаткування, функціонування лабораторії, первинної медичної документації – медичних карт стаціонарних/амбулаторних хворих, даних лабораторних та інструментальних методів обстеження;</w:t>
      </w:r>
    </w:p>
    <w:p w:rsidR="00BC78B0" w:rsidRPr="0089786F" w:rsidRDefault="00BC78B0" w:rsidP="00BC7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 </w:t>
      </w:r>
      <w:r w:rsidRPr="0089786F">
        <w:rPr>
          <w:rFonts w:ascii="Times New Roman" w:eastAsia="Times New Roman" w:hAnsi="Times New Roman" w:cs="Times New Roman"/>
          <w:b/>
          <w:bCs/>
          <w:sz w:val="28"/>
          <w:szCs w:val="28"/>
          <w:lang w:eastAsia="ru-RU"/>
        </w:rPr>
        <w:t xml:space="preserve">• </w:t>
      </w:r>
      <w:r w:rsidRPr="0089786F">
        <w:rPr>
          <w:rFonts w:ascii="Times New Roman" w:eastAsia="Times New Roman" w:hAnsi="Times New Roman" w:cs="Times New Roman"/>
          <w:sz w:val="28"/>
          <w:szCs w:val="28"/>
          <w:lang w:eastAsia="ru-RU"/>
        </w:rPr>
        <w:t>захисту прав пацієнтів: дотримання процедури отримання інформованої згоди, наявність письмової інформованої згоди на участь у КВ (датована й підписана);</w:t>
      </w:r>
    </w:p>
    <w:p w:rsidR="00BC78B0" w:rsidRPr="0089786F" w:rsidRDefault="00BC78B0" w:rsidP="00BC7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b/>
          <w:bCs/>
          <w:sz w:val="28"/>
          <w:szCs w:val="28"/>
          <w:lang w:eastAsia="ru-RU"/>
        </w:rPr>
        <w:t xml:space="preserve">• </w:t>
      </w:r>
      <w:r w:rsidRPr="0089786F">
        <w:rPr>
          <w:rFonts w:ascii="Times New Roman" w:eastAsia="Times New Roman" w:hAnsi="Times New Roman" w:cs="Times New Roman"/>
          <w:sz w:val="28"/>
          <w:szCs w:val="28"/>
          <w:lang w:eastAsia="ru-RU"/>
        </w:rPr>
        <w:t xml:space="preserve">достовірності й відповідності записів в індивідуальних реєстраційних формах даним первинної документації; </w:t>
      </w:r>
    </w:p>
    <w:p w:rsidR="00BC78B0" w:rsidRPr="0089786F" w:rsidRDefault="00BC78B0" w:rsidP="00BC7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b/>
          <w:bCs/>
          <w:sz w:val="28"/>
          <w:szCs w:val="28"/>
          <w:lang w:eastAsia="ru-RU"/>
        </w:rPr>
        <w:t xml:space="preserve">• </w:t>
      </w:r>
      <w:r w:rsidRPr="0089786F">
        <w:rPr>
          <w:rFonts w:ascii="Times New Roman" w:eastAsia="Times New Roman" w:hAnsi="Times New Roman" w:cs="Times New Roman"/>
          <w:sz w:val="28"/>
          <w:szCs w:val="28"/>
          <w:lang w:eastAsia="ru-RU"/>
        </w:rPr>
        <w:t>наявності документації про одержання, зберігання, видачу, розподіл й повернення досліджуваного лікарського засобу;</w:t>
      </w:r>
    </w:p>
    <w:p w:rsidR="00BC78B0" w:rsidRPr="0089786F" w:rsidRDefault="00BC78B0" w:rsidP="00BC78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b/>
          <w:bCs/>
          <w:sz w:val="28"/>
          <w:szCs w:val="28"/>
          <w:lang w:eastAsia="ru-RU"/>
        </w:rPr>
        <w:t xml:space="preserve">• </w:t>
      </w:r>
      <w:r w:rsidRPr="0089786F">
        <w:rPr>
          <w:rFonts w:ascii="Times New Roman" w:eastAsia="Times New Roman" w:hAnsi="Times New Roman" w:cs="Times New Roman"/>
          <w:sz w:val="28"/>
          <w:szCs w:val="28"/>
          <w:lang w:eastAsia="ru-RU"/>
        </w:rPr>
        <w:t>реєстрації побічних ефектів та їх лікування, тощо.</w:t>
      </w:r>
    </w:p>
    <w:p w:rsidR="00BC78B0" w:rsidRPr="0089786F" w:rsidRDefault="00BC78B0" w:rsidP="00BC78B0">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Клінічний аудит КВ проводиться не раніше як через 14 календарних днів після надсилання попереднього повідомлення та узгодження з відповідальним дослідником та/або спонсором клінічного випробування дати початку та тривалості перевірки, її мети, переліку документів та приміщень, що перевірятимуться. </w:t>
      </w:r>
    </w:p>
    <w:p w:rsidR="005F32E8" w:rsidRPr="0089786F" w:rsidRDefault="005F32E8" w:rsidP="005F32E8">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За результатами клінічного аудиту КВ складається акт, у якому зазначаються зауваження (за наявності) та терміни їх усунення. Акт про перевірку Центром надсилає спонсору та відповідальному досліднику клінічного випробування.</w:t>
      </w:r>
    </w:p>
    <w:p w:rsidR="007463EB" w:rsidRPr="0089786F" w:rsidRDefault="005F32E8" w:rsidP="007463EB">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За  </w:t>
      </w:r>
      <w:r w:rsidR="00BE1186">
        <w:rPr>
          <w:rFonts w:ascii="Times New Roman" w:eastAsia="Times New Roman" w:hAnsi="Times New Roman" w:cs="Times New Roman"/>
          <w:sz w:val="28"/>
          <w:szCs w:val="28"/>
          <w:lang w:eastAsia="ru-RU"/>
        </w:rPr>
        <w:t>2018 рік</w:t>
      </w:r>
      <w:r w:rsidRPr="0089786F">
        <w:rPr>
          <w:rFonts w:ascii="Times New Roman" w:eastAsia="Times New Roman" w:hAnsi="Times New Roman" w:cs="Times New Roman"/>
          <w:sz w:val="28"/>
          <w:szCs w:val="28"/>
          <w:lang w:eastAsia="ru-RU"/>
        </w:rPr>
        <w:t xml:space="preserve"> було проведено </w:t>
      </w:r>
      <w:r w:rsidR="00FE3372">
        <w:rPr>
          <w:rFonts w:ascii="Times New Roman" w:eastAsia="Times New Roman" w:hAnsi="Times New Roman" w:cs="Times New Roman"/>
          <w:sz w:val="28"/>
          <w:szCs w:val="28"/>
          <w:lang w:eastAsia="ru-RU"/>
        </w:rPr>
        <w:t>42</w:t>
      </w:r>
      <w:r w:rsidRPr="0089786F">
        <w:rPr>
          <w:rFonts w:ascii="Times New Roman" w:eastAsia="Times New Roman" w:hAnsi="Times New Roman" w:cs="Times New Roman"/>
          <w:sz w:val="28"/>
          <w:szCs w:val="28"/>
          <w:lang w:eastAsia="ru-RU"/>
        </w:rPr>
        <w:t xml:space="preserve"> КА, серед яких: </w:t>
      </w:r>
    </w:p>
    <w:p w:rsidR="007463EB" w:rsidRPr="0089786F" w:rsidRDefault="007463EB" w:rsidP="007463EB">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 </w:t>
      </w:r>
      <w:r w:rsidR="008122E4">
        <w:rPr>
          <w:rFonts w:ascii="Times New Roman" w:eastAsia="Times New Roman" w:hAnsi="Times New Roman" w:cs="Times New Roman"/>
          <w:sz w:val="28"/>
          <w:szCs w:val="28"/>
          <w:lang w:eastAsia="ru-RU"/>
        </w:rPr>
        <w:t>40</w:t>
      </w:r>
      <w:r w:rsidRPr="0089786F">
        <w:rPr>
          <w:rFonts w:ascii="Times New Roman" w:eastAsia="Times New Roman" w:hAnsi="Times New Roman" w:cs="Times New Roman"/>
          <w:sz w:val="28"/>
          <w:szCs w:val="28"/>
          <w:lang w:eastAsia="ru-RU"/>
        </w:rPr>
        <w:t xml:space="preserve"> планових системних КА КВ в МПВ;</w:t>
      </w:r>
    </w:p>
    <w:p w:rsidR="005F32E8" w:rsidRPr="0089786F" w:rsidRDefault="005F32E8" w:rsidP="005F32E8">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 </w:t>
      </w:r>
      <w:r w:rsidR="008122E4">
        <w:rPr>
          <w:rFonts w:ascii="Times New Roman" w:eastAsia="Times New Roman" w:hAnsi="Times New Roman" w:cs="Times New Roman"/>
          <w:sz w:val="28"/>
          <w:szCs w:val="28"/>
          <w:lang w:eastAsia="ru-RU"/>
        </w:rPr>
        <w:t>2</w:t>
      </w:r>
      <w:r w:rsidRPr="0089786F">
        <w:rPr>
          <w:rFonts w:ascii="Times New Roman" w:eastAsia="Times New Roman" w:hAnsi="Times New Roman" w:cs="Times New Roman"/>
          <w:sz w:val="28"/>
          <w:szCs w:val="28"/>
          <w:lang w:eastAsia="ru-RU"/>
        </w:rPr>
        <w:t xml:space="preserve"> планових КА КВ (</w:t>
      </w:r>
      <w:r w:rsidR="008122E4" w:rsidRPr="008122E4">
        <w:rPr>
          <w:rFonts w:ascii="Times New Roman" w:eastAsia="Times New Roman" w:hAnsi="Times New Roman" w:cs="Times New Roman"/>
          <w:sz w:val="28"/>
          <w:szCs w:val="28"/>
          <w:lang w:eastAsia="ru-RU"/>
        </w:rPr>
        <w:t>1 КА в офісі заявника КВ, 1 КА в біоаналітичній лабораторії</w:t>
      </w:r>
      <w:r w:rsidRPr="0089786F">
        <w:rPr>
          <w:rFonts w:ascii="Times New Roman" w:eastAsia="Times New Roman" w:hAnsi="Times New Roman" w:cs="Times New Roman"/>
          <w:sz w:val="28"/>
          <w:szCs w:val="28"/>
          <w:lang w:eastAsia="ru-RU"/>
        </w:rPr>
        <w:t>);</w:t>
      </w:r>
    </w:p>
    <w:p w:rsidR="005F32E8" w:rsidRPr="0089786F" w:rsidRDefault="005F32E8" w:rsidP="005F32E8">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Серед 28 проведених КА:</w:t>
      </w:r>
    </w:p>
    <w:p w:rsidR="007463EB" w:rsidRPr="0089786F" w:rsidRDefault="008122E4" w:rsidP="007463EB">
      <w:pPr>
        <w:tabs>
          <w:tab w:val="left" w:pos="900"/>
        </w:tabs>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63EB" w:rsidRPr="0089786F">
        <w:rPr>
          <w:rFonts w:ascii="Times New Roman" w:eastAsia="Times New Roman" w:hAnsi="Times New Roman" w:cs="Times New Roman"/>
          <w:sz w:val="28"/>
          <w:szCs w:val="28"/>
          <w:lang w:eastAsia="ru-RU"/>
        </w:rPr>
        <w:t xml:space="preserve"> КА – зауважень не було (</w:t>
      </w:r>
      <w:r w:rsidRPr="008122E4">
        <w:rPr>
          <w:rFonts w:ascii="Times New Roman" w:eastAsia="Times New Roman" w:hAnsi="Times New Roman" w:cs="Times New Roman"/>
          <w:sz w:val="28"/>
          <w:szCs w:val="28"/>
          <w:lang w:eastAsia="ru-RU"/>
        </w:rPr>
        <w:t>2 в МПВ та 1 в біоаналітичній лабораторії</w:t>
      </w:r>
      <w:r w:rsidR="007463EB" w:rsidRPr="0089786F">
        <w:rPr>
          <w:rFonts w:ascii="Times New Roman" w:eastAsia="Times New Roman" w:hAnsi="Times New Roman" w:cs="Times New Roman"/>
          <w:sz w:val="28"/>
          <w:szCs w:val="28"/>
          <w:lang w:eastAsia="ru-RU"/>
        </w:rPr>
        <w:t>);</w:t>
      </w:r>
    </w:p>
    <w:p w:rsidR="005F32E8" w:rsidRPr="0089786F" w:rsidRDefault="005F32E8" w:rsidP="005F32E8">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lastRenderedPageBreak/>
        <w:t>1</w:t>
      </w:r>
      <w:r w:rsidR="008122E4">
        <w:rPr>
          <w:rFonts w:ascii="Times New Roman" w:eastAsia="Times New Roman" w:hAnsi="Times New Roman" w:cs="Times New Roman"/>
          <w:sz w:val="28"/>
          <w:szCs w:val="28"/>
          <w:lang w:eastAsia="ru-RU"/>
        </w:rPr>
        <w:t xml:space="preserve">5 </w:t>
      </w:r>
      <w:r w:rsidRPr="0089786F">
        <w:rPr>
          <w:rFonts w:ascii="Times New Roman" w:eastAsia="Times New Roman" w:hAnsi="Times New Roman" w:cs="Times New Roman"/>
          <w:sz w:val="28"/>
          <w:szCs w:val="28"/>
          <w:lang w:eastAsia="ru-RU"/>
        </w:rPr>
        <w:t>КА – були несуттєві зауваження, виявлені недоліки не вплинули на права, безпеку та здоров’я досліджуваних;</w:t>
      </w:r>
    </w:p>
    <w:p w:rsidR="005F32E8" w:rsidRPr="0089786F" w:rsidRDefault="005F32E8" w:rsidP="005F32E8">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1</w:t>
      </w:r>
      <w:r w:rsidR="008122E4">
        <w:rPr>
          <w:rFonts w:ascii="Times New Roman" w:eastAsia="Times New Roman" w:hAnsi="Times New Roman" w:cs="Times New Roman"/>
          <w:sz w:val="28"/>
          <w:szCs w:val="28"/>
          <w:lang w:eastAsia="ru-RU"/>
        </w:rPr>
        <w:t>9</w:t>
      </w:r>
      <w:r w:rsidRPr="0089786F">
        <w:rPr>
          <w:rFonts w:ascii="Times New Roman" w:eastAsia="Times New Roman" w:hAnsi="Times New Roman" w:cs="Times New Roman"/>
          <w:sz w:val="28"/>
          <w:szCs w:val="28"/>
          <w:lang w:eastAsia="ru-RU"/>
        </w:rPr>
        <w:t xml:space="preserve"> КА – зауваження суттєві;</w:t>
      </w:r>
    </w:p>
    <w:p w:rsidR="005F32E8" w:rsidRPr="0089786F" w:rsidRDefault="005F32E8" w:rsidP="005F32E8">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2 КА чисельні суттєві;</w:t>
      </w:r>
    </w:p>
    <w:p w:rsidR="00BC78B0" w:rsidRPr="0089786F" w:rsidRDefault="008122E4" w:rsidP="005F32E8">
      <w:pPr>
        <w:tabs>
          <w:tab w:val="left" w:pos="900"/>
        </w:tabs>
        <w:spacing w:after="0" w:line="240" w:lineRule="auto"/>
        <w:ind w:firstLine="90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3</w:t>
      </w:r>
      <w:r w:rsidR="005F32E8" w:rsidRPr="0089786F">
        <w:rPr>
          <w:rFonts w:ascii="Times New Roman" w:eastAsia="Times New Roman" w:hAnsi="Times New Roman" w:cs="Times New Roman"/>
          <w:sz w:val="28"/>
          <w:szCs w:val="28"/>
          <w:lang w:eastAsia="ru-RU"/>
        </w:rPr>
        <w:t xml:space="preserve"> КА – зауваження критичні - було припинено набір досліджуваних у клінічне випробування в місці проведення дослідження до усунення недоліків, що можуть призвести до порушення прав пацієнтів.</w:t>
      </w:r>
    </w:p>
    <w:p w:rsidR="00BC78B0" w:rsidRPr="0089786F" w:rsidRDefault="00BC78B0" w:rsidP="00BC78B0">
      <w:pPr>
        <w:tabs>
          <w:tab w:val="left" w:pos="900"/>
        </w:tabs>
        <w:spacing w:after="0" w:line="240" w:lineRule="auto"/>
        <w:ind w:left="1077"/>
        <w:jc w:val="both"/>
        <w:rPr>
          <w:rFonts w:ascii="Times New Roman" w:eastAsia="Times New Roman" w:hAnsi="Times New Roman" w:cs="Times New Roman"/>
          <w:sz w:val="28"/>
          <w:szCs w:val="24"/>
          <w:lang w:eastAsia="ru-RU"/>
        </w:rPr>
      </w:pPr>
    </w:p>
    <w:p w:rsidR="00BC78B0" w:rsidRPr="0089786F" w:rsidRDefault="00BC78B0" w:rsidP="00BC78B0">
      <w:pPr>
        <w:spacing w:after="0" w:line="240" w:lineRule="auto"/>
        <w:ind w:firstLine="708"/>
        <w:jc w:val="both"/>
        <w:rPr>
          <w:rFonts w:ascii="Times New Roman" w:eastAsia="Times New Roman" w:hAnsi="Times New Roman" w:cs="Times New Roman"/>
          <w:sz w:val="28"/>
          <w:szCs w:val="28"/>
          <w:lang w:eastAsia="ru-RU"/>
        </w:rPr>
      </w:pPr>
    </w:p>
    <w:p w:rsidR="00BC78B0" w:rsidRPr="0089786F" w:rsidRDefault="00BC78B0" w:rsidP="00BC78B0">
      <w:pPr>
        <w:spacing w:after="0" w:line="240" w:lineRule="auto"/>
        <w:ind w:firstLine="708"/>
        <w:jc w:val="both"/>
        <w:rPr>
          <w:rFonts w:ascii="Times New Roman" w:eastAsia="Times New Roman" w:hAnsi="Times New Roman" w:cs="Times New Roman"/>
          <w:sz w:val="28"/>
          <w:szCs w:val="28"/>
          <w:lang w:eastAsia="ru-RU"/>
        </w:rPr>
      </w:pPr>
    </w:p>
    <w:p w:rsidR="00BC78B0" w:rsidRPr="0089786F" w:rsidRDefault="005F32E8" w:rsidP="00BC78B0">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28"/>
          <w:szCs w:val="28"/>
          <w:lang w:eastAsia="uk-UA"/>
        </w:rPr>
        <w:drawing>
          <wp:anchor distT="0" distB="0" distL="114300" distR="114300" simplePos="0" relativeHeight="251670016" behindDoc="0" locked="0" layoutInCell="1" allowOverlap="1" wp14:anchorId="6FE744EA" wp14:editId="164BB4CE">
            <wp:simplePos x="0" y="0"/>
            <wp:positionH relativeFrom="margin">
              <wp:posOffset>0</wp:posOffset>
            </wp:positionH>
            <wp:positionV relativeFrom="paragraph">
              <wp:posOffset>-635</wp:posOffset>
            </wp:positionV>
            <wp:extent cx="6088380" cy="3461858"/>
            <wp:effectExtent l="0" t="0" r="0" b="0"/>
            <wp:wrapNone/>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BC78B0" w:rsidRPr="0089786F" w:rsidRDefault="00BC78B0" w:rsidP="00BC7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78B0" w:rsidRPr="0089786F" w:rsidRDefault="00BC78B0" w:rsidP="00BC7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78B0" w:rsidRPr="0089786F" w:rsidRDefault="00BC78B0" w:rsidP="00BC7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78B0" w:rsidRPr="0089786F" w:rsidRDefault="00BC78B0" w:rsidP="00BC7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78B0" w:rsidRPr="0089786F" w:rsidRDefault="00BC78B0" w:rsidP="00BC7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78B0" w:rsidRPr="0089786F" w:rsidRDefault="00BC78B0" w:rsidP="00BC7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78B0" w:rsidRPr="0089786F" w:rsidRDefault="00BC78B0" w:rsidP="00BC7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78B0" w:rsidRPr="0089786F" w:rsidRDefault="00BC78B0" w:rsidP="00BC7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78B0" w:rsidRPr="0089786F" w:rsidRDefault="00BC78B0" w:rsidP="00BC7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78B0" w:rsidRPr="0089786F" w:rsidRDefault="00BC78B0" w:rsidP="00BC7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78B0" w:rsidRPr="0089786F" w:rsidRDefault="00BC78B0" w:rsidP="00D260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78B0" w:rsidRPr="0089786F" w:rsidRDefault="00BC78B0" w:rsidP="00BC78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32E8" w:rsidRPr="0089786F" w:rsidRDefault="005F32E8" w:rsidP="005F32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noProof/>
          <w:sz w:val="28"/>
          <w:szCs w:val="28"/>
          <w:lang w:eastAsia="uk-UA"/>
        </w:rPr>
        <mc:AlternateContent>
          <mc:Choice Requires="wps">
            <w:drawing>
              <wp:anchor distT="0" distB="0" distL="0" distR="0" simplePos="0" relativeHeight="251672064" behindDoc="0" locked="0" layoutInCell="1" allowOverlap="1" wp14:anchorId="7163F69C" wp14:editId="22F8AC38">
                <wp:simplePos x="0" y="0"/>
                <wp:positionH relativeFrom="column">
                  <wp:posOffset>125095</wp:posOffset>
                </wp:positionH>
                <wp:positionV relativeFrom="paragraph">
                  <wp:posOffset>-3799205</wp:posOffset>
                </wp:positionV>
                <wp:extent cx="9144000" cy="0"/>
                <wp:effectExtent l="0" t="3175" r="4445" b="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EFF2A1" id="Прямоугольник 138" o:spid="_x0000_s1026" style="position:absolute;margin-left:9.85pt;margin-top:-299.15pt;width:10in;height:0;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" filled="f" fillcolor="#bbe0e3" stroked="f">
                <v:textbox style="mso-fit-shape-to-text:t"/>
              </v:rect>
            </w:pict>
          </mc:Fallback>
        </mc:AlternateContent>
      </w:r>
      <w:r w:rsidRPr="0089786F">
        <w:rPr>
          <w:rFonts w:ascii="Times New Roman" w:eastAsia="Times New Roman" w:hAnsi="Times New Roman" w:cs="Times New Roman"/>
          <w:noProof/>
          <w:sz w:val="28"/>
          <w:szCs w:val="28"/>
          <w:lang w:eastAsia="uk-UA"/>
        </w:rPr>
        <mc:AlternateContent>
          <mc:Choice Requires="wps">
            <w:drawing>
              <wp:anchor distT="0" distB="0" distL="0" distR="0" simplePos="0" relativeHeight="251673088" behindDoc="0" locked="0" layoutInCell="1" allowOverlap="1" wp14:anchorId="38F3A966" wp14:editId="76B68BB6">
                <wp:simplePos x="0" y="0"/>
                <wp:positionH relativeFrom="column">
                  <wp:posOffset>125095</wp:posOffset>
                </wp:positionH>
                <wp:positionV relativeFrom="paragraph">
                  <wp:posOffset>-3799205</wp:posOffset>
                </wp:positionV>
                <wp:extent cx="9144000" cy="0"/>
                <wp:effectExtent l="0" t="3175" r="4445" b="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F051A7" id="Прямоугольник 137" o:spid="_x0000_s1026" style="position:absolute;margin-left:9.85pt;margin-top:-299.15pt;width:10in;height:0;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" filled="f" fillcolor="#bbe0e3" stroked="f">
                <v:textbox style="mso-fit-shape-to-text:t"/>
              </v:rect>
            </w:pict>
          </mc:Fallback>
        </mc:AlternateContent>
      </w:r>
      <w:r w:rsidRPr="0089786F">
        <w:rPr>
          <w:rFonts w:ascii="Times New Roman" w:eastAsia="Times New Roman" w:hAnsi="Times New Roman" w:cs="Times New Roman"/>
          <w:sz w:val="28"/>
          <w:szCs w:val="28"/>
          <w:lang w:eastAsia="ru-RU"/>
        </w:rPr>
        <w:t>Слід ві</w:t>
      </w:r>
      <w:r w:rsidR="00806D3C">
        <w:rPr>
          <w:rFonts w:ascii="Times New Roman" w:eastAsia="Times New Roman" w:hAnsi="Times New Roman" w:cs="Times New Roman"/>
          <w:sz w:val="28"/>
          <w:szCs w:val="28"/>
          <w:lang w:eastAsia="ru-RU"/>
        </w:rPr>
        <w:t xml:space="preserve">дзначити, що за період з </w:t>
      </w:r>
      <w:r w:rsidRPr="0089786F">
        <w:rPr>
          <w:rFonts w:ascii="Times New Roman" w:eastAsia="Times New Roman" w:hAnsi="Times New Roman" w:cs="Times New Roman"/>
          <w:sz w:val="28"/>
          <w:szCs w:val="28"/>
          <w:lang w:eastAsia="ru-RU"/>
        </w:rPr>
        <w:t>2012 року по 201</w:t>
      </w:r>
      <w:r w:rsidR="00800A67" w:rsidRPr="0089786F">
        <w:rPr>
          <w:rFonts w:ascii="Times New Roman" w:eastAsia="Times New Roman" w:hAnsi="Times New Roman" w:cs="Times New Roman"/>
          <w:sz w:val="28"/>
          <w:szCs w:val="28"/>
          <w:lang w:eastAsia="ru-RU"/>
        </w:rPr>
        <w:t>8</w:t>
      </w:r>
      <w:r w:rsidRPr="0089786F">
        <w:rPr>
          <w:rFonts w:ascii="Times New Roman" w:eastAsia="Times New Roman" w:hAnsi="Times New Roman" w:cs="Times New Roman"/>
          <w:sz w:val="28"/>
          <w:szCs w:val="28"/>
          <w:lang w:eastAsia="ru-RU"/>
        </w:rPr>
        <w:t xml:space="preserve"> року співробітники Центру прийняли участь (на території України): у 6 інспекційних перевірках клінічних випробувань лікарських засобів, що проводились представниками Food and Drug Administration, U.S.</w:t>
      </w:r>
      <w:r w:rsidR="00800A67" w:rsidRPr="0089786F">
        <w:rPr>
          <w:rFonts w:ascii="Times New Roman" w:eastAsia="Times New Roman" w:hAnsi="Times New Roman" w:cs="Times New Roman"/>
          <w:sz w:val="28"/>
          <w:szCs w:val="28"/>
          <w:lang w:eastAsia="ru-RU"/>
        </w:rPr>
        <w:t>(FDA)</w:t>
      </w:r>
      <w:r w:rsidRPr="0089786F">
        <w:rPr>
          <w:rFonts w:ascii="Times New Roman" w:eastAsia="Times New Roman" w:hAnsi="Times New Roman" w:cs="Times New Roman"/>
          <w:sz w:val="28"/>
          <w:szCs w:val="28"/>
          <w:lang w:eastAsia="ru-RU"/>
        </w:rPr>
        <w:t>, у 3 інспекційних перевірках клінічних випробувань лікарського засобу, що проводилися представниками European Medicines Agency</w:t>
      </w:r>
      <w:r w:rsidR="00800A67" w:rsidRPr="0089786F">
        <w:rPr>
          <w:rFonts w:ascii="Times New Roman" w:eastAsia="Times New Roman" w:hAnsi="Times New Roman" w:cs="Times New Roman"/>
          <w:sz w:val="28"/>
          <w:szCs w:val="28"/>
          <w:lang w:eastAsia="ru-RU"/>
        </w:rPr>
        <w:t>(EMA)</w:t>
      </w:r>
      <w:r w:rsidRPr="0089786F">
        <w:rPr>
          <w:rFonts w:ascii="Times New Roman" w:eastAsia="Times New Roman" w:hAnsi="Times New Roman" w:cs="Times New Roman"/>
          <w:sz w:val="28"/>
          <w:szCs w:val="28"/>
          <w:lang w:eastAsia="ru-RU"/>
        </w:rPr>
        <w:t>, у 1 інспекційній перевірці клінічного випробування лікарського засобу, що проводилась представниками регуляторного органу Японії – Pharmaceuticals and Medical Devices Agency (PMDA) та у 1 інспекції що проводилась представник</w:t>
      </w:r>
      <w:r w:rsidR="00800A67" w:rsidRPr="0089786F">
        <w:rPr>
          <w:rFonts w:ascii="Times New Roman" w:eastAsia="Times New Roman" w:hAnsi="Times New Roman" w:cs="Times New Roman"/>
          <w:sz w:val="28"/>
          <w:szCs w:val="28"/>
          <w:lang w:eastAsia="ru-RU"/>
        </w:rPr>
        <w:t xml:space="preserve">ами регуляторного органу Литви </w:t>
      </w:r>
      <w:r w:rsidRPr="0089786F">
        <w:rPr>
          <w:rFonts w:ascii="Times New Roman" w:eastAsia="Times New Roman" w:hAnsi="Times New Roman" w:cs="Times New Roman"/>
          <w:sz w:val="28"/>
          <w:szCs w:val="28"/>
          <w:lang w:eastAsia="ru-RU"/>
        </w:rPr>
        <w:t>State Medici</w:t>
      </w:r>
      <w:r w:rsidR="00800A67" w:rsidRPr="0089786F">
        <w:rPr>
          <w:rFonts w:ascii="Times New Roman" w:eastAsia="Times New Roman" w:hAnsi="Times New Roman" w:cs="Times New Roman"/>
          <w:sz w:val="28"/>
          <w:szCs w:val="28"/>
          <w:lang w:eastAsia="ru-RU"/>
        </w:rPr>
        <w:t>nes Control Agency of Lithuania (SMCAL)</w:t>
      </w:r>
      <w:r w:rsidRPr="0089786F">
        <w:rPr>
          <w:rFonts w:ascii="Times New Roman" w:eastAsia="Times New Roman" w:hAnsi="Times New Roman" w:cs="Times New Roman"/>
          <w:sz w:val="28"/>
          <w:szCs w:val="28"/>
          <w:lang w:eastAsia="ru-RU"/>
        </w:rPr>
        <w:t xml:space="preserve">. </w:t>
      </w:r>
    </w:p>
    <w:p w:rsidR="005F32E8" w:rsidRPr="0089786F" w:rsidRDefault="005F32E8" w:rsidP="005F32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Інспектори ЕМА, FDA, PMDA та SMCAL визнали функціонування системи клінічних випробувань в Україні як достатньо розвинуте. Також, висловили подяку за участь у проведені перевірки представників Державного експертного центру МОЗ України та сподівання на майбутню співпрацю. Такі сумісні заходи показали, що КВ в Україні проводяться на відповідному рівні щодо вимог нормативної бази України та міжнародних стандартів проведення КВ. </w:t>
      </w:r>
    </w:p>
    <w:p w:rsidR="005F32E8" w:rsidRPr="0089786F" w:rsidRDefault="005F32E8" w:rsidP="005F32E8">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З 2014 співробітники Центру регулярно приймають участь у робочих нарадах - семінарах GCP Інспекторів, які проводить Європейська медична агенція (ЕМА). На цих семінарах обговорювався єдиний підхід до проведення інспекційних перевірок КВ в країнах Європейського Союзу. В 2015, 2017 та </w:t>
      </w:r>
      <w:r w:rsidRPr="0089786F">
        <w:rPr>
          <w:rFonts w:ascii="Times New Roman" w:eastAsia="Times New Roman" w:hAnsi="Times New Roman" w:cs="Times New Roman"/>
          <w:sz w:val="28"/>
          <w:szCs w:val="28"/>
          <w:lang w:eastAsia="ru-RU"/>
        </w:rPr>
        <w:lastRenderedPageBreak/>
        <w:t xml:space="preserve">2018рр. співробітники відділу клінічного аудиту  отримали сертифікати після успішного проходження тренінгу «GCP Inspector’s basic training course», ЕМА. </w:t>
      </w:r>
    </w:p>
    <w:p w:rsidR="005F32E8" w:rsidRPr="0089786F" w:rsidRDefault="005F32E8" w:rsidP="005F32E8">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З метою роз’яснення основних положень наказу МОЗ України від 23.09.2009 р. за № 690 зі змінами, та міжнародних вимог щодо проведення КВ Центром у 2015 році було організовано та проведено 10 навчальних семінарів для 428 слухачів, 2016 році - 17 семінарів, в яких прийняло участь 977 слухачів, в 2017 році 18 семінарів в яких прийняли участь </w:t>
      </w:r>
      <w:r w:rsidRPr="0089786F">
        <w:rPr>
          <w:rFonts w:ascii="Times New Roman" w:hAnsi="Times New Roman" w:cs="Times New Roman"/>
          <w:sz w:val="28"/>
          <w:szCs w:val="28"/>
        </w:rPr>
        <w:t>1476</w:t>
      </w:r>
      <w:r w:rsidRPr="0089786F">
        <w:rPr>
          <w:rFonts w:ascii="Times New Roman" w:eastAsia="Times New Roman" w:hAnsi="Times New Roman" w:cs="Times New Roman"/>
          <w:sz w:val="28"/>
          <w:szCs w:val="28"/>
          <w:lang w:eastAsia="ru-RU"/>
        </w:rPr>
        <w:t xml:space="preserve"> слухачів та </w:t>
      </w:r>
      <w:r w:rsidR="00AF03B5">
        <w:rPr>
          <w:rFonts w:ascii="Times New Roman" w:eastAsia="Times New Roman" w:hAnsi="Times New Roman" w:cs="Times New Roman"/>
          <w:sz w:val="28"/>
          <w:szCs w:val="28"/>
          <w:lang w:eastAsia="ru-RU"/>
        </w:rPr>
        <w:t>18</w:t>
      </w:r>
      <w:r w:rsidRPr="0089786F">
        <w:rPr>
          <w:rFonts w:ascii="Times New Roman" w:eastAsia="Times New Roman" w:hAnsi="Times New Roman" w:cs="Times New Roman"/>
          <w:sz w:val="28"/>
          <w:szCs w:val="28"/>
          <w:lang w:eastAsia="ru-RU"/>
        </w:rPr>
        <w:t xml:space="preserve"> семінарів, в яких прийняло участь </w:t>
      </w:r>
      <w:r w:rsidR="00AF03B5">
        <w:rPr>
          <w:rFonts w:ascii="Times New Roman" w:eastAsia="Times New Roman" w:hAnsi="Times New Roman" w:cs="Times New Roman"/>
          <w:sz w:val="28"/>
          <w:szCs w:val="28"/>
          <w:lang w:eastAsia="ru-RU"/>
        </w:rPr>
        <w:t>1353</w:t>
      </w:r>
      <w:r w:rsidRPr="0089786F">
        <w:rPr>
          <w:rFonts w:ascii="Times New Roman" w:eastAsia="Times New Roman" w:hAnsi="Times New Roman" w:cs="Times New Roman"/>
          <w:sz w:val="28"/>
          <w:szCs w:val="28"/>
          <w:lang w:eastAsia="ru-RU"/>
        </w:rPr>
        <w:t xml:space="preserve"> слухачів, що були проведені </w:t>
      </w:r>
      <w:r w:rsidR="00AF03B5">
        <w:rPr>
          <w:rFonts w:ascii="Times New Roman" w:eastAsia="Times New Roman" w:hAnsi="Times New Roman" w:cs="Times New Roman"/>
          <w:sz w:val="28"/>
          <w:szCs w:val="28"/>
          <w:lang w:eastAsia="ru-RU"/>
        </w:rPr>
        <w:t>в</w:t>
      </w:r>
      <w:r w:rsidRPr="0089786F">
        <w:rPr>
          <w:rFonts w:ascii="Times New Roman" w:eastAsia="Times New Roman" w:hAnsi="Times New Roman" w:cs="Times New Roman"/>
          <w:sz w:val="28"/>
          <w:szCs w:val="28"/>
          <w:lang w:eastAsia="ru-RU"/>
        </w:rPr>
        <w:t xml:space="preserve"> 201</w:t>
      </w:r>
      <w:r w:rsidR="00AF03B5">
        <w:rPr>
          <w:rFonts w:ascii="Times New Roman" w:eastAsia="Times New Roman" w:hAnsi="Times New Roman" w:cs="Times New Roman"/>
          <w:sz w:val="28"/>
          <w:szCs w:val="28"/>
          <w:lang w:eastAsia="ru-RU"/>
        </w:rPr>
        <w:t>8</w:t>
      </w:r>
      <w:r w:rsidRPr="0089786F">
        <w:rPr>
          <w:rFonts w:ascii="Times New Roman" w:eastAsia="Times New Roman" w:hAnsi="Times New Roman" w:cs="Times New Roman"/>
          <w:sz w:val="28"/>
          <w:szCs w:val="28"/>
          <w:lang w:eastAsia="ru-RU"/>
        </w:rPr>
        <w:t xml:space="preserve"> ро</w:t>
      </w:r>
      <w:r w:rsidR="00AF03B5">
        <w:rPr>
          <w:rFonts w:ascii="Times New Roman" w:eastAsia="Times New Roman" w:hAnsi="Times New Roman" w:cs="Times New Roman"/>
          <w:sz w:val="28"/>
          <w:szCs w:val="28"/>
          <w:lang w:eastAsia="ru-RU"/>
        </w:rPr>
        <w:t>ці</w:t>
      </w:r>
      <w:r w:rsidRPr="0089786F">
        <w:rPr>
          <w:rFonts w:ascii="Times New Roman" w:eastAsia="Times New Roman" w:hAnsi="Times New Roman" w:cs="Times New Roman"/>
          <w:sz w:val="28"/>
          <w:szCs w:val="28"/>
          <w:lang w:eastAsia="ru-RU"/>
        </w:rPr>
        <w:t>.</w:t>
      </w:r>
    </w:p>
    <w:p w:rsidR="005F32E8" w:rsidRPr="0089786F" w:rsidRDefault="005F32E8" w:rsidP="005F32E8">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Для популяризації проведення КВ в Україні, Центром було організовано та проведено шість науково – практичних конференцій з міжнародною участю (2006, 2008, 2010, 2012, 2015, 2017</w:t>
      </w:r>
      <w:r w:rsidR="00AF03B5">
        <w:rPr>
          <w:rFonts w:ascii="Times New Roman" w:eastAsia="Times New Roman" w:hAnsi="Times New Roman" w:cs="Times New Roman"/>
          <w:sz w:val="28"/>
          <w:szCs w:val="28"/>
          <w:lang w:eastAsia="ru-RU"/>
        </w:rPr>
        <w:t>, 2018</w:t>
      </w:r>
      <w:r w:rsidRPr="0089786F">
        <w:rPr>
          <w:rFonts w:ascii="Times New Roman" w:eastAsia="Times New Roman" w:hAnsi="Times New Roman" w:cs="Times New Roman"/>
          <w:sz w:val="28"/>
          <w:szCs w:val="28"/>
          <w:lang w:eastAsia="ru-RU"/>
        </w:rPr>
        <w:t>), на яких обговорювали актуальні проблеми, які виникають під час  проведення КВ в Україні та підходи до їх вирішення.</w:t>
      </w:r>
    </w:p>
    <w:p w:rsidR="005F32E8" w:rsidRPr="0089786F" w:rsidRDefault="005F32E8" w:rsidP="005F32E8">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 xml:space="preserve">В Україні створена нормативна база, яка дозволяє проводити клінічні випробування у відповідності до міжнародних стандартів. В той же час, стратегія інтеграції України в Європейське Співтовариство вимагає проведення подальших заходів щодо гармонізації системи регламентації у відношенні лікарських засобів в Україні відповідно до стандартів та директив ЄС. </w:t>
      </w:r>
    </w:p>
    <w:p w:rsidR="005F32E8" w:rsidRPr="0089786F" w:rsidRDefault="005F32E8" w:rsidP="005F32E8">
      <w:pPr>
        <w:spacing w:after="0" w:line="240" w:lineRule="auto"/>
        <w:ind w:firstLine="708"/>
        <w:jc w:val="both"/>
        <w:rPr>
          <w:rFonts w:ascii="Times New Roman" w:eastAsia="Times New Roman" w:hAnsi="Times New Roman" w:cs="Times New Roman"/>
          <w:sz w:val="28"/>
          <w:szCs w:val="28"/>
          <w:lang w:eastAsia="ru-RU"/>
        </w:rPr>
      </w:pPr>
      <w:r w:rsidRPr="0089786F">
        <w:rPr>
          <w:rFonts w:ascii="Times New Roman" w:eastAsia="Times New Roman" w:hAnsi="Times New Roman" w:cs="Times New Roman"/>
          <w:sz w:val="28"/>
          <w:szCs w:val="28"/>
          <w:lang w:eastAsia="ru-RU"/>
        </w:rPr>
        <w:t>На теперішній час з метою імплементації Integrated Addendum to ICH E6(R1): Guideline for Good Clinical Practice E6(R2) Current Step 4 version dated 9 November 2016, Наказом Міністерства охорони здоров'я № 1169 від 26.09.2017 внесено зміни до наказу №95 від 16.02.2009р., яким затверджена настанова «Належна клінічна практика», що забезпечить проведення КВ на сучасному рівні.</w:t>
      </w:r>
    </w:p>
    <w:p w:rsidR="005F32E8" w:rsidRPr="0089786F" w:rsidRDefault="005F32E8" w:rsidP="005F32E8">
      <w:pPr>
        <w:widowControl w:val="0"/>
        <w:suppressLineNumbers/>
        <w:suppressAutoHyphens/>
        <w:adjustRightInd w:val="0"/>
        <w:spacing w:after="0" w:line="240" w:lineRule="auto"/>
        <w:ind w:firstLine="567"/>
        <w:jc w:val="both"/>
        <w:textAlignment w:val="baseline"/>
        <w:rPr>
          <w:rFonts w:ascii="Times New Roman" w:eastAsia="Lucida Sans Unicode" w:hAnsi="Times New Roman" w:cs="Times New Roman"/>
          <w:kern w:val="2"/>
          <w:sz w:val="28"/>
          <w:szCs w:val="28"/>
          <w:lang w:eastAsia="ru-RU"/>
        </w:rPr>
      </w:pPr>
      <w:r w:rsidRPr="0089786F">
        <w:rPr>
          <w:rFonts w:ascii="Times New Roman" w:eastAsia="Lucida Sans Unicode" w:hAnsi="Times New Roman" w:cs="Times New Roman"/>
          <w:kern w:val="2"/>
          <w:sz w:val="28"/>
          <w:szCs w:val="28"/>
          <w:lang w:eastAsia="ru-RU"/>
        </w:rPr>
        <w:t xml:space="preserve">Таким чином можемо стверджувати, що КВ в Україні проводиться  з дотриманням  сучасної  нормативно-правової бази, яка відповідає  світовим стандартам та  нормам в галузі охорони здоров’я. </w:t>
      </w:r>
      <w:r w:rsidRPr="0089786F">
        <w:rPr>
          <w:rFonts w:ascii="Times New Roman" w:eastAsia="Times New Roman" w:hAnsi="Times New Roman" w:cs="Arial"/>
          <w:sz w:val="28"/>
          <w:szCs w:val="28"/>
          <w:lang w:eastAsia="ru-RU"/>
        </w:rPr>
        <w:t>В той же час, стратегія інтеграції України в Європейське Співтовариство вимагає проведення подальших заходів щодо гармонізації системи в Україні відповідно до стандартів та директив ЄС.</w:t>
      </w:r>
    </w:p>
    <w:p w:rsidR="005F32E8" w:rsidRPr="0089786F" w:rsidRDefault="00187B64" w:rsidP="00187B64">
      <w:pPr>
        <w:widowControl w:val="0"/>
        <w:suppressLineNumbers/>
        <w:suppressAutoHyphens/>
        <w:adjustRightInd w:val="0"/>
        <w:spacing w:after="0" w:line="240" w:lineRule="auto"/>
        <w:ind w:firstLine="709"/>
        <w:jc w:val="both"/>
        <w:textAlignment w:val="baseline"/>
        <w:rPr>
          <w:rFonts w:ascii="Times New Roman" w:eastAsia="Lucida Sans Unicode" w:hAnsi="Times New Roman" w:cs="Times New Roman"/>
          <w:kern w:val="2"/>
          <w:sz w:val="28"/>
          <w:szCs w:val="28"/>
          <w:lang w:eastAsia="ru-RU"/>
        </w:rPr>
      </w:pPr>
      <w:r w:rsidRPr="00187B64">
        <w:rPr>
          <w:rFonts w:ascii="Times New Roman" w:eastAsia="Lucida Sans Unicode" w:hAnsi="Times New Roman" w:cs="Times New Roman"/>
          <w:kern w:val="2"/>
          <w:sz w:val="28"/>
          <w:szCs w:val="28"/>
          <w:lang w:eastAsia="ru-RU"/>
        </w:rPr>
        <w:t>В результі тривалої співпраці з Радою міжнародних організацій медичних наук (Council for International Organizations of Medical Sciences) був оприлюднений переклад українською мовою «International Ethical Guidelines for Health-related Research Involving Humans», Fourth Edition, 2016: «Міжнародні етичні рекомендації щодо досліджень, пов’язаних із здоров’ям, за участю людей» (https://cioms.ch/shop).</w:t>
      </w:r>
    </w:p>
    <w:p w:rsidR="008B18BE" w:rsidRPr="0089786F" w:rsidRDefault="008B18BE" w:rsidP="008B18BE">
      <w:pPr>
        <w:spacing w:after="0" w:line="360" w:lineRule="auto"/>
        <w:jc w:val="both"/>
        <w:rPr>
          <w:rFonts w:ascii="Times New Roman" w:eastAsia="Times New Roman" w:hAnsi="Times New Roman" w:cs="Times New Roman"/>
          <w:sz w:val="28"/>
          <w:szCs w:val="28"/>
          <w:lang w:eastAsia="uk-UA"/>
        </w:rPr>
      </w:pPr>
    </w:p>
    <w:p w:rsidR="000C5EC5" w:rsidRPr="0089786F" w:rsidRDefault="003D7487">
      <w:r w:rsidRPr="0089786F">
        <w:tab/>
      </w:r>
    </w:p>
    <w:sectPr w:rsidR="000C5EC5" w:rsidRPr="0089786F" w:rsidSect="008A68DE">
      <w:footerReference w:type="even" r:id="rId38"/>
      <w:footerReference w:type="default" r:id="rId39"/>
      <w:footerReference w:type="firs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35D" w:rsidRDefault="0073535D">
      <w:pPr>
        <w:spacing w:after="0" w:line="240" w:lineRule="auto"/>
      </w:pPr>
      <w:r>
        <w:separator/>
      </w:r>
    </w:p>
  </w:endnote>
  <w:endnote w:type="continuationSeparator" w:id="0">
    <w:p w:rsidR="0073535D" w:rsidRDefault="0073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TT">
    <w:altName w:val="Times New Roman"/>
    <w:charset w:val="CC"/>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83" w:rsidRDefault="00405498" w:rsidP="008A68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86383" w:rsidRDefault="0073535D" w:rsidP="008A68D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83" w:rsidRDefault="00405498" w:rsidP="008A68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26244">
      <w:rPr>
        <w:rStyle w:val="a6"/>
        <w:noProof/>
      </w:rPr>
      <w:t>18</w:t>
    </w:r>
    <w:r>
      <w:rPr>
        <w:rStyle w:val="a6"/>
      </w:rPr>
      <w:fldChar w:fldCharType="end"/>
    </w:r>
  </w:p>
  <w:p w:rsidR="00886383" w:rsidRDefault="0073535D" w:rsidP="008A68D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269854"/>
      <w:docPartObj>
        <w:docPartGallery w:val="Page Numbers (Bottom of Page)"/>
        <w:docPartUnique/>
      </w:docPartObj>
    </w:sdtPr>
    <w:sdtEndPr/>
    <w:sdtContent>
      <w:p w:rsidR="000D3168" w:rsidRDefault="000D3168">
        <w:pPr>
          <w:pStyle w:val="a3"/>
          <w:jc w:val="right"/>
        </w:pPr>
        <w:r>
          <w:fldChar w:fldCharType="begin"/>
        </w:r>
        <w:r>
          <w:instrText>PAGE   \* MERGEFORMAT</w:instrText>
        </w:r>
        <w:r>
          <w:fldChar w:fldCharType="separate"/>
        </w:r>
        <w:r w:rsidR="00626244" w:rsidRPr="00626244">
          <w:rPr>
            <w:noProof/>
            <w:lang w:val="ru-RU"/>
          </w:rPr>
          <w:t>1</w:t>
        </w:r>
        <w:r>
          <w:fldChar w:fldCharType="end"/>
        </w:r>
      </w:p>
    </w:sdtContent>
  </w:sdt>
  <w:p w:rsidR="000D3168" w:rsidRDefault="000D31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35D" w:rsidRDefault="0073535D">
      <w:pPr>
        <w:spacing w:after="0" w:line="240" w:lineRule="auto"/>
      </w:pPr>
      <w:r>
        <w:separator/>
      </w:r>
    </w:p>
  </w:footnote>
  <w:footnote w:type="continuationSeparator" w:id="0">
    <w:p w:rsidR="0073535D" w:rsidRDefault="00735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B0C49"/>
    <w:multiLevelType w:val="hybridMultilevel"/>
    <w:tmpl w:val="03DA120E"/>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F90909"/>
    <w:multiLevelType w:val="hybridMultilevel"/>
    <w:tmpl w:val="9E3E4140"/>
    <w:lvl w:ilvl="0" w:tplc="B5C25E4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C22CD7"/>
    <w:multiLevelType w:val="hybridMultilevel"/>
    <w:tmpl w:val="ED1E3A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E0"/>
    <w:rsid w:val="00010701"/>
    <w:rsid w:val="00014D80"/>
    <w:rsid w:val="000322FB"/>
    <w:rsid w:val="00033022"/>
    <w:rsid w:val="0003747D"/>
    <w:rsid w:val="00041682"/>
    <w:rsid w:val="000523E3"/>
    <w:rsid w:val="0005290D"/>
    <w:rsid w:val="0006273F"/>
    <w:rsid w:val="00065E02"/>
    <w:rsid w:val="0009016A"/>
    <w:rsid w:val="000A6932"/>
    <w:rsid w:val="000C526D"/>
    <w:rsid w:val="000C5EC5"/>
    <w:rsid w:val="000C5FE1"/>
    <w:rsid w:val="000C63FF"/>
    <w:rsid w:val="000D3168"/>
    <w:rsid w:val="000F47A1"/>
    <w:rsid w:val="000F697E"/>
    <w:rsid w:val="00114FC9"/>
    <w:rsid w:val="00121A0E"/>
    <w:rsid w:val="00145B62"/>
    <w:rsid w:val="00147803"/>
    <w:rsid w:val="00162C62"/>
    <w:rsid w:val="00165AFD"/>
    <w:rsid w:val="00175F25"/>
    <w:rsid w:val="00176A63"/>
    <w:rsid w:val="0018609C"/>
    <w:rsid w:val="00187B64"/>
    <w:rsid w:val="00192F33"/>
    <w:rsid w:val="00195CA7"/>
    <w:rsid w:val="0019633B"/>
    <w:rsid w:val="001A7FD5"/>
    <w:rsid w:val="001B155C"/>
    <w:rsid w:val="001B5029"/>
    <w:rsid w:val="001C5653"/>
    <w:rsid w:val="001C5F54"/>
    <w:rsid w:val="001E108C"/>
    <w:rsid w:val="001F0ECD"/>
    <w:rsid w:val="001F7618"/>
    <w:rsid w:val="00203489"/>
    <w:rsid w:val="00204D9B"/>
    <w:rsid w:val="00207FF3"/>
    <w:rsid w:val="00213BC4"/>
    <w:rsid w:val="00221C5D"/>
    <w:rsid w:val="00226F0D"/>
    <w:rsid w:val="002324FF"/>
    <w:rsid w:val="00236ABF"/>
    <w:rsid w:val="002373A5"/>
    <w:rsid w:val="00246576"/>
    <w:rsid w:val="002540D7"/>
    <w:rsid w:val="00260D02"/>
    <w:rsid w:val="00264E87"/>
    <w:rsid w:val="00266403"/>
    <w:rsid w:val="002B4A41"/>
    <w:rsid w:val="002B6D94"/>
    <w:rsid w:val="002C1696"/>
    <w:rsid w:val="002C35CE"/>
    <w:rsid w:val="002C672D"/>
    <w:rsid w:val="002D00A2"/>
    <w:rsid w:val="002D3BD6"/>
    <w:rsid w:val="002F34B2"/>
    <w:rsid w:val="002F6312"/>
    <w:rsid w:val="003151D4"/>
    <w:rsid w:val="0033451D"/>
    <w:rsid w:val="003416CD"/>
    <w:rsid w:val="0035492C"/>
    <w:rsid w:val="00367ACB"/>
    <w:rsid w:val="00371BFC"/>
    <w:rsid w:val="00377A59"/>
    <w:rsid w:val="003838C9"/>
    <w:rsid w:val="00390E14"/>
    <w:rsid w:val="00396C0F"/>
    <w:rsid w:val="00397876"/>
    <w:rsid w:val="003A12F2"/>
    <w:rsid w:val="003A41D0"/>
    <w:rsid w:val="003A65A4"/>
    <w:rsid w:val="003A6A79"/>
    <w:rsid w:val="003B3836"/>
    <w:rsid w:val="003B5E81"/>
    <w:rsid w:val="003C48FD"/>
    <w:rsid w:val="003C60DD"/>
    <w:rsid w:val="003D3E58"/>
    <w:rsid w:val="003D7487"/>
    <w:rsid w:val="003D76AD"/>
    <w:rsid w:val="003E00E3"/>
    <w:rsid w:val="003E1E11"/>
    <w:rsid w:val="003E2EA3"/>
    <w:rsid w:val="003E6B3E"/>
    <w:rsid w:val="00403DBF"/>
    <w:rsid w:val="00405498"/>
    <w:rsid w:val="004055CE"/>
    <w:rsid w:val="00406868"/>
    <w:rsid w:val="004227FA"/>
    <w:rsid w:val="00423471"/>
    <w:rsid w:val="004369BA"/>
    <w:rsid w:val="00441DE5"/>
    <w:rsid w:val="00442606"/>
    <w:rsid w:val="0045792D"/>
    <w:rsid w:val="00480CB5"/>
    <w:rsid w:val="00481CBE"/>
    <w:rsid w:val="00485B1C"/>
    <w:rsid w:val="00490729"/>
    <w:rsid w:val="00491D2B"/>
    <w:rsid w:val="004944B8"/>
    <w:rsid w:val="00494ACA"/>
    <w:rsid w:val="00497BEB"/>
    <w:rsid w:val="004A0CC4"/>
    <w:rsid w:val="004A2073"/>
    <w:rsid w:val="004A40C7"/>
    <w:rsid w:val="004B0228"/>
    <w:rsid w:val="004B272D"/>
    <w:rsid w:val="004C0949"/>
    <w:rsid w:val="004C5815"/>
    <w:rsid w:val="004C635D"/>
    <w:rsid w:val="004E11A7"/>
    <w:rsid w:val="004E198C"/>
    <w:rsid w:val="004F0BCA"/>
    <w:rsid w:val="004F499E"/>
    <w:rsid w:val="00504D4E"/>
    <w:rsid w:val="0052152D"/>
    <w:rsid w:val="00525339"/>
    <w:rsid w:val="00526537"/>
    <w:rsid w:val="005317F2"/>
    <w:rsid w:val="00532A9C"/>
    <w:rsid w:val="0053348C"/>
    <w:rsid w:val="00534187"/>
    <w:rsid w:val="0053566E"/>
    <w:rsid w:val="005401BE"/>
    <w:rsid w:val="00556C6B"/>
    <w:rsid w:val="00564578"/>
    <w:rsid w:val="00571489"/>
    <w:rsid w:val="00591BBB"/>
    <w:rsid w:val="00592944"/>
    <w:rsid w:val="00597AA6"/>
    <w:rsid w:val="005A278C"/>
    <w:rsid w:val="005A472B"/>
    <w:rsid w:val="005A6CEA"/>
    <w:rsid w:val="005B3FC1"/>
    <w:rsid w:val="005C2B06"/>
    <w:rsid w:val="005C519E"/>
    <w:rsid w:val="005D2EF1"/>
    <w:rsid w:val="005E5EE0"/>
    <w:rsid w:val="005F1F8A"/>
    <w:rsid w:val="005F32E8"/>
    <w:rsid w:val="005F4B39"/>
    <w:rsid w:val="00600C6F"/>
    <w:rsid w:val="00601198"/>
    <w:rsid w:val="00603CEB"/>
    <w:rsid w:val="00605865"/>
    <w:rsid w:val="00606D3E"/>
    <w:rsid w:val="006072DD"/>
    <w:rsid w:val="00610C16"/>
    <w:rsid w:val="00615AEF"/>
    <w:rsid w:val="00625DC6"/>
    <w:rsid w:val="00626244"/>
    <w:rsid w:val="00636EA3"/>
    <w:rsid w:val="00641DE2"/>
    <w:rsid w:val="00644850"/>
    <w:rsid w:val="00645DC6"/>
    <w:rsid w:val="00652BD7"/>
    <w:rsid w:val="00657FD6"/>
    <w:rsid w:val="00690FEE"/>
    <w:rsid w:val="00695F11"/>
    <w:rsid w:val="006A2AF3"/>
    <w:rsid w:val="006B4934"/>
    <w:rsid w:val="006C5AE4"/>
    <w:rsid w:val="006D5F86"/>
    <w:rsid w:val="006E239C"/>
    <w:rsid w:val="00700629"/>
    <w:rsid w:val="00701406"/>
    <w:rsid w:val="007015D0"/>
    <w:rsid w:val="00707B2B"/>
    <w:rsid w:val="00714A0B"/>
    <w:rsid w:val="00717A30"/>
    <w:rsid w:val="0072658E"/>
    <w:rsid w:val="00726D06"/>
    <w:rsid w:val="0073535D"/>
    <w:rsid w:val="007463EB"/>
    <w:rsid w:val="00750858"/>
    <w:rsid w:val="007533CC"/>
    <w:rsid w:val="0076493E"/>
    <w:rsid w:val="0076534A"/>
    <w:rsid w:val="0076567E"/>
    <w:rsid w:val="0077717A"/>
    <w:rsid w:val="00781454"/>
    <w:rsid w:val="007A77CE"/>
    <w:rsid w:val="007B7285"/>
    <w:rsid w:val="007C4EA5"/>
    <w:rsid w:val="007D6095"/>
    <w:rsid w:val="007D6327"/>
    <w:rsid w:val="007E25BC"/>
    <w:rsid w:val="00800A67"/>
    <w:rsid w:val="008038D6"/>
    <w:rsid w:val="008042B6"/>
    <w:rsid w:val="008059B9"/>
    <w:rsid w:val="00806D3C"/>
    <w:rsid w:val="00807B9B"/>
    <w:rsid w:val="008116D5"/>
    <w:rsid w:val="008122E4"/>
    <w:rsid w:val="00827510"/>
    <w:rsid w:val="008326A5"/>
    <w:rsid w:val="00832BE7"/>
    <w:rsid w:val="00835035"/>
    <w:rsid w:val="00835A22"/>
    <w:rsid w:val="00846A35"/>
    <w:rsid w:val="008571F7"/>
    <w:rsid w:val="00861E2D"/>
    <w:rsid w:val="0086561B"/>
    <w:rsid w:val="00885BCA"/>
    <w:rsid w:val="00890186"/>
    <w:rsid w:val="00894B45"/>
    <w:rsid w:val="00895020"/>
    <w:rsid w:val="0089786F"/>
    <w:rsid w:val="008A0781"/>
    <w:rsid w:val="008B18BE"/>
    <w:rsid w:val="008B19BF"/>
    <w:rsid w:val="008C09BA"/>
    <w:rsid w:val="008C28C8"/>
    <w:rsid w:val="008E3098"/>
    <w:rsid w:val="008E7977"/>
    <w:rsid w:val="008F0605"/>
    <w:rsid w:val="008F4855"/>
    <w:rsid w:val="008F5692"/>
    <w:rsid w:val="00914D58"/>
    <w:rsid w:val="00920504"/>
    <w:rsid w:val="0092541C"/>
    <w:rsid w:val="00930D37"/>
    <w:rsid w:val="00934B0C"/>
    <w:rsid w:val="0093539F"/>
    <w:rsid w:val="00940107"/>
    <w:rsid w:val="0094603E"/>
    <w:rsid w:val="0094644D"/>
    <w:rsid w:val="0095344A"/>
    <w:rsid w:val="00953635"/>
    <w:rsid w:val="0096543C"/>
    <w:rsid w:val="00965A95"/>
    <w:rsid w:val="00972A20"/>
    <w:rsid w:val="009756A8"/>
    <w:rsid w:val="00976ADC"/>
    <w:rsid w:val="00981997"/>
    <w:rsid w:val="009865D3"/>
    <w:rsid w:val="00997170"/>
    <w:rsid w:val="009A06DE"/>
    <w:rsid w:val="009B179A"/>
    <w:rsid w:val="009B54C8"/>
    <w:rsid w:val="009C4FB1"/>
    <w:rsid w:val="009D3923"/>
    <w:rsid w:val="009E1763"/>
    <w:rsid w:val="009E1DF4"/>
    <w:rsid w:val="009F1ABC"/>
    <w:rsid w:val="009F4402"/>
    <w:rsid w:val="009F7747"/>
    <w:rsid w:val="00A13D64"/>
    <w:rsid w:val="00A307F0"/>
    <w:rsid w:val="00A35063"/>
    <w:rsid w:val="00A36DEF"/>
    <w:rsid w:val="00A372D5"/>
    <w:rsid w:val="00A41708"/>
    <w:rsid w:val="00A47372"/>
    <w:rsid w:val="00A50EA6"/>
    <w:rsid w:val="00A52377"/>
    <w:rsid w:val="00A7554F"/>
    <w:rsid w:val="00A939E8"/>
    <w:rsid w:val="00A9401D"/>
    <w:rsid w:val="00A941CD"/>
    <w:rsid w:val="00A967F7"/>
    <w:rsid w:val="00AA1904"/>
    <w:rsid w:val="00AA2F7E"/>
    <w:rsid w:val="00AB6648"/>
    <w:rsid w:val="00AB69C4"/>
    <w:rsid w:val="00AB77C1"/>
    <w:rsid w:val="00AE0609"/>
    <w:rsid w:val="00AE7F41"/>
    <w:rsid w:val="00AF03B5"/>
    <w:rsid w:val="00AF2134"/>
    <w:rsid w:val="00AF791D"/>
    <w:rsid w:val="00B04B43"/>
    <w:rsid w:val="00B052A1"/>
    <w:rsid w:val="00B064F4"/>
    <w:rsid w:val="00B32175"/>
    <w:rsid w:val="00B50691"/>
    <w:rsid w:val="00B62E38"/>
    <w:rsid w:val="00B7064A"/>
    <w:rsid w:val="00B75FFC"/>
    <w:rsid w:val="00B85C71"/>
    <w:rsid w:val="00B94CD3"/>
    <w:rsid w:val="00B97666"/>
    <w:rsid w:val="00B97FEF"/>
    <w:rsid w:val="00BA1D51"/>
    <w:rsid w:val="00BB18F2"/>
    <w:rsid w:val="00BB5EC4"/>
    <w:rsid w:val="00BC78B0"/>
    <w:rsid w:val="00BD6079"/>
    <w:rsid w:val="00BD67DE"/>
    <w:rsid w:val="00BD73D3"/>
    <w:rsid w:val="00BE0F36"/>
    <w:rsid w:val="00BE1186"/>
    <w:rsid w:val="00BE50F6"/>
    <w:rsid w:val="00BF1718"/>
    <w:rsid w:val="00C1048F"/>
    <w:rsid w:val="00C11729"/>
    <w:rsid w:val="00C16513"/>
    <w:rsid w:val="00C16BC9"/>
    <w:rsid w:val="00C30508"/>
    <w:rsid w:val="00C46497"/>
    <w:rsid w:val="00C50009"/>
    <w:rsid w:val="00C51BA3"/>
    <w:rsid w:val="00C54C47"/>
    <w:rsid w:val="00C560DF"/>
    <w:rsid w:val="00C563EB"/>
    <w:rsid w:val="00C56E2A"/>
    <w:rsid w:val="00C57864"/>
    <w:rsid w:val="00C610C5"/>
    <w:rsid w:val="00C614CF"/>
    <w:rsid w:val="00C633A9"/>
    <w:rsid w:val="00C70639"/>
    <w:rsid w:val="00C72102"/>
    <w:rsid w:val="00C72DC8"/>
    <w:rsid w:val="00C826EE"/>
    <w:rsid w:val="00C9061E"/>
    <w:rsid w:val="00C917C8"/>
    <w:rsid w:val="00CC7329"/>
    <w:rsid w:val="00CD6F57"/>
    <w:rsid w:val="00CF23AD"/>
    <w:rsid w:val="00CF244A"/>
    <w:rsid w:val="00CF4D8B"/>
    <w:rsid w:val="00D00EA7"/>
    <w:rsid w:val="00D0173C"/>
    <w:rsid w:val="00D04086"/>
    <w:rsid w:val="00D04FAB"/>
    <w:rsid w:val="00D15537"/>
    <w:rsid w:val="00D16486"/>
    <w:rsid w:val="00D20C95"/>
    <w:rsid w:val="00D26087"/>
    <w:rsid w:val="00D3591B"/>
    <w:rsid w:val="00D376F7"/>
    <w:rsid w:val="00D450BA"/>
    <w:rsid w:val="00D52B59"/>
    <w:rsid w:val="00D65F1C"/>
    <w:rsid w:val="00D66F62"/>
    <w:rsid w:val="00D81166"/>
    <w:rsid w:val="00D94902"/>
    <w:rsid w:val="00D94E0A"/>
    <w:rsid w:val="00DA5CB2"/>
    <w:rsid w:val="00DA62AA"/>
    <w:rsid w:val="00DA7B77"/>
    <w:rsid w:val="00DB43B6"/>
    <w:rsid w:val="00DC533C"/>
    <w:rsid w:val="00DD452E"/>
    <w:rsid w:val="00DD7106"/>
    <w:rsid w:val="00DE68B2"/>
    <w:rsid w:val="00DF5166"/>
    <w:rsid w:val="00DF588B"/>
    <w:rsid w:val="00E07F96"/>
    <w:rsid w:val="00E113F1"/>
    <w:rsid w:val="00E22F8F"/>
    <w:rsid w:val="00E2578B"/>
    <w:rsid w:val="00E26EAD"/>
    <w:rsid w:val="00E3234B"/>
    <w:rsid w:val="00E336E3"/>
    <w:rsid w:val="00E36DCF"/>
    <w:rsid w:val="00E53177"/>
    <w:rsid w:val="00E57ABF"/>
    <w:rsid w:val="00E6596C"/>
    <w:rsid w:val="00E75CAD"/>
    <w:rsid w:val="00E8056F"/>
    <w:rsid w:val="00E87649"/>
    <w:rsid w:val="00E92B90"/>
    <w:rsid w:val="00EA03DC"/>
    <w:rsid w:val="00EA39F0"/>
    <w:rsid w:val="00EA44C4"/>
    <w:rsid w:val="00EB1912"/>
    <w:rsid w:val="00ED1938"/>
    <w:rsid w:val="00EE042A"/>
    <w:rsid w:val="00EE1933"/>
    <w:rsid w:val="00EF16F5"/>
    <w:rsid w:val="00EF3AC6"/>
    <w:rsid w:val="00EF551A"/>
    <w:rsid w:val="00F04797"/>
    <w:rsid w:val="00F175DF"/>
    <w:rsid w:val="00F20A49"/>
    <w:rsid w:val="00F26590"/>
    <w:rsid w:val="00F500F4"/>
    <w:rsid w:val="00F600C0"/>
    <w:rsid w:val="00F64AB7"/>
    <w:rsid w:val="00F756FC"/>
    <w:rsid w:val="00F75C4B"/>
    <w:rsid w:val="00F87922"/>
    <w:rsid w:val="00F9351E"/>
    <w:rsid w:val="00F977C3"/>
    <w:rsid w:val="00FB02DA"/>
    <w:rsid w:val="00FB2765"/>
    <w:rsid w:val="00FC536F"/>
    <w:rsid w:val="00FD1810"/>
    <w:rsid w:val="00FD5FB5"/>
    <w:rsid w:val="00FE33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7DD8A-215C-47CB-9A7F-93E74F52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65A4"/>
    <w:pPr>
      <w:tabs>
        <w:tab w:val="center" w:pos="4819"/>
        <w:tab w:val="right" w:pos="9639"/>
      </w:tabs>
      <w:spacing w:after="0" w:line="240" w:lineRule="auto"/>
    </w:pPr>
  </w:style>
  <w:style w:type="character" w:customStyle="1" w:styleId="a4">
    <w:name w:val="Нижний колонтитул Знак"/>
    <w:basedOn w:val="a0"/>
    <w:link w:val="a3"/>
    <w:uiPriority w:val="99"/>
    <w:rsid w:val="003A65A4"/>
  </w:style>
  <w:style w:type="paragraph" w:styleId="a5">
    <w:name w:val="Normal (Web)"/>
    <w:basedOn w:val="a"/>
    <w:uiPriority w:val="99"/>
    <w:semiHidden/>
    <w:unhideWhenUsed/>
    <w:rsid w:val="003A65A4"/>
    <w:rPr>
      <w:rFonts w:ascii="Times New Roman" w:hAnsi="Times New Roman" w:cs="Times New Roman"/>
      <w:sz w:val="24"/>
      <w:szCs w:val="24"/>
    </w:rPr>
  </w:style>
  <w:style w:type="character" w:styleId="a6">
    <w:name w:val="page number"/>
    <w:basedOn w:val="a0"/>
    <w:rsid w:val="003A65A4"/>
  </w:style>
  <w:style w:type="paragraph" w:styleId="a7">
    <w:name w:val="Balloon Text"/>
    <w:basedOn w:val="a"/>
    <w:link w:val="a8"/>
    <w:uiPriority w:val="99"/>
    <w:semiHidden/>
    <w:unhideWhenUsed/>
    <w:rsid w:val="00F756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56FC"/>
    <w:rPr>
      <w:rFonts w:ascii="Segoe UI" w:hAnsi="Segoe UI" w:cs="Segoe UI"/>
      <w:sz w:val="18"/>
      <w:szCs w:val="18"/>
    </w:rPr>
  </w:style>
  <w:style w:type="paragraph" w:styleId="a9">
    <w:name w:val="header"/>
    <w:basedOn w:val="a"/>
    <w:link w:val="aa"/>
    <w:uiPriority w:val="99"/>
    <w:unhideWhenUsed/>
    <w:rsid w:val="000D3168"/>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D3168"/>
  </w:style>
  <w:style w:type="paragraph" w:styleId="ab">
    <w:name w:val="List Paragraph"/>
    <w:basedOn w:val="a"/>
    <w:uiPriority w:val="34"/>
    <w:qFormat/>
    <w:rsid w:val="00C57864"/>
    <w:pPr>
      <w:ind w:left="720"/>
      <w:contextualSpacing/>
    </w:pPr>
  </w:style>
  <w:style w:type="paragraph" w:styleId="ac">
    <w:name w:val="Body Text"/>
    <w:basedOn w:val="a"/>
    <w:link w:val="ad"/>
    <w:rsid w:val="008B19BF"/>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0"/>
    <w:link w:val="ac"/>
    <w:rsid w:val="008B19BF"/>
    <w:rPr>
      <w:rFonts w:ascii="Times New Roman" w:eastAsia="Times New Roman" w:hAnsi="Times New Roman" w:cs="Times New Roman"/>
      <w:sz w:val="24"/>
      <w:szCs w:val="24"/>
      <w:lang w:val="ru-RU" w:eastAsia="ru-RU"/>
    </w:rPr>
  </w:style>
  <w:style w:type="character" w:styleId="ae">
    <w:name w:val="Intense Emphasis"/>
    <w:basedOn w:val="a0"/>
    <w:uiPriority w:val="21"/>
    <w:qFormat/>
    <w:rsid w:val="0076567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156">
      <w:bodyDiv w:val="1"/>
      <w:marLeft w:val="0"/>
      <w:marRight w:val="0"/>
      <w:marTop w:val="0"/>
      <w:marBottom w:val="0"/>
      <w:divBdr>
        <w:top w:val="none" w:sz="0" w:space="0" w:color="auto"/>
        <w:left w:val="none" w:sz="0" w:space="0" w:color="auto"/>
        <w:bottom w:val="none" w:sz="0" w:space="0" w:color="auto"/>
        <w:right w:val="none" w:sz="0" w:space="0" w:color="auto"/>
      </w:divBdr>
    </w:div>
    <w:div w:id="464469358">
      <w:bodyDiv w:val="1"/>
      <w:marLeft w:val="0"/>
      <w:marRight w:val="0"/>
      <w:marTop w:val="0"/>
      <w:marBottom w:val="0"/>
      <w:divBdr>
        <w:top w:val="none" w:sz="0" w:space="0" w:color="auto"/>
        <w:left w:val="none" w:sz="0" w:space="0" w:color="auto"/>
        <w:bottom w:val="none" w:sz="0" w:space="0" w:color="auto"/>
        <w:right w:val="none" w:sz="0" w:space="0" w:color="auto"/>
      </w:divBdr>
    </w:div>
    <w:div w:id="634335188">
      <w:bodyDiv w:val="1"/>
      <w:marLeft w:val="0"/>
      <w:marRight w:val="0"/>
      <w:marTop w:val="0"/>
      <w:marBottom w:val="0"/>
      <w:divBdr>
        <w:top w:val="none" w:sz="0" w:space="0" w:color="auto"/>
        <w:left w:val="none" w:sz="0" w:space="0" w:color="auto"/>
        <w:bottom w:val="none" w:sz="0" w:space="0" w:color="auto"/>
        <w:right w:val="none" w:sz="0" w:space="0" w:color="auto"/>
      </w:divBdr>
    </w:div>
    <w:div w:id="658070867">
      <w:bodyDiv w:val="1"/>
      <w:marLeft w:val="0"/>
      <w:marRight w:val="0"/>
      <w:marTop w:val="0"/>
      <w:marBottom w:val="0"/>
      <w:divBdr>
        <w:top w:val="none" w:sz="0" w:space="0" w:color="auto"/>
        <w:left w:val="none" w:sz="0" w:space="0" w:color="auto"/>
        <w:bottom w:val="none" w:sz="0" w:space="0" w:color="auto"/>
        <w:right w:val="none" w:sz="0" w:space="0" w:color="auto"/>
      </w:divBdr>
    </w:div>
    <w:div w:id="719130895">
      <w:bodyDiv w:val="1"/>
      <w:marLeft w:val="0"/>
      <w:marRight w:val="0"/>
      <w:marTop w:val="0"/>
      <w:marBottom w:val="0"/>
      <w:divBdr>
        <w:top w:val="none" w:sz="0" w:space="0" w:color="auto"/>
        <w:left w:val="none" w:sz="0" w:space="0" w:color="auto"/>
        <w:bottom w:val="none" w:sz="0" w:space="0" w:color="auto"/>
        <w:right w:val="none" w:sz="0" w:space="0" w:color="auto"/>
      </w:divBdr>
    </w:div>
    <w:div w:id="727581253">
      <w:bodyDiv w:val="1"/>
      <w:marLeft w:val="0"/>
      <w:marRight w:val="0"/>
      <w:marTop w:val="0"/>
      <w:marBottom w:val="0"/>
      <w:divBdr>
        <w:top w:val="none" w:sz="0" w:space="0" w:color="auto"/>
        <w:left w:val="none" w:sz="0" w:space="0" w:color="auto"/>
        <w:bottom w:val="none" w:sz="0" w:space="0" w:color="auto"/>
        <w:right w:val="none" w:sz="0" w:space="0" w:color="auto"/>
      </w:divBdr>
    </w:div>
    <w:div w:id="18192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2.emf"/><Relationship Id="rId33" Type="http://schemas.openxmlformats.org/officeDocument/2006/relationships/chart" Target="charts/chart2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package" Target="embeddings/____________Microsoft_PowerPoint1.pptx"/><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2.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6.xml"/><Relationship Id="rId1" Type="http://schemas.microsoft.com/office/2011/relationships/chartStyle" Target="style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7.xml"/><Relationship Id="rId1" Type="http://schemas.microsoft.com/office/2011/relationships/chartStyle" Target="style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9.xml"/><Relationship Id="rId1" Type="http://schemas.microsoft.com/office/2011/relationships/chartStyle" Target="style9.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10.xml"/><Relationship Id="rId1" Type="http://schemas.microsoft.com/office/2011/relationships/chartStyle" Target="style10.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Всього</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Лист1!$B$2:$B$10</c:f>
              <c:numCache>
                <c:formatCode>General</c:formatCode>
                <c:ptCount val="9"/>
                <c:pt idx="0">
                  <c:v>220</c:v>
                </c:pt>
                <c:pt idx="1">
                  <c:v>250</c:v>
                </c:pt>
                <c:pt idx="2">
                  <c:v>265</c:v>
                </c:pt>
                <c:pt idx="3">
                  <c:v>233</c:v>
                </c:pt>
                <c:pt idx="4">
                  <c:v>269</c:v>
                </c:pt>
                <c:pt idx="5">
                  <c:v>202</c:v>
                </c:pt>
                <c:pt idx="6">
                  <c:v>181</c:v>
                </c:pt>
                <c:pt idx="7">
                  <c:v>230</c:v>
                </c:pt>
                <c:pt idx="8">
                  <c:v>208</c:v>
                </c:pt>
              </c:numCache>
            </c:numRef>
          </c:val>
        </c:ser>
        <c:ser>
          <c:idx val="1"/>
          <c:order val="1"/>
          <c:tx>
            <c:strRef>
              <c:f>Лист1!$C$1</c:f>
              <c:strCache>
                <c:ptCount val="1"/>
                <c:pt idx="0">
                  <c:v>Міжнародні</c:v>
                </c:pt>
              </c:strCache>
            </c:strRef>
          </c:tx>
          <c:spPr>
            <a:solidFill>
              <a:schemeClr val="accent2"/>
            </a:solidFill>
            <a:ln>
              <a:noFill/>
            </a:ln>
            <a:effectLst/>
            <a:sp3d/>
          </c:spPr>
          <c:invertIfNegative val="0"/>
          <c:dLbls>
            <c:dLbl>
              <c:idx val="0"/>
              <c:layout>
                <c:manualLayout>
                  <c:x val="1.4129995962858315E-2"/>
                  <c:y val="4.781829049611432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129995962858296E-2"/>
                  <c:y val="-4.3832926593063453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16713766653202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129995962858296E-2"/>
                  <c:y val="-2.390914524805782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129995962858296E-2"/>
                  <c:y val="-4.3832926593063453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148566814695196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148566814695047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6148566814695196E-2"/>
                  <c:y val="-4.3832926593063453E-1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3060513713539399E-2"/>
                  <c:y val="3.127932436659368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Лист1!$C$2:$C$10</c:f>
              <c:numCache>
                <c:formatCode>General</c:formatCode>
                <c:ptCount val="9"/>
                <c:pt idx="0">
                  <c:v>177</c:v>
                </c:pt>
                <c:pt idx="1">
                  <c:v>201</c:v>
                </c:pt>
                <c:pt idx="2">
                  <c:v>213</c:v>
                </c:pt>
                <c:pt idx="3">
                  <c:v>177</c:v>
                </c:pt>
                <c:pt idx="4">
                  <c:v>188</c:v>
                </c:pt>
                <c:pt idx="5">
                  <c:v>144</c:v>
                </c:pt>
                <c:pt idx="6">
                  <c:v>135</c:v>
                </c:pt>
                <c:pt idx="7">
                  <c:v>183</c:v>
                </c:pt>
                <c:pt idx="8">
                  <c:v>178</c:v>
                </c:pt>
              </c:numCache>
            </c:numRef>
          </c:val>
        </c:ser>
        <c:ser>
          <c:idx val="2"/>
          <c:order val="2"/>
          <c:tx>
            <c:strRef>
              <c:f>Лист1!$D$1</c:f>
              <c:strCache>
                <c:ptCount val="1"/>
                <c:pt idx="0">
                  <c:v>Вітчизняні</c:v>
                </c:pt>
              </c:strCache>
            </c:strRef>
          </c:tx>
          <c:spPr>
            <a:solidFill>
              <a:schemeClr val="accent3"/>
            </a:solidFill>
            <a:ln>
              <a:noFill/>
            </a:ln>
            <a:effectLst/>
            <a:sp3d/>
          </c:spPr>
          <c:invertIfNegative val="0"/>
          <c:dLbls>
            <c:dLbl>
              <c:idx val="0"/>
              <c:layout>
                <c:manualLayout>
                  <c:x val="1.3060513713539399E-2"/>
                  <c:y val="-6.2558648733187366E-3"/>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1"/>
              <c:layout>
                <c:manualLayout>
                  <c:x val="1.0883761427949499E-2"/>
                  <c:y val="-9.383797309978105E-3"/>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2"/>
              <c:layout>
                <c:manualLayout>
                  <c:x val="1.5237265999129298E-2"/>
                  <c:y val="-3.1279324366593683E-3"/>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3"/>
              <c:layout>
                <c:manualLayout>
                  <c:x val="1.3060513713539399E-2"/>
                  <c:y val="0"/>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4"/>
              <c:layout>
                <c:manualLayout>
                  <c:x val="1.3060513713539399E-2"/>
                  <c:y val="0"/>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5"/>
              <c:layout>
                <c:manualLayout>
                  <c:x val="1.5237265999129218E-2"/>
                  <c:y val="-3.1279324366594828E-3"/>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6"/>
              <c:layout>
                <c:manualLayout>
                  <c:x val="1.5237265999129298E-2"/>
                  <c:y val="-3.1279324366593683E-3"/>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7"/>
              <c:layout>
                <c:manualLayout>
                  <c:x val="1.5237265999129298E-2"/>
                  <c:y val="-3.1279324366593683E-3"/>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8"/>
              <c:layout>
                <c:manualLayout>
                  <c:x val="1.5237265999129139E-2"/>
                  <c:y val="-6.2558648733188511E-3"/>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Лист1!$D$2:$D$10</c:f>
              <c:numCache>
                <c:formatCode>General</c:formatCode>
                <c:ptCount val="9"/>
                <c:pt idx="0">
                  <c:v>43</c:v>
                </c:pt>
                <c:pt idx="1">
                  <c:v>49</c:v>
                </c:pt>
                <c:pt idx="2">
                  <c:v>52</c:v>
                </c:pt>
                <c:pt idx="3">
                  <c:v>56</c:v>
                </c:pt>
                <c:pt idx="4">
                  <c:v>81</c:v>
                </c:pt>
                <c:pt idx="5">
                  <c:v>58</c:v>
                </c:pt>
                <c:pt idx="6">
                  <c:v>46</c:v>
                </c:pt>
                <c:pt idx="7">
                  <c:v>47</c:v>
                </c:pt>
                <c:pt idx="8">
                  <c:v>30</c:v>
                </c:pt>
              </c:numCache>
            </c:numRef>
          </c:val>
        </c:ser>
        <c:dLbls>
          <c:showLegendKey val="0"/>
          <c:showVal val="1"/>
          <c:showCatName val="0"/>
          <c:showSerName val="0"/>
          <c:showPercent val="0"/>
          <c:showBubbleSize val="0"/>
        </c:dLbls>
        <c:gapWidth val="150"/>
        <c:shape val="box"/>
        <c:axId val="490037936"/>
        <c:axId val="327390904"/>
        <c:axId val="0"/>
        <c:extLst/>
      </c:bar3DChart>
      <c:catAx>
        <c:axId val="490037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27390904"/>
        <c:crosses val="autoZero"/>
        <c:auto val="1"/>
        <c:lblAlgn val="ctr"/>
        <c:lblOffset val="100"/>
        <c:noMultiLvlLbl val="0"/>
      </c:catAx>
      <c:valAx>
        <c:axId val="327390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9003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9427996782579"/>
          <c:y val="0.2625331026446806"/>
          <c:w val="0.75455102874542279"/>
          <c:h val="0.51680106906264178"/>
        </c:manualLayout>
      </c:layout>
      <c:barChart>
        <c:barDir val="col"/>
        <c:grouping val="clustered"/>
        <c:varyColors val="0"/>
        <c:ser>
          <c:idx val="0"/>
          <c:order val="0"/>
          <c:tx>
            <c:strRef>
              <c:f>Sheet1!$A$2</c:f>
              <c:strCache>
                <c:ptCount val="1"/>
                <c:pt idx="0">
                  <c:v>I фаза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Sheet1!$B$2:$H$2</c:f>
              <c:numCache>
                <c:formatCode>General</c:formatCode>
                <c:ptCount val="7"/>
                <c:pt idx="0">
                  <c:v>1</c:v>
                </c:pt>
                <c:pt idx="1">
                  <c:v>0</c:v>
                </c:pt>
                <c:pt idx="2">
                  <c:v>0</c:v>
                </c:pt>
                <c:pt idx="3">
                  <c:v>0</c:v>
                </c:pt>
                <c:pt idx="4">
                  <c:v>0</c:v>
                </c:pt>
                <c:pt idx="5">
                  <c:v>2</c:v>
                </c:pt>
                <c:pt idx="6">
                  <c:v>1</c:v>
                </c:pt>
              </c:numCache>
            </c:numRef>
          </c:val>
        </c:ser>
        <c:ser>
          <c:idx val="4"/>
          <c:order val="1"/>
          <c:tx>
            <c:strRef>
              <c:f>Sheet1!$A$3</c:f>
              <c:strCache>
                <c:ptCount val="1"/>
                <c:pt idx="0">
                  <c:v>II фаза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Sheet1!$B$3:$H$3</c:f>
              <c:numCache>
                <c:formatCode>General</c:formatCode>
                <c:ptCount val="7"/>
                <c:pt idx="0">
                  <c:v>5</c:v>
                </c:pt>
                <c:pt idx="1">
                  <c:v>3</c:v>
                </c:pt>
                <c:pt idx="2">
                  <c:v>3</c:v>
                </c:pt>
                <c:pt idx="3">
                  <c:v>3</c:v>
                </c:pt>
                <c:pt idx="4">
                  <c:v>0</c:v>
                </c:pt>
                <c:pt idx="5">
                  <c:v>6</c:v>
                </c:pt>
                <c:pt idx="6">
                  <c:v>5</c:v>
                </c:pt>
              </c:numCache>
            </c:numRef>
          </c:val>
        </c:ser>
        <c:ser>
          <c:idx val="1"/>
          <c:order val="2"/>
          <c:tx>
            <c:strRef>
              <c:f>Sheet1!$A$4</c:f>
              <c:strCache>
                <c:ptCount val="1"/>
                <c:pt idx="0">
                  <c:v>ІІ/ІІІ фаза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Sheet1!$B$4:$H$4</c:f>
              <c:numCache>
                <c:formatCode>General</c:formatCode>
                <c:ptCount val="7"/>
                <c:pt idx="0">
                  <c:v>1</c:v>
                </c:pt>
                <c:pt idx="1">
                  <c:v>0</c:v>
                </c:pt>
                <c:pt idx="2">
                  <c:v>2</c:v>
                </c:pt>
                <c:pt idx="3">
                  <c:v>0</c:v>
                </c:pt>
                <c:pt idx="4">
                  <c:v>0</c:v>
                </c:pt>
                <c:pt idx="5">
                  <c:v>1</c:v>
                </c:pt>
              </c:numCache>
            </c:numRef>
          </c:val>
        </c:ser>
        <c:ser>
          <c:idx val="2"/>
          <c:order val="3"/>
          <c:tx>
            <c:strRef>
              <c:f>Sheet1!$A$5</c:f>
              <c:strCache>
                <c:ptCount val="1"/>
                <c:pt idx="0">
                  <c:v>III фаза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Sheet1!$B$5:$H$5</c:f>
              <c:numCache>
                <c:formatCode>General</c:formatCode>
                <c:ptCount val="7"/>
                <c:pt idx="0">
                  <c:v>17</c:v>
                </c:pt>
                <c:pt idx="1">
                  <c:v>14</c:v>
                </c:pt>
                <c:pt idx="2">
                  <c:v>13</c:v>
                </c:pt>
                <c:pt idx="3">
                  <c:v>10</c:v>
                </c:pt>
                <c:pt idx="4">
                  <c:v>6</c:v>
                </c:pt>
                <c:pt idx="5">
                  <c:v>17</c:v>
                </c:pt>
                <c:pt idx="6">
                  <c:v>19</c:v>
                </c:pt>
              </c:numCache>
            </c:numRef>
          </c:val>
        </c:ser>
        <c:ser>
          <c:idx val="3"/>
          <c:order val="4"/>
          <c:tx>
            <c:strRef>
              <c:f>Sheet1!$A$6</c:f>
              <c:strCache>
                <c:ptCount val="1"/>
                <c:pt idx="0">
                  <c:v>IV фаза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Sheet1!$B$6:$H$6</c:f>
              <c:numCache>
                <c:formatCode>General</c:formatCode>
                <c:ptCount val="7"/>
                <c:pt idx="0">
                  <c:v>3</c:v>
                </c:pt>
                <c:pt idx="1">
                  <c:v>3</c:v>
                </c:pt>
                <c:pt idx="2">
                  <c:v>1</c:v>
                </c:pt>
                <c:pt idx="3">
                  <c:v>1</c:v>
                </c:pt>
                <c:pt idx="4">
                  <c:v>0</c:v>
                </c:pt>
                <c:pt idx="5">
                  <c:v>0</c:v>
                </c:pt>
              </c:numCache>
            </c:numRef>
          </c:val>
        </c:ser>
        <c:dLbls>
          <c:showLegendKey val="0"/>
          <c:showVal val="1"/>
          <c:showCatName val="0"/>
          <c:showSerName val="0"/>
          <c:showPercent val="0"/>
          <c:showBubbleSize val="0"/>
        </c:dLbls>
        <c:gapWidth val="150"/>
        <c:axId val="489637448"/>
        <c:axId val="489637840"/>
      </c:barChart>
      <c:catAx>
        <c:axId val="489637448"/>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89637840"/>
        <c:crosses val="autoZero"/>
        <c:auto val="1"/>
        <c:lblAlgn val="ctr"/>
        <c:lblOffset val="100"/>
        <c:noMultiLvlLbl val="0"/>
      </c:catAx>
      <c:valAx>
        <c:axId val="48963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89637448"/>
        <c:crosses val="autoZero"/>
        <c:crossBetween val="between"/>
      </c:valAx>
      <c:spPr>
        <a:noFill/>
        <a:ln>
          <a:noFill/>
        </a:ln>
        <a:effectLst/>
      </c:spPr>
    </c:plotArea>
    <c:legend>
      <c:legendPos val="b"/>
      <c:layout>
        <c:manualLayout>
          <c:xMode val="edge"/>
          <c:yMode val="edge"/>
          <c:x val="0.2716521711054698"/>
          <c:y val="0.93048355052425857"/>
          <c:w val="0.59551746313758636"/>
          <c:h val="6.95168026213543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Пульмонологія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Лист1!$B$2:$B$3</c:f>
              <c:numCache>
                <c:formatCode>General</c:formatCode>
                <c:ptCount val="2"/>
                <c:pt idx="0">
                  <c:v>4</c:v>
                </c:pt>
                <c:pt idx="1">
                  <c:v>1</c:v>
                </c:pt>
              </c:numCache>
            </c:numRef>
          </c:val>
        </c:ser>
        <c:ser>
          <c:idx val="1"/>
          <c:order val="1"/>
          <c:tx>
            <c:strRef>
              <c:f>Лист1!$C$1</c:f>
              <c:strCache>
                <c:ptCount val="1"/>
                <c:pt idx="0">
                  <c:v>Психіатрія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Лист1!$C$2:$C$3</c:f>
              <c:numCache>
                <c:formatCode>General</c:formatCode>
                <c:ptCount val="2"/>
                <c:pt idx="1">
                  <c:v>4</c:v>
                </c:pt>
              </c:numCache>
            </c:numRef>
          </c:val>
        </c:ser>
        <c:ser>
          <c:idx val="2"/>
          <c:order val="2"/>
          <c:tx>
            <c:strRef>
              <c:f>Лист1!$D$1</c:f>
              <c:strCache>
                <c:ptCount val="1"/>
                <c:pt idx="0">
                  <c:v>Гематологія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Лист1!$D$2:$D$3</c:f>
              <c:numCache>
                <c:formatCode>General</c:formatCode>
                <c:ptCount val="2"/>
                <c:pt idx="0">
                  <c:v>7</c:v>
                </c:pt>
                <c:pt idx="1">
                  <c:v>3</c:v>
                </c:pt>
              </c:numCache>
            </c:numRef>
          </c:val>
        </c:ser>
        <c:ser>
          <c:idx val="3"/>
          <c:order val="3"/>
          <c:tx>
            <c:strRef>
              <c:f>Лист1!$E$1</c:f>
              <c:strCache>
                <c:ptCount val="1"/>
                <c:pt idx="0">
                  <c:v>Ендокринологія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Лист1!$E$2:$E$3</c:f>
              <c:numCache>
                <c:formatCode>General</c:formatCode>
                <c:ptCount val="2"/>
                <c:pt idx="0">
                  <c:v>3</c:v>
                </c:pt>
                <c:pt idx="1">
                  <c:v>2</c:v>
                </c:pt>
              </c:numCache>
            </c:numRef>
          </c:val>
        </c:ser>
        <c:ser>
          <c:idx val="4"/>
          <c:order val="4"/>
          <c:tx>
            <c:strRef>
              <c:f>Лист1!$F$1</c:f>
              <c:strCache>
                <c:ptCount val="1"/>
                <c:pt idx="0">
                  <c:v>Гастроентерологія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Лист1!$F$2:$F$3</c:f>
              <c:numCache>
                <c:formatCode>General</c:formatCode>
                <c:ptCount val="2"/>
                <c:pt idx="0">
                  <c:v>1</c:v>
                </c:pt>
              </c:numCache>
            </c:numRef>
          </c:val>
        </c:ser>
        <c:ser>
          <c:idx val="5"/>
          <c:order val="5"/>
          <c:tx>
            <c:strRef>
              <c:f>Лист1!$G$1</c:f>
              <c:strCache>
                <c:ptCount val="1"/>
                <c:pt idx="0">
                  <c:v>Хірургія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Лист1!$G$2:$G$3</c:f>
              <c:numCache>
                <c:formatCode>General</c:formatCode>
                <c:ptCount val="2"/>
                <c:pt idx="0">
                  <c:v>1</c:v>
                </c:pt>
                <c:pt idx="1">
                  <c:v>2</c:v>
                </c:pt>
              </c:numCache>
            </c:numRef>
          </c:val>
        </c:ser>
        <c:ser>
          <c:idx val="6"/>
          <c:order val="6"/>
          <c:tx>
            <c:strRef>
              <c:f>Лист1!$H$1</c:f>
              <c:strCache>
                <c:ptCount val="1"/>
                <c:pt idx="0">
                  <c:v>Інфекц.хвор.</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Лист1!$H$2:$H$3</c:f>
              <c:numCache>
                <c:formatCode>General</c:formatCode>
                <c:ptCount val="2"/>
                <c:pt idx="0">
                  <c:v>2</c:v>
                </c:pt>
                <c:pt idx="1">
                  <c:v>3</c:v>
                </c:pt>
              </c:numCache>
            </c:numRef>
          </c:val>
        </c:ser>
        <c:ser>
          <c:idx val="7"/>
          <c:order val="7"/>
          <c:tx>
            <c:strRef>
              <c:f>Лист1!$I$1</c:f>
              <c:strCache>
                <c:ptCount val="1"/>
                <c:pt idx="0">
                  <c:v>Неврологія</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Лист1!$I$2:$I$3</c:f>
              <c:numCache>
                <c:formatCode>General</c:formatCode>
                <c:ptCount val="2"/>
                <c:pt idx="0">
                  <c:v>1</c:v>
                </c:pt>
                <c:pt idx="1">
                  <c:v>2</c:v>
                </c:pt>
              </c:numCache>
            </c:numRef>
          </c:val>
        </c:ser>
        <c:ser>
          <c:idx val="8"/>
          <c:order val="8"/>
          <c:tx>
            <c:strRef>
              <c:f>Лист1!$J$1</c:f>
              <c:strCache>
                <c:ptCount val="1"/>
                <c:pt idx="0">
                  <c:v>Ревматологія</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Лист1!$J$2:$J$3</c:f>
              <c:numCache>
                <c:formatCode>General</c:formatCode>
                <c:ptCount val="2"/>
              </c:numCache>
            </c:numRef>
          </c:val>
        </c:ser>
        <c:ser>
          <c:idx val="9"/>
          <c:order val="9"/>
          <c:tx>
            <c:strRef>
              <c:f>Лист1!$K$1</c:f>
              <c:strCache>
                <c:ptCount val="1"/>
                <c:pt idx="0">
                  <c:v>Онкологія</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Лист1!$K$2:$K$3</c:f>
              <c:numCache>
                <c:formatCode>General</c:formatCode>
                <c:ptCount val="2"/>
                <c:pt idx="0">
                  <c:v>1</c:v>
                </c:pt>
                <c:pt idx="1">
                  <c:v>1</c:v>
                </c:pt>
              </c:numCache>
            </c:numRef>
          </c:val>
        </c:ser>
        <c:ser>
          <c:idx val="10"/>
          <c:order val="10"/>
          <c:tx>
            <c:strRef>
              <c:f>Лист1!$L$1</c:f>
              <c:strCache>
                <c:ptCount val="1"/>
                <c:pt idx="0">
                  <c:v>Дерматологія</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Лист1!$L$2:$L$3</c:f>
              <c:numCache>
                <c:formatCode>General</c:formatCode>
                <c:ptCount val="2"/>
              </c:numCache>
            </c:numRef>
          </c:val>
        </c:ser>
        <c:ser>
          <c:idx val="11"/>
          <c:order val="11"/>
          <c:tx>
            <c:strRef>
              <c:f>Лист1!$M$1</c:f>
              <c:strCache>
                <c:ptCount val="1"/>
                <c:pt idx="0">
                  <c:v>Урологія/Нефрологія</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2013</c:v>
                </c:pt>
                <c:pt idx="1">
                  <c:v>2014</c:v>
                </c:pt>
              </c:numCache>
            </c:numRef>
          </c:cat>
          <c:val>
            <c:numRef>
              <c:f>Лист1!$M$2:$M$3</c:f>
              <c:numCache>
                <c:formatCode>General</c:formatCode>
                <c:ptCount val="2"/>
                <c:pt idx="1">
                  <c:v>1</c:v>
                </c:pt>
              </c:numCache>
            </c:numRef>
          </c:val>
        </c:ser>
        <c:dLbls>
          <c:dLblPos val="outEnd"/>
          <c:showLegendKey val="0"/>
          <c:showVal val="1"/>
          <c:showCatName val="0"/>
          <c:showSerName val="0"/>
          <c:showPercent val="0"/>
          <c:showBubbleSize val="0"/>
        </c:dLbls>
        <c:gapWidth val="219"/>
        <c:overlap val="-27"/>
        <c:axId val="489638624"/>
        <c:axId val="489639016"/>
      </c:barChart>
      <c:catAx>
        <c:axId val="489638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uk-UA"/>
          </a:p>
        </c:txPr>
        <c:crossAx val="489639016"/>
        <c:crosses val="autoZero"/>
        <c:auto val="1"/>
        <c:lblAlgn val="ctr"/>
        <c:lblOffset val="100"/>
        <c:noMultiLvlLbl val="0"/>
      </c:catAx>
      <c:valAx>
        <c:axId val="489639016"/>
        <c:scaling>
          <c:orientation val="minMax"/>
        </c:scaling>
        <c:delete val="1"/>
        <c:axPos val="l"/>
        <c:majorGridlines>
          <c:spPr>
            <a:ln w="9525" cap="flat" cmpd="sng" algn="ctr">
              <a:solidFill>
                <a:schemeClr val="accent1">
                  <a:alpha val="50000"/>
                </a:schemeClr>
              </a:solidFill>
              <a:round/>
            </a:ln>
            <a:effectLst/>
          </c:spPr>
        </c:majorGridlines>
        <c:numFmt formatCode="General" sourceLinked="1"/>
        <c:majorTickMark val="out"/>
        <c:minorTickMark val="none"/>
        <c:tickLblPos val="nextTo"/>
        <c:crossAx val="48963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Пульмонологія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Лист1!$B$4:$B$5</c:f>
              <c:numCache>
                <c:formatCode>General</c:formatCode>
                <c:ptCount val="2"/>
                <c:pt idx="0">
                  <c:v>1</c:v>
                </c:pt>
              </c:numCache>
            </c:numRef>
          </c:val>
        </c:ser>
        <c:ser>
          <c:idx val="1"/>
          <c:order val="1"/>
          <c:tx>
            <c:strRef>
              <c:f>Лист1!$C$1</c:f>
              <c:strCache>
                <c:ptCount val="1"/>
                <c:pt idx="0">
                  <c:v>Психіатрія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Лист1!$C$4:$C$5</c:f>
              <c:numCache>
                <c:formatCode>General</c:formatCode>
                <c:ptCount val="2"/>
                <c:pt idx="0">
                  <c:v>3</c:v>
                </c:pt>
                <c:pt idx="1">
                  <c:v>1</c:v>
                </c:pt>
              </c:numCache>
            </c:numRef>
          </c:val>
        </c:ser>
        <c:ser>
          <c:idx val="2"/>
          <c:order val="2"/>
          <c:tx>
            <c:strRef>
              <c:f>Лист1!$D$1</c:f>
              <c:strCache>
                <c:ptCount val="1"/>
                <c:pt idx="0">
                  <c:v>Гематологія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Лист1!$D$4:$D$5</c:f>
              <c:numCache>
                <c:formatCode>General</c:formatCode>
                <c:ptCount val="2"/>
                <c:pt idx="0">
                  <c:v>2</c:v>
                </c:pt>
                <c:pt idx="1">
                  <c:v>1</c:v>
                </c:pt>
              </c:numCache>
            </c:numRef>
          </c:val>
        </c:ser>
        <c:ser>
          <c:idx val="3"/>
          <c:order val="3"/>
          <c:tx>
            <c:strRef>
              <c:f>Лист1!$E$1</c:f>
              <c:strCache>
                <c:ptCount val="1"/>
                <c:pt idx="0">
                  <c:v>Ендокринологія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Лист1!$E$4:$E$5</c:f>
              <c:numCache>
                <c:formatCode>General</c:formatCode>
                <c:ptCount val="2"/>
                <c:pt idx="0">
                  <c:v>1</c:v>
                </c:pt>
                <c:pt idx="1">
                  <c:v>2</c:v>
                </c:pt>
              </c:numCache>
            </c:numRef>
          </c:val>
        </c:ser>
        <c:ser>
          <c:idx val="4"/>
          <c:order val="4"/>
          <c:tx>
            <c:strRef>
              <c:f>Лист1!$F$1</c:f>
              <c:strCache>
                <c:ptCount val="1"/>
                <c:pt idx="0">
                  <c:v>Гастроентерологія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Лист1!$F$4:$F$5</c:f>
              <c:numCache>
                <c:formatCode>General</c:formatCode>
                <c:ptCount val="2"/>
              </c:numCache>
            </c:numRef>
          </c:val>
        </c:ser>
        <c:ser>
          <c:idx val="5"/>
          <c:order val="5"/>
          <c:tx>
            <c:strRef>
              <c:f>Лист1!$G$1</c:f>
              <c:strCache>
                <c:ptCount val="1"/>
                <c:pt idx="0">
                  <c:v>Хірургія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Лист1!$G$4:$G$5</c:f>
              <c:numCache>
                <c:formatCode>General</c:formatCode>
                <c:ptCount val="2"/>
              </c:numCache>
            </c:numRef>
          </c:val>
        </c:ser>
        <c:ser>
          <c:idx val="6"/>
          <c:order val="6"/>
          <c:tx>
            <c:strRef>
              <c:f>Лист1!$H$1</c:f>
              <c:strCache>
                <c:ptCount val="1"/>
                <c:pt idx="0">
                  <c:v>Інфекц.хвор.</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Лист1!$H$4:$H$5</c:f>
              <c:numCache>
                <c:formatCode>General</c:formatCode>
                <c:ptCount val="2"/>
                <c:pt idx="1">
                  <c:v>2</c:v>
                </c:pt>
              </c:numCache>
            </c:numRef>
          </c:val>
        </c:ser>
        <c:ser>
          <c:idx val="7"/>
          <c:order val="7"/>
          <c:tx>
            <c:strRef>
              <c:f>Лист1!$I$1</c:f>
              <c:strCache>
                <c:ptCount val="1"/>
                <c:pt idx="0">
                  <c:v>Неврологія</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Лист1!$I$4:$I$5</c:f>
              <c:numCache>
                <c:formatCode>General</c:formatCode>
                <c:ptCount val="2"/>
                <c:pt idx="0">
                  <c:v>1</c:v>
                </c:pt>
              </c:numCache>
            </c:numRef>
          </c:val>
        </c:ser>
        <c:ser>
          <c:idx val="8"/>
          <c:order val="8"/>
          <c:tx>
            <c:strRef>
              <c:f>Лист1!$J$1</c:f>
              <c:strCache>
                <c:ptCount val="1"/>
                <c:pt idx="0">
                  <c:v>Ревматологія</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Лист1!$J$4:$J$5</c:f>
              <c:numCache>
                <c:formatCode>General</c:formatCode>
                <c:ptCount val="2"/>
              </c:numCache>
            </c:numRef>
          </c:val>
        </c:ser>
        <c:ser>
          <c:idx val="9"/>
          <c:order val="9"/>
          <c:tx>
            <c:strRef>
              <c:f>Лист1!$K$1</c:f>
              <c:strCache>
                <c:ptCount val="1"/>
                <c:pt idx="0">
                  <c:v>Онкологія</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Лист1!$K$4:$K$5</c:f>
              <c:numCache>
                <c:formatCode>General</c:formatCode>
                <c:ptCount val="2"/>
                <c:pt idx="0">
                  <c:v>2</c:v>
                </c:pt>
              </c:numCache>
            </c:numRef>
          </c:val>
        </c:ser>
        <c:ser>
          <c:idx val="10"/>
          <c:order val="10"/>
          <c:tx>
            <c:strRef>
              <c:f>Лист1!$L$1</c:f>
              <c:strCache>
                <c:ptCount val="1"/>
                <c:pt idx="0">
                  <c:v>Дерматологія</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Лист1!$L$4:$L$5</c:f>
              <c:numCache>
                <c:formatCode>General</c:formatCode>
                <c:ptCount val="2"/>
              </c:numCache>
            </c:numRef>
          </c:val>
        </c:ser>
        <c:ser>
          <c:idx val="11"/>
          <c:order val="11"/>
          <c:tx>
            <c:strRef>
              <c:f>Лист1!$M$1</c:f>
              <c:strCache>
                <c:ptCount val="1"/>
                <c:pt idx="0">
                  <c:v>Урологія/Нефрологія</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Лист1!$A$4:$A$5</c:f>
              <c:numCache>
                <c:formatCode>General</c:formatCode>
                <c:ptCount val="2"/>
                <c:pt idx="0">
                  <c:v>2015</c:v>
                </c:pt>
                <c:pt idx="1">
                  <c:v>2016</c:v>
                </c:pt>
              </c:numCache>
            </c:numRef>
          </c:cat>
          <c:val>
            <c:numRef>
              <c:f>Лист1!$M$4:$M$5</c:f>
              <c:numCache>
                <c:formatCode>General</c:formatCode>
                <c:ptCount val="2"/>
                <c:pt idx="0">
                  <c:v>1</c:v>
                </c:pt>
              </c:numCache>
            </c:numRef>
          </c:val>
        </c:ser>
        <c:dLbls>
          <c:dLblPos val="outEnd"/>
          <c:showLegendKey val="0"/>
          <c:showVal val="1"/>
          <c:showCatName val="0"/>
          <c:showSerName val="0"/>
          <c:showPercent val="0"/>
          <c:showBubbleSize val="0"/>
        </c:dLbls>
        <c:gapWidth val="219"/>
        <c:overlap val="-27"/>
        <c:axId val="489639800"/>
        <c:axId val="489640192"/>
      </c:barChart>
      <c:catAx>
        <c:axId val="489639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uk-UA"/>
          </a:p>
        </c:txPr>
        <c:crossAx val="489640192"/>
        <c:crosses val="autoZero"/>
        <c:auto val="1"/>
        <c:lblAlgn val="ctr"/>
        <c:lblOffset val="100"/>
        <c:noMultiLvlLbl val="0"/>
      </c:catAx>
      <c:valAx>
        <c:axId val="4896401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489639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Пульмонологія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Лист1!$B$6:$B$7</c:f>
              <c:numCache>
                <c:formatCode>General</c:formatCode>
                <c:ptCount val="2"/>
                <c:pt idx="0">
                  <c:v>3</c:v>
                </c:pt>
                <c:pt idx="1">
                  <c:v>5</c:v>
                </c:pt>
              </c:numCache>
            </c:numRef>
          </c:val>
        </c:ser>
        <c:ser>
          <c:idx val="1"/>
          <c:order val="1"/>
          <c:tx>
            <c:strRef>
              <c:f>Лист1!$C$1</c:f>
              <c:strCache>
                <c:ptCount val="1"/>
                <c:pt idx="0">
                  <c:v>Психіатрія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Лист1!$C$6:$C$7</c:f>
              <c:numCache>
                <c:formatCode>General</c:formatCode>
                <c:ptCount val="2"/>
                <c:pt idx="1">
                  <c:v>8</c:v>
                </c:pt>
              </c:numCache>
            </c:numRef>
          </c:val>
        </c:ser>
        <c:ser>
          <c:idx val="2"/>
          <c:order val="2"/>
          <c:tx>
            <c:strRef>
              <c:f>Лист1!$D$1</c:f>
              <c:strCache>
                <c:ptCount val="1"/>
                <c:pt idx="0">
                  <c:v>Гематологія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Лист1!$D$6:$D$7</c:f>
              <c:numCache>
                <c:formatCode>General</c:formatCode>
                <c:ptCount val="2"/>
                <c:pt idx="0">
                  <c:v>2</c:v>
                </c:pt>
                <c:pt idx="1">
                  <c:v>1</c:v>
                </c:pt>
              </c:numCache>
            </c:numRef>
          </c:val>
        </c:ser>
        <c:ser>
          <c:idx val="3"/>
          <c:order val="3"/>
          <c:tx>
            <c:strRef>
              <c:f>Лист1!$E$1</c:f>
              <c:strCache>
                <c:ptCount val="1"/>
                <c:pt idx="0">
                  <c:v>Ендокринологія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Лист1!$E$6:$E$7</c:f>
              <c:numCache>
                <c:formatCode>General</c:formatCode>
                <c:ptCount val="2"/>
                <c:pt idx="0">
                  <c:v>3</c:v>
                </c:pt>
                <c:pt idx="1">
                  <c:v>1</c:v>
                </c:pt>
              </c:numCache>
            </c:numRef>
          </c:val>
        </c:ser>
        <c:ser>
          <c:idx val="4"/>
          <c:order val="4"/>
          <c:tx>
            <c:strRef>
              <c:f>Лист1!$F$1</c:f>
              <c:strCache>
                <c:ptCount val="1"/>
                <c:pt idx="0">
                  <c:v>Гастроентерологія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Лист1!$F$6:$F$7</c:f>
              <c:numCache>
                <c:formatCode>General</c:formatCode>
                <c:ptCount val="2"/>
                <c:pt idx="0">
                  <c:v>2</c:v>
                </c:pt>
              </c:numCache>
            </c:numRef>
          </c:val>
        </c:ser>
        <c:ser>
          <c:idx val="5"/>
          <c:order val="5"/>
          <c:tx>
            <c:strRef>
              <c:f>Лист1!$G$1</c:f>
              <c:strCache>
                <c:ptCount val="1"/>
                <c:pt idx="0">
                  <c:v>Хірургія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Лист1!$G$6:$G$7</c:f>
              <c:numCache>
                <c:formatCode>General</c:formatCode>
                <c:ptCount val="2"/>
                <c:pt idx="0">
                  <c:v>2</c:v>
                </c:pt>
                <c:pt idx="1">
                  <c:v>1</c:v>
                </c:pt>
              </c:numCache>
            </c:numRef>
          </c:val>
        </c:ser>
        <c:ser>
          <c:idx val="6"/>
          <c:order val="6"/>
          <c:tx>
            <c:strRef>
              <c:f>Лист1!$H$1</c:f>
              <c:strCache>
                <c:ptCount val="1"/>
                <c:pt idx="0">
                  <c:v>Інфекц.хвор.</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Лист1!$H$6:$H$7</c:f>
              <c:numCache>
                <c:formatCode>General</c:formatCode>
                <c:ptCount val="2"/>
                <c:pt idx="0">
                  <c:v>3</c:v>
                </c:pt>
                <c:pt idx="1">
                  <c:v>4</c:v>
                </c:pt>
              </c:numCache>
            </c:numRef>
          </c:val>
        </c:ser>
        <c:ser>
          <c:idx val="7"/>
          <c:order val="7"/>
          <c:tx>
            <c:strRef>
              <c:f>Лист1!$I$1</c:f>
              <c:strCache>
                <c:ptCount val="1"/>
                <c:pt idx="0">
                  <c:v>Неврологія</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Лист1!$I$6:$I$7</c:f>
              <c:numCache>
                <c:formatCode>General</c:formatCode>
                <c:ptCount val="2"/>
                <c:pt idx="0">
                  <c:v>1</c:v>
                </c:pt>
              </c:numCache>
            </c:numRef>
          </c:val>
        </c:ser>
        <c:ser>
          <c:idx val="8"/>
          <c:order val="8"/>
          <c:tx>
            <c:strRef>
              <c:f>Лист1!$J$1</c:f>
              <c:strCache>
                <c:ptCount val="1"/>
                <c:pt idx="0">
                  <c:v>Ревматологія</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Лист1!$J$6:$J$7</c:f>
              <c:numCache>
                <c:formatCode>General</c:formatCode>
                <c:ptCount val="2"/>
                <c:pt idx="0">
                  <c:v>1</c:v>
                </c:pt>
                <c:pt idx="1">
                  <c:v>1</c:v>
                </c:pt>
              </c:numCache>
            </c:numRef>
          </c:val>
        </c:ser>
        <c:ser>
          <c:idx val="9"/>
          <c:order val="9"/>
          <c:tx>
            <c:strRef>
              <c:f>Лист1!$K$1</c:f>
              <c:strCache>
                <c:ptCount val="1"/>
                <c:pt idx="0">
                  <c:v>Онкологія</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Лист1!$K$6:$K$7</c:f>
              <c:numCache>
                <c:formatCode>General</c:formatCode>
                <c:ptCount val="2"/>
                <c:pt idx="0">
                  <c:v>1</c:v>
                </c:pt>
              </c:numCache>
            </c:numRef>
          </c:val>
        </c:ser>
        <c:ser>
          <c:idx val="10"/>
          <c:order val="10"/>
          <c:tx>
            <c:strRef>
              <c:f>Лист1!$L$1</c:f>
              <c:strCache>
                <c:ptCount val="1"/>
                <c:pt idx="0">
                  <c:v>Дерматологія</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Лист1!$L$6:$L$7</c:f>
              <c:numCache>
                <c:formatCode>General</c:formatCode>
                <c:ptCount val="2"/>
                <c:pt idx="0">
                  <c:v>2</c:v>
                </c:pt>
                <c:pt idx="1">
                  <c:v>1</c:v>
                </c:pt>
              </c:numCache>
            </c:numRef>
          </c:val>
        </c:ser>
        <c:ser>
          <c:idx val="11"/>
          <c:order val="11"/>
          <c:tx>
            <c:strRef>
              <c:f>Лист1!$M$1</c:f>
              <c:strCache>
                <c:ptCount val="1"/>
                <c:pt idx="0">
                  <c:v>Урологія/Нефрологія</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Лист1!$M$6:$M$7</c:f>
              <c:numCache>
                <c:formatCode>General</c:formatCode>
                <c:ptCount val="2"/>
                <c:pt idx="0">
                  <c:v>1</c:v>
                </c:pt>
                <c:pt idx="1">
                  <c:v>1</c:v>
                </c:pt>
              </c:numCache>
            </c:numRef>
          </c:val>
        </c:ser>
        <c:ser>
          <c:idx val="12"/>
          <c:order val="12"/>
          <c:tx>
            <c:strRef>
              <c:f>Лист1!$N$1</c:f>
              <c:strCache>
                <c:ptCount val="1"/>
                <c:pt idx="0">
                  <c:v>Імунологія</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Лист1!$N$6:$N$7</c:f>
              <c:numCache>
                <c:formatCode>General</c:formatCode>
                <c:ptCount val="2"/>
                <c:pt idx="0">
                  <c:v>2</c:v>
                </c:pt>
              </c:numCache>
            </c:numRef>
          </c:val>
        </c:ser>
        <c:ser>
          <c:idx val="13"/>
          <c:order val="13"/>
          <c:tx>
            <c:strRef>
              <c:f>Лист1!$O$1</c:f>
              <c:strCache>
                <c:ptCount val="1"/>
                <c:pt idx="0">
                  <c:v>Кардіологія</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Лист1!$O$6:$O$7</c:f>
              <c:numCache>
                <c:formatCode>General</c:formatCode>
                <c:ptCount val="2"/>
                <c:pt idx="0">
                  <c:v>1</c:v>
                </c:pt>
                <c:pt idx="1">
                  <c:v>2</c:v>
                </c:pt>
              </c:numCache>
            </c:numRef>
          </c:val>
        </c:ser>
        <c:ser>
          <c:idx val="14"/>
          <c:order val="14"/>
          <c:tx>
            <c:strRef>
              <c:f>Лист1!$P$1</c:f>
              <c:strCache>
                <c:ptCount val="1"/>
                <c:pt idx="0">
                  <c:v>Порушення обміну речовин</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Лист1!$A$6:$A$7</c:f>
              <c:numCache>
                <c:formatCode>General</c:formatCode>
                <c:ptCount val="2"/>
                <c:pt idx="0">
                  <c:v>2017</c:v>
                </c:pt>
                <c:pt idx="1">
                  <c:v>2018</c:v>
                </c:pt>
              </c:numCache>
            </c:numRef>
          </c:cat>
          <c:val>
            <c:numRef>
              <c:f>Лист1!$P$6:$P$7</c:f>
              <c:numCache>
                <c:formatCode>General</c:formatCode>
                <c:ptCount val="2"/>
                <c:pt idx="0">
                  <c:v>1</c:v>
                </c:pt>
              </c:numCache>
            </c:numRef>
          </c:val>
        </c:ser>
        <c:dLbls>
          <c:dLblPos val="outEnd"/>
          <c:showLegendKey val="0"/>
          <c:showVal val="1"/>
          <c:showCatName val="0"/>
          <c:showSerName val="0"/>
          <c:showPercent val="0"/>
          <c:showBubbleSize val="0"/>
        </c:dLbls>
        <c:gapWidth val="219"/>
        <c:overlap val="-27"/>
        <c:axId val="489640976"/>
        <c:axId val="489641368"/>
      </c:barChart>
      <c:catAx>
        <c:axId val="489640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uk-UA"/>
          </a:p>
        </c:txPr>
        <c:crossAx val="489641368"/>
        <c:crosses val="autoZero"/>
        <c:auto val="1"/>
        <c:lblAlgn val="ctr"/>
        <c:lblOffset val="100"/>
        <c:noMultiLvlLbl val="0"/>
      </c:catAx>
      <c:valAx>
        <c:axId val="48964136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48964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341155241818695E-2"/>
          <c:y val="3.899809765377299E-2"/>
          <c:w val="0.80786735025047196"/>
          <c:h val="0.66567163806489948"/>
        </c:manualLayout>
      </c:layout>
      <c:barChart>
        <c:barDir val="col"/>
        <c:grouping val="percentStacked"/>
        <c:varyColors val="0"/>
        <c:ser>
          <c:idx val="0"/>
          <c:order val="0"/>
          <c:tx>
            <c:strRef>
              <c:f>Лист1!$B$1</c:f>
              <c:strCache>
                <c:ptCount val="1"/>
                <c:pt idx="0">
                  <c:v>без зауважень</c:v>
                </c:pt>
              </c:strCache>
            </c:strRef>
          </c:tx>
          <c:spPr>
            <a:solidFill>
              <a:srgbClr val="5B9BD5"/>
            </a:solidFill>
            <a:ln w="25371">
              <a:noFill/>
            </a:ln>
          </c:spPr>
          <c:invertIfNegative val="0"/>
          <c:dLbls>
            <c:spPr>
              <a:noFill/>
              <a:ln w="25371">
                <a:noFill/>
              </a:ln>
            </c:spPr>
            <c:txPr>
              <a:bodyPr rot="0" spcFirstLastPara="1" vertOverflow="ellipsis" vert="horz" wrap="square" lIns="38100" tIns="19050" rIns="38100" bIns="19050" anchor="ctr" anchorCtr="1">
                <a:spAutoFit/>
              </a:bodyPr>
              <a:lstStyle/>
              <a:p>
                <a:pPr>
                  <a:defRPr sz="1998"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97</c:v>
                </c:pt>
                <c:pt idx="1">
                  <c:v>75</c:v>
                </c:pt>
                <c:pt idx="2">
                  <c:v>73</c:v>
                </c:pt>
                <c:pt idx="3">
                  <c:v>26</c:v>
                </c:pt>
                <c:pt idx="4">
                  <c:v>15</c:v>
                </c:pt>
                <c:pt idx="5">
                  <c:v>11</c:v>
                </c:pt>
              </c:numCache>
            </c:numRef>
          </c:val>
        </c:ser>
        <c:ser>
          <c:idx val="1"/>
          <c:order val="1"/>
          <c:tx>
            <c:strRef>
              <c:f>Лист1!$C$1</c:f>
              <c:strCache>
                <c:ptCount val="1"/>
                <c:pt idx="0">
                  <c:v>після усунення зауважень</c:v>
                </c:pt>
              </c:strCache>
            </c:strRef>
          </c:tx>
          <c:spPr>
            <a:solidFill>
              <a:srgbClr val="ED7D31"/>
            </a:solidFill>
            <a:ln w="25371">
              <a:noFill/>
            </a:ln>
          </c:spPr>
          <c:invertIfNegative val="0"/>
          <c:dLbls>
            <c:spPr>
              <a:noFill/>
              <a:ln w="25371">
                <a:noFill/>
              </a:ln>
            </c:spPr>
            <c:txPr>
              <a:bodyPr rot="0" spcFirstLastPara="1" vertOverflow="ellipsis" vert="horz" wrap="square" lIns="38100" tIns="19050" rIns="38100" bIns="19050" anchor="ctr" anchorCtr="1">
                <a:spAutoFit/>
              </a:bodyPr>
              <a:lstStyle/>
              <a:p>
                <a:pPr>
                  <a:defRPr sz="1998"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Лист1!$C$2:$C$7</c:f>
              <c:numCache>
                <c:formatCode>General</c:formatCode>
                <c:ptCount val="6"/>
                <c:pt idx="0">
                  <c:v>136</c:v>
                </c:pt>
                <c:pt idx="1">
                  <c:v>194</c:v>
                </c:pt>
                <c:pt idx="2">
                  <c:v>129</c:v>
                </c:pt>
                <c:pt idx="3">
                  <c:v>155</c:v>
                </c:pt>
                <c:pt idx="4">
                  <c:v>215</c:v>
                </c:pt>
                <c:pt idx="5">
                  <c:v>197</c:v>
                </c:pt>
              </c:numCache>
            </c:numRef>
          </c:val>
        </c:ser>
        <c:ser>
          <c:idx val="2"/>
          <c:order val="2"/>
          <c:tx>
            <c:strRef>
              <c:f>Лист1!$D$1</c:f>
              <c:strCache>
                <c:ptCount val="1"/>
                <c:pt idx="0">
                  <c:v>Столбец1</c:v>
                </c:pt>
              </c:strCache>
            </c:strRef>
          </c:tx>
          <c:spPr>
            <a:solidFill>
              <a:srgbClr val="A5A5A5"/>
            </a:solidFill>
            <a:ln w="25371">
              <a:noFill/>
            </a:ln>
          </c:spPr>
          <c:invertIfNegative val="0"/>
          <c:dLbls>
            <c:spPr>
              <a:noFill/>
              <a:ln w="25371">
                <a:noFill/>
              </a:ln>
            </c:spPr>
            <c:txPr>
              <a:bodyPr rot="0" spcFirstLastPara="1" vertOverflow="ellipsis" vert="horz" wrap="square" lIns="38100" tIns="19050" rIns="38100" bIns="19050" anchor="ctr" anchorCtr="1">
                <a:spAutoFit/>
              </a:bodyPr>
              <a:lstStyle/>
              <a:p>
                <a:pPr>
                  <a:defRPr sz="1196"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Лист1!$D$2:$D$7</c:f>
              <c:numCache>
                <c:formatCode>General</c:formatCode>
                <c:ptCount val="6"/>
              </c:numCache>
            </c:numRef>
          </c:val>
        </c:ser>
        <c:dLbls>
          <c:showLegendKey val="0"/>
          <c:showVal val="0"/>
          <c:showCatName val="0"/>
          <c:showSerName val="0"/>
          <c:showPercent val="0"/>
          <c:showBubbleSize val="0"/>
        </c:dLbls>
        <c:gapWidth val="150"/>
        <c:overlap val="100"/>
        <c:axId val="489642544"/>
        <c:axId val="489642936"/>
      </c:barChart>
      <c:catAx>
        <c:axId val="489642544"/>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1196" b="0" i="0" u="none" strike="noStrike" kern="1200" baseline="0">
                <a:solidFill>
                  <a:schemeClr val="tx1">
                    <a:lumMod val="65000"/>
                    <a:lumOff val="35000"/>
                  </a:schemeClr>
                </a:solidFill>
                <a:latin typeface="+mn-lt"/>
                <a:ea typeface="+mn-ea"/>
                <a:cs typeface="+mn-cs"/>
              </a:defRPr>
            </a:pPr>
            <a:endParaRPr lang="uk-UA"/>
          </a:p>
        </c:txPr>
        <c:crossAx val="489642936"/>
        <c:crosses val="autoZero"/>
        <c:auto val="1"/>
        <c:lblAlgn val="ctr"/>
        <c:lblOffset val="100"/>
        <c:noMultiLvlLbl val="0"/>
      </c:catAx>
      <c:valAx>
        <c:axId val="489642936"/>
        <c:scaling>
          <c:orientation val="minMax"/>
        </c:scaling>
        <c:delete val="0"/>
        <c:axPos val="l"/>
        <c:majorGridlines>
          <c:spPr>
            <a:ln w="9514" cap="flat" cmpd="sng" algn="ctr">
              <a:solidFill>
                <a:schemeClr val="tx1">
                  <a:lumMod val="15000"/>
                  <a:lumOff val="85000"/>
                </a:schemeClr>
              </a:solidFill>
              <a:round/>
            </a:ln>
            <a:effectLst/>
          </c:spPr>
        </c:majorGridlines>
        <c:numFmt formatCode="0%" sourceLinked="1"/>
        <c:majorTickMark val="none"/>
        <c:minorTickMark val="none"/>
        <c:tickLblPos val="nextTo"/>
        <c:spPr>
          <a:ln w="6343">
            <a:noFill/>
          </a:ln>
        </c:spPr>
        <c:txPr>
          <a:bodyPr rot="-60000000" spcFirstLastPara="1" vertOverflow="ellipsis" vert="horz" wrap="square" anchor="ctr" anchorCtr="1"/>
          <a:lstStyle/>
          <a:p>
            <a:pPr>
              <a:defRPr sz="1196" b="0" i="0" u="none" strike="noStrike" kern="1200" baseline="0">
                <a:solidFill>
                  <a:schemeClr val="tx1">
                    <a:lumMod val="65000"/>
                    <a:lumOff val="35000"/>
                  </a:schemeClr>
                </a:solidFill>
                <a:latin typeface="+mn-lt"/>
                <a:ea typeface="+mn-ea"/>
                <a:cs typeface="+mn-cs"/>
              </a:defRPr>
            </a:pPr>
            <a:endParaRPr lang="uk-UA"/>
          </a:p>
        </c:txPr>
        <c:crossAx val="489642544"/>
        <c:crosses val="autoZero"/>
        <c:crossBetween val="between"/>
      </c:valAx>
      <c:spPr>
        <a:noFill/>
        <a:ln w="25371">
          <a:noFill/>
        </a:ln>
      </c:spPr>
    </c:plotArea>
    <c:legend>
      <c:legendPos val="b"/>
      <c:legendEntry>
        <c:idx val="2"/>
        <c:delete val="1"/>
      </c:legendEntry>
      <c:overlay val="0"/>
      <c:spPr>
        <a:noFill/>
        <a:ln w="25371">
          <a:noFill/>
        </a:ln>
      </c:spPr>
      <c:txPr>
        <a:bodyPr rot="0" spcFirstLastPara="1" vertOverflow="ellipsis" vert="horz" wrap="square" anchor="ctr" anchorCtr="1"/>
        <a:lstStyle/>
        <a:p>
          <a:pPr>
            <a:defRPr sz="1196"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9569892473118281"/>
          <c:y val="0.38750000000000001"/>
          <c:w val="0.41218637992831542"/>
          <c:h val="0.23"/>
        </c:manualLayout>
      </c:layout>
      <c:pie3DChart>
        <c:varyColors val="1"/>
        <c:ser>
          <c:idx val="0"/>
          <c:order val="0"/>
          <c:tx>
            <c:strRef>
              <c:f>Sheet1!$A$2</c:f>
              <c:strCache>
                <c:ptCount val="1"/>
                <c:pt idx="0">
                  <c:v>Восток</c:v>
                </c:pt>
              </c:strCache>
            </c:strRef>
          </c:tx>
          <c:spPr>
            <a:solidFill>
              <a:srgbClr val="BBE0E3"/>
            </a:solidFill>
            <a:ln w="12696">
              <a:solidFill>
                <a:srgbClr val="000000"/>
              </a:solidFill>
              <a:prstDash val="solid"/>
            </a:ln>
          </c:spPr>
          <c:explosion val="5"/>
          <c:dPt>
            <c:idx val="0"/>
            <c:bubble3D val="0"/>
          </c:dPt>
          <c:dPt>
            <c:idx val="1"/>
            <c:bubble3D val="0"/>
            <c:spPr>
              <a:solidFill>
                <a:srgbClr val="333399"/>
              </a:solidFill>
              <a:ln w="12696">
                <a:solidFill>
                  <a:srgbClr val="000000"/>
                </a:solidFill>
                <a:prstDash val="solid"/>
              </a:ln>
            </c:spPr>
          </c:dPt>
          <c:dPt>
            <c:idx val="2"/>
            <c:bubble3D val="0"/>
            <c:spPr>
              <a:solidFill>
                <a:srgbClr val="009999"/>
              </a:solidFill>
              <a:ln w="12696">
                <a:solidFill>
                  <a:srgbClr val="000000"/>
                </a:solidFill>
                <a:prstDash val="solid"/>
              </a:ln>
            </c:spPr>
          </c:dPt>
          <c:dPt>
            <c:idx val="3"/>
            <c:bubble3D val="0"/>
            <c:spPr>
              <a:solidFill>
                <a:srgbClr val="99CC00"/>
              </a:solidFill>
              <a:ln w="12696">
                <a:solidFill>
                  <a:srgbClr val="000000"/>
                </a:solidFill>
                <a:prstDash val="solid"/>
              </a:ln>
            </c:spPr>
          </c:dPt>
          <c:dPt>
            <c:idx val="4"/>
            <c:bubble3D val="0"/>
            <c:spPr>
              <a:solidFill>
                <a:srgbClr val="808080"/>
              </a:solidFill>
              <a:ln w="12696">
                <a:solidFill>
                  <a:srgbClr val="000000"/>
                </a:solidFill>
                <a:prstDash val="solid"/>
              </a:ln>
            </c:spPr>
          </c:dPt>
          <c:dPt>
            <c:idx val="5"/>
            <c:bubble3D val="0"/>
            <c:spPr>
              <a:solidFill>
                <a:srgbClr val="000000"/>
              </a:solidFill>
              <a:ln w="12696">
                <a:solidFill>
                  <a:srgbClr val="000000"/>
                </a:solidFill>
                <a:prstDash val="solid"/>
              </a:ln>
            </c:spPr>
          </c:dPt>
          <c:dPt>
            <c:idx val="6"/>
            <c:bubble3D val="0"/>
            <c:spPr>
              <a:solidFill>
                <a:srgbClr val="0066CC"/>
              </a:solidFill>
              <a:ln w="12696">
                <a:solidFill>
                  <a:srgbClr val="000000"/>
                </a:solidFill>
                <a:prstDash val="solid"/>
              </a:ln>
            </c:spPr>
          </c:dPt>
          <c:dPt>
            <c:idx val="7"/>
            <c:bubble3D val="0"/>
            <c:spPr>
              <a:solidFill>
                <a:srgbClr val="CCCCFF"/>
              </a:solidFill>
              <a:ln w="12696">
                <a:solidFill>
                  <a:srgbClr val="000000"/>
                </a:solidFill>
                <a:prstDash val="solid"/>
              </a:ln>
            </c:spPr>
          </c:dPt>
          <c:dLbls>
            <c:dLbl>
              <c:idx val="0"/>
              <c:layout>
                <c:manualLayout>
                  <c:x val="-8.6009079238036579E-2"/>
                  <c:y val="0.15805827642559644"/>
                </c:manualLayout>
              </c:layout>
              <c:tx>
                <c:rich>
                  <a:bodyPr/>
                  <a:lstStyle/>
                  <a:p>
                    <a:pPr>
                      <a:defRPr sz="950" b="1" i="0" u="none" strike="noStrike" baseline="0">
                        <a:solidFill>
                          <a:srgbClr val="000000"/>
                        </a:solidFill>
                        <a:latin typeface="Arial"/>
                        <a:ea typeface="Arial"/>
                        <a:cs typeface="Arial"/>
                      </a:defRPr>
                    </a:pPr>
                    <a:r>
                      <a:rPr lang="uk-UA"/>
                      <a:t>ПІІ 100% “Квінтайлс Україна” ; (15%)</a:t>
                    </a:r>
                  </a:p>
                </c:rich>
              </c:tx>
              <c:spPr>
                <a:noFill/>
                <a:ln w="2539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9.183534836830573E-2"/>
                  <c:y val="-5.367547989487631E-3"/>
                </c:manualLayout>
              </c:layout>
              <c:tx>
                <c:rich>
                  <a:bodyPr/>
                  <a:lstStyle/>
                  <a:p>
                    <a:pPr>
                      <a:defRPr sz="950" b="1" i="0" u="none" strike="noStrike" baseline="0">
                        <a:solidFill>
                          <a:srgbClr val="000000"/>
                        </a:solidFill>
                        <a:latin typeface="Arial"/>
                        <a:ea typeface="Arial"/>
                        <a:cs typeface="Arial"/>
                      </a:defRPr>
                    </a:pPr>
                    <a:r>
                      <a:rPr lang="uk-UA"/>
                      <a:t>ТОВ «КДО ІнноФарм-Україна»; (10%)</a:t>
                    </a:r>
                  </a:p>
                </c:rich>
              </c:tx>
              <c:spPr>
                <a:noFill/>
                <a:ln w="2539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10598533203629931"/>
                  <c:y val="-7.9293503040486879E-2"/>
                </c:manualLayout>
              </c:layout>
              <c:tx>
                <c:rich>
                  <a:bodyPr/>
                  <a:lstStyle/>
                  <a:p>
                    <a:pPr>
                      <a:defRPr sz="950" b="1" i="0" u="none" strike="noStrike" baseline="0">
                        <a:solidFill>
                          <a:srgbClr val="000000"/>
                        </a:solidFill>
                        <a:latin typeface="Arial"/>
                        <a:ea typeface="Arial"/>
                        <a:cs typeface="Arial"/>
                      </a:defRPr>
                    </a:pPr>
                    <a:r>
                      <a:rPr lang="uk-UA"/>
                      <a:t>ТОВ «ПАРЕКСЕЛ Україна»; (10%)</a:t>
                    </a:r>
                  </a:p>
                </c:rich>
              </c:tx>
              <c:spPr>
                <a:noFill/>
                <a:ln w="2539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2.2418158666603349E-2"/>
                  <c:y val="-0.16180449182629011"/>
                </c:manualLayout>
              </c:layout>
              <c:tx>
                <c:rich>
                  <a:bodyPr/>
                  <a:lstStyle/>
                  <a:p>
                    <a:pPr>
                      <a:defRPr sz="950" b="1" i="0" u="none" strike="noStrike" baseline="0">
                        <a:solidFill>
                          <a:srgbClr val="000000"/>
                        </a:solidFill>
                        <a:latin typeface="Arial"/>
                        <a:ea typeface="Arial"/>
                        <a:cs typeface="Arial"/>
                      </a:defRPr>
                    </a:pPr>
                    <a:r>
                      <a:rPr lang="uk-UA"/>
                      <a:t>ТОВ «Клінічні дослідження Айкон»; (5%)</a:t>
                    </a:r>
                  </a:p>
                </c:rich>
              </c:tx>
              <c:spPr>
                <a:noFill/>
                <a:ln w="2539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9.5749385450950908E-2"/>
                  <c:y val="-0.26843280447133433"/>
                </c:manualLayout>
              </c:layout>
              <c:tx>
                <c:rich>
                  <a:bodyPr/>
                  <a:lstStyle/>
                  <a:p>
                    <a:pPr>
                      <a:defRPr sz="950" b="1" i="0" u="none" strike="noStrike" baseline="0">
                        <a:solidFill>
                          <a:srgbClr val="000000"/>
                        </a:solidFill>
                        <a:latin typeface="Arial"/>
                        <a:ea typeface="Arial"/>
                        <a:cs typeface="Arial"/>
                      </a:defRPr>
                    </a:pPr>
                    <a:r>
                      <a:rPr lang="uk-UA"/>
                      <a:t>ТОВ «ІНС Ресерч Україна»; (10%)</a:t>
                    </a:r>
                  </a:p>
                </c:rich>
              </c:tx>
              <c:spPr>
                <a:noFill/>
                <a:ln w="2539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1.8105127630788642E-3"/>
                  <c:y val="-0.18781569065415293"/>
                </c:manualLayout>
              </c:layout>
              <c:tx>
                <c:rich>
                  <a:bodyPr/>
                  <a:lstStyle/>
                  <a:p>
                    <a:pPr>
                      <a:defRPr sz="950" b="1" i="0" u="none" strike="noStrike" baseline="0">
                        <a:solidFill>
                          <a:srgbClr val="000000"/>
                        </a:solidFill>
                        <a:latin typeface="Arial"/>
                        <a:ea typeface="Arial"/>
                        <a:cs typeface="Arial"/>
                      </a:defRPr>
                    </a:pPr>
                    <a:r>
                      <a:rPr lang="uk-UA" sz="800" b="1" i="0" u="none" strike="noStrike" baseline="0">
                        <a:solidFill>
                          <a:srgbClr val="000000"/>
                        </a:solidFill>
                        <a:latin typeface="Calibri"/>
                      </a:rPr>
                      <a:t>ТОВ «</a:t>
                    </a:r>
                    <a:r>
                      <a:rPr lang="uk-UA" sz="975" b="1" i="0" u="none" strike="noStrike" baseline="0">
                        <a:solidFill>
                          <a:srgbClr val="000000"/>
                        </a:solidFill>
                        <a:latin typeface="Calibri"/>
                      </a:rPr>
                      <a:t>ГлаксоСмітКляйн</a:t>
                    </a:r>
                    <a:r>
                      <a:rPr lang="uk-UA" sz="800" b="1" i="0" u="none" strike="noStrike" baseline="0">
                        <a:solidFill>
                          <a:srgbClr val="000000"/>
                        </a:solidFill>
                        <a:latin typeface="Calibri"/>
                      </a:rPr>
                      <a:t> Фармасьютікалс Україна»; (6%)</a:t>
                    </a:r>
                  </a:p>
                </c:rich>
              </c:tx>
              <c:spPr>
                <a:noFill/>
                <a:ln w="2539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6"/>
              <c:layout>
                <c:manualLayout>
                  <c:x val="8.1219544201863836E-2"/>
                  <c:y val="-3.1041078591591109E-2"/>
                </c:manualLayout>
              </c:layout>
              <c:tx>
                <c:rich>
                  <a:bodyPr/>
                  <a:lstStyle/>
                  <a:p>
                    <a:pPr>
                      <a:defRPr sz="950" b="1" i="0" u="none" strike="noStrike" baseline="0">
                        <a:solidFill>
                          <a:srgbClr val="000000"/>
                        </a:solidFill>
                        <a:latin typeface="Arial"/>
                        <a:ea typeface="Arial"/>
                        <a:cs typeface="Arial"/>
                      </a:defRPr>
                    </a:pPr>
                    <a:r>
                      <a:rPr lang="uk-UA"/>
                      <a:t>ТОВ “АСТРАЗЕНЕКА УКРАЇНА”; (5%)</a:t>
                    </a:r>
                  </a:p>
                </c:rich>
              </c:tx>
              <c:spPr>
                <a:noFill/>
                <a:ln w="2539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7"/>
              <c:layout>
                <c:manualLayout>
                  <c:x val="1.0717678256734864E-2"/>
                  <c:y val="0.10611239043232801"/>
                </c:manualLayout>
              </c:layout>
              <c:tx>
                <c:rich>
                  <a:bodyPr/>
                  <a:lstStyle/>
                  <a:p>
                    <a:pPr>
                      <a:defRPr sz="950" b="1" i="0" u="none" strike="noStrike" baseline="0">
                        <a:solidFill>
                          <a:srgbClr val="000000"/>
                        </a:solidFill>
                        <a:latin typeface="Arial"/>
                        <a:ea typeface="Arial"/>
                        <a:cs typeface="Arial"/>
                      </a:defRPr>
                    </a:pPr>
                    <a:r>
                      <a:rPr lang="uk-UA"/>
                      <a:t>Інші 32 Заявника; (39%)</a:t>
                    </a:r>
                  </a:p>
                </c:rich>
              </c:tx>
              <c:spPr>
                <a:noFill/>
                <a:ln w="25392">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392">
                <a:noFill/>
              </a:ln>
            </c:spPr>
            <c:txPr>
              <a:bodyPr wrap="square" lIns="38100" tIns="19050" rIns="38100" bIns="19050" anchor="ctr">
                <a:spAutoFit/>
              </a:bodyPr>
              <a:lstStyle/>
              <a:p>
                <a:pPr>
                  <a:defRPr sz="950"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Sheet1!$B$1:$L$1</c:f>
              <c:strCache>
                <c:ptCount val="8"/>
                <c:pt idx="0">
                  <c:v>ПІІ 100% “Квінтайлс Україна” </c:v>
                </c:pt>
                <c:pt idx="1">
                  <c:v>ТОВ «КДО ІнноФарм-Україна»</c:v>
                </c:pt>
                <c:pt idx="2">
                  <c:v>ТОВ «ПАРЕКСЕЛ Україна»</c:v>
                </c:pt>
                <c:pt idx="3">
                  <c:v>ТОВ «Клінічні дослідження Айкон»</c:v>
                </c:pt>
                <c:pt idx="4">
                  <c:v>ТОВ «ІНС Ресерч Україна»</c:v>
                </c:pt>
                <c:pt idx="5">
                  <c:v>ТОВ «ГлаксоСмітКляйн Фармасьютікалс Україна»</c:v>
                </c:pt>
                <c:pt idx="6">
                  <c:v>ТОВ “АСТРАЗЕНЕКА УКРАЇНА”</c:v>
                </c:pt>
                <c:pt idx="7">
                  <c:v>Інші 32 Заявника</c:v>
                </c:pt>
              </c:strCache>
            </c:strRef>
          </c:cat>
          <c:val>
            <c:numRef>
              <c:f>Sheet1!$B$2:$L$2</c:f>
              <c:numCache>
                <c:formatCode>General</c:formatCode>
                <c:ptCount val="8"/>
                <c:pt idx="0">
                  <c:v>15</c:v>
                </c:pt>
                <c:pt idx="1">
                  <c:v>10</c:v>
                </c:pt>
                <c:pt idx="2">
                  <c:v>10</c:v>
                </c:pt>
                <c:pt idx="3">
                  <c:v>5</c:v>
                </c:pt>
                <c:pt idx="4">
                  <c:v>10</c:v>
                </c:pt>
                <c:pt idx="5">
                  <c:v>6</c:v>
                </c:pt>
                <c:pt idx="6">
                  <c:v>5</c:v>
                </c:pt>
                <c:pt idx="7">
                  <c:v>39</c:v>
                </c:pt>
              </c:numCache>
            </c:numRef>
          </c:val>
        </c:ser>
        <c:dLbls>
          <c:showLegendKey val="0"/>
          <c:showVal val="0"/>
          <c:showCatName val="0"/>
          <c:showSerName val="0"/>
          <c:showPercent val="0"/>
          <c:showBubbleSize val="0"/>
          <c:showLeaderLines val="1"/>
        </c:dLbls>
      </c:pie3DChart>
      <c:spPr>
        <a:noFill/>
        <a:ln w="12696">
          <a:solidFill>
            <a:srgbClr val="000000"/>
          </a:solidFill>
          <a:prstDash val="solid"/>
        </a:ln>
      </c:spPr>
    </c:plotArea>
    <c:plotVisOnly val="1"/>
    <c:dispBlanksAs val="zero"/>
    <c:showDLblsOverMax val="0"/>
  </c:chart>
  <c:spPr>
    <a:noFill/>
    <a:ln>
      <a:noFill/>
    </a:ln>
  </c:spPr>
  <c:txPr>
    <a:bodyPr/>
    <a:lstStyle/>
    <a:p>
      <a:pPr>
        <a:defRPr sz="1599" b="1" i="0" u="none" strike="noStrike" baseline="0">
          <a:solidFill>
            <a:srgbClr val="000000"/>
          </a:solidFill>
          <a:latin typeface="Arial"/>
          <a:ea typeface="Arial"/>
          <a:cs typeface="Arial"/>
        </a:defRPr>
      </a:pPr>
      <a:endParaRPr lang="uk-UA"/>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915486979221932E-3"/>
          <c:y val="2.6416502759198726E-2"/>
          <c:w val="0.4135446654073901"/>
          <c:h val="0.39935659592493539"/>
        </c:manualLayout>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dLbl>
              <c:idx val="0"/>
              <c:layout>
                <c:manualLayout>
                  <c:x val="0.47136763846738444"/>
                  <c:y val="1.4941914094354502E-2"/>
                </c:manualLayout>
              </c:layout>
              <c:tx>
                <c:rich>
                  <a:bodyPr rot="0" spcFirstLastPara="1" vertOverflow="clip" horzOverflow="clip" vert="horz" wrap="square" lIns="38100" tIns="19050" rIns="38100" bIns="19050" anchor="ctr" anchorCtr="1">
                    <a:noAutofit/>
                  </a:bodyPr>
                  <a:lstStyle/>
                  <a:p>
                    <a:pPr>
                      <a:defRPr sz="900" b="1" i="0" u="none" strike="noStrike" kern="1200" baseline="0">
                        <a:solidFill>
                          <a:srgbClr val="0070C0"/>
                        </a:solidFill>
                        <a:latin typeface="+mn-lt"/>
                        <a:ea typeface="+mn-ea"/>
                        <a:cs typeface="+mn-cs"/>
                      </a:defRPr>
                    </a:pPr>
                    <a:fld id="{4EFF66E8-7022-428B-8ED5-500B6AE935D0}" type="CATEGORYNAME">
                      <a:rPr lang="uk-UA" b="1">
                        <a:solidFill>
                          <a:srgbClr val="0070C0"/>
                        </a:solidFill>
                      </a:rPr>
                      <a:pPr>
                        <a:defRPr sz="900" b="1" i="0" u="none" strike="noStrike" kern="1200" baseline="0">
                          <a:solidFill>
                            <a:srgbClr val="0070C0"/>
                          </a:solidFill>
                          <a:latin typeface="+mn-lt"/>
                          <a:ea typeface="+mn-ea"/>
                          <a:cs typeface="+mn-cs"/>
                        </a:defRPr>
                      </a:pPr>
                      <a:t>[ИМЯ КАТЕГОРИИ]</a:t>
                    </a:fld>
                    <a:r>
                      <a:rPr lang="uk-UA" b="1" baseline="0">
                        <a:solidFill>
                          <a:srgbClr val="0070C0"/>
                        </a:solidFill>
                      </a:rPr>
                      <a:t>
</a:t>
                    </a:r>
                  </a:p>
                </c:rich>
              </c:tx>
              <c:spPr>
                <a:solidFill>
                  <a:sysClr val="window" lastClr="FFFFFF">
                    <a:alpha val="75000"/>
                  </a:sysClr>
                </a:solidFill>
                <a:ln w="9525">
                  <a:solidFill>
                    <a:sysClr val="windowText" lastClr="000000">
                      <a:lumMod val="25000"/>
                      <a:lumOff val="75000"/>
                    </a:sysClr>
                  </a:solidFill>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dlblFieldTable/>
                  <c15:showDataLabelsRange val="0"/>
                </c:ext>
              </c:extLst>
            </c:dLbl>
            <c:dLbl>
              <c:idx val="1"/>
              <c:layout>
                <c:manualLayout>
                  <c:x val="1.9407000412439462E-2"/>
                  <c:y val="5.5750167199963355E-2"/>
                </c:manualLayout>
              </c:layout>
              <c:tx>
                <c:rich>
                  <a:bodyPr rot="0" spcFirstLastPara="1" vertOverflow="clip" horzOverflow="clip" vert="horz" wrap="square" lIns="38100" tIns="19050" rIns="38100" bIns="19050" anchor="ctr" anchorCtr="1">
                    <a:noAutofit/>
                  </a:bodyPr>
                  <a:lstStyle/>
                  <a:p>
                    <a:pPr>
                      <a:defRPr sz="900" b="1" i="0" u="none" strike="noStrike" kern="1200" baseline="0">
                        <a:solidFill>
                          <a:srgbClr val="0070C0"/>
                        </a:solidFill>
                        <a:latin typeface="+mn-lt"/>
                        <a:ea typeface="+mn-ea"/>
                        <a:cs typeface="+mn-cs"/>
                      </a:defRPr>
                    </a:pPr>
                    <a:fld id="{97104C4E-A40F-4E59-8012-C93805A4400F}" type="CATEGORYNAME">
                      <a:rPr lang="uk-UA" b="1">
                        <a:solidFill>
                          <a:srgbClr val="0070C0"/>
                        </a:solidFill>
                      </a:rPr>
                      <a:pPr>
                        <a:defRPr sz="900" b="1" i="0" u="none" strike="noStrike" kern="1200" baseline="0">
                          <a:solidFill>
                            <a:srgbClr val="0070C0"/>
                          </a:solidFill>
                          <a:latin typeface="+mn-lt"/>
                          <a:ea typeface="+mn-ea"/>
                          <a:cs typeface="+mn-cs"/>
                        </a:defRPr>
                      </a:pPr>
                      <a:t>[ИМЯ КАТЕГОРИИ]</a:t>
                    </a:fld>
                    <a:r>
                      <a:rPr lang="uk-UA" b="1" baseline="0">
                        <a:solidFill>
                          <a:srgbClr val="0070C0"/>
                        </a:solidFill>
                      </a:rPr>
                      <a:t>
</a:t>
                    </a:r>
                  </a:p>
                </c:rich>
              </c:tx>
              <c:spPr>
                <a:solidFill>
                  <a:sysClr val="window" lastClr="FFFFFF">
                    <a:alpha val="75000"/>
                  </a:sysClr>
                </a:solidFill>
                <a:ln w="9525">
                  <a:solidFill>
                    <a:sysClr val="windowText" lastClr="000000">
                      <a:lumMod val="25000"/>
                      <a:lumOff val="75000"/>
                    </a:sysClr>
                  </a:solidFill>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1778159214011578"/>
                      <c:h val="0.22928150727570537"/>
                    </c:manualLayout>
                  </c15:layout>
                  <c15:dlblFieldTable/>
                  <c15:showDataLabelsRange val="0"/>
                </c:ext>
              </c:extLst>
            </c:dLbl>
            <c:dLbl>
              <c:idx val="2"/>
              <c:layout>
                <c:manualLayout>
                  <c:x val="0.31004656509203593"/>
                  <c:y val="0.19341684157052519"/>
                </c:manualLayout>
              </c:layout>
              <c:tx>
                <c:rich>
                  <a:bodyPr rot="0" spcFirstLastPara="1" vertOverflow="clip" horzOverflow="clip" vert="horz" wrap="square" lIns="38100" tIns="19050" rIns="38100" bIns="19050" anchor="ctr" anchorCtr="1">
                    <a:noAutofit/>
                  </a:bodyPr>
                  <a:lstStyle/>
                  <a:p>
                    <a:pPr>
                      <a:defRPr sz="900" b="1" i="0" u="none" strike="noStrike" kern="1200" baseline="0">
                        <a:solidFill>
                          <a:srgbClr val="0070C0"/>
                        </a:solidFill>
                        <a:latin typeface="+mn-lt"/>
                        <a:ea typeface="+mn-ea"/>
                        <a:cs typeface="+mn-cs"/>
                      </a:defRPr>
                    </a:pPr>
                    <a:fld id="{95636D2B-AC35-4666-8F13-27E43E62BB90}" type="CATEGORYNAME">
                      <a:rPr lang="uk-UA" b="1">
                        <a:solidFill>
                          <a:srgbClr val="0070C0"/>
                        </a:solidFill>
                      </a:rPr>
                      <a:pPr>
                        <a:defRPr sz="900" b="1" i="0" u="none" strike="noStrike" kern="1200" baseline="0">
                          <a:solidFill>
                            <a:srgbClr val="0070C0"/>
                          </a:solidFill>
                          <a:latin typeface="+mn-lt"/>
                          <a:ea typeface="+mn-ea"/>
                          <a:cs typeface="+mn-cs"/>
                        </a:defRPr>
                      </a:pPr>
                      <a:t>[ИМЯ КАТЕГОРИИ]</a:t>
                    </a:fld>
                    <a:endParaRPr lang="uk-UA"/>
                  </a:p>
                </c:rich>
              </c:tx>
              <c:spPr>
                <a:solidFill>
                  <a:sysClr val="window" lastClr="FFFFFF">
                    <a:alpha val="75000"/>
                  </a:sysClr>
                </a:solidFill>
                <a:ln w="9525">
                  <a:solidFill>
                    <a:sysClr val="windowText" lastClr="000000">
                      <a:lumMod val="25000"/>
                      <a:lumOff val="75000"/>
                    </a:sysClr>
                  </a:solidFill>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2000161300592144"/>
                      <c:h val="0.1671821461798543"/>
                    </c:manualLayout>
                  </c15:layout>
                  <c15:dlblFieldTable/>
                  <c15:showDataLabelsRange val="0"/>
                </c:ext>
              </c:extLst>
            </c:dLbl>
            <c:dLbl>
              <c:idx val="3"/>
              <c:layout>
                <c:manualLayout>
                  <c:x val="0.10083600022748306"/>
                  <c:y val="0.20676243220793572"/>
                </c:manualLayout>
              </c:layout>
              <c:tx>
                <c:rich>
                  <a:bodyPr/>
                  <a:lstStyle/>
                  <a:p>
                    <a:fld id="{D242282C-43E9-40E2-9223-5F75BB7A5EA6}" type="CATEGORYNAME">
                      <a:rPr lang="uk-UA"/>
                      <a:pPr/>
                      <a:t>[ИМЯ КАТЕГОРИИ]</a:t>
                    </a:fld>
                    <a:endParaRPr lang="uk-UA"/>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2.1561774574632938E-3"/>
                  <c:y val="0.34563628111079414"/>
                </c:manualLayout>
              </c:layout>
              <c:tx>
                <c:rich>
                  <a:bodyPr rot="0" spcFirstLastPara="1" vertOverflow="clip" horzOverflow="clip" vert="horz" wrap="square" lIns="38100" tIns="19050" rIns="38100" bIns="19050" anchor="ctr" anchorCtr="1">
                    <a:noAutofit/>
                  </a:bodyPr>
                  <a:lstStyle/>
                  <a:p>
                    <a:pPr>
                      <a:defRPr sz="900" b="1" i="0" u="none" strike="noStrike" kern="1200" baseline="0">
                        <a:solidFill>
                          <a:srgbClr val="0070C0"/>
                        </a:solidFill>
                        <a:latin typeface="+mn-lt"/>
                        <a:ea typeface="+mn-ea"/>
                        <a:cs typeface="+mn-cs"/>
                      </a:defRPr>
                    </a:pPr>
                    <a:fld id="{9C417E40-CA2F-4A69-ADB6-8E6F526087D9}" type="CATEGORYNAME">
                      <a:rPr lang="uk-UA" b="1">
                        <a:solidFill>
                          <a:srgbClr val="0070C0"/>
                        </a:solidFill>
                      </a:rPr>
                      <a:pPr>
                        <a:defRPr sz="900" b="1" i="0" u="none" strike="noStrike" kern="1200" baseline="0">
                          <a:solidFill>
                            <a:srgbClr val="0070C0"/>
                          </a:solidFill>
                          <a:latin typeface="+mn-lt"/>
                          <a:ea typeface="+mn-ea"/>
                          <a:cs typeface="+mn-cs"/>
                        </a:defRPr>
                      </a:pPr>
                      <a:t>[ИМЯ КАТЕГОРИИ]</a:t>
                    </a:fld>
                    <a:r>
                      <a:rPr lang="uk-UA" b="1" baseline="0">
                        <a:solidFill>
                          <a:srgbClr val="0070C0"/>
                        </a:solidFill>
                      </a:rPr>
                      <a:t>
</a:t>
                    </a:r>
                  </a:p>
                </c:rich>
              </c:tx>
              <c:spPr>
                <a:solidFill>
                  <a:sysClr val="window" lastClr="FFFFFF">
                    <a:alpha val="75000"/>
                  </a:sysClr>
                </a:solidFill>
                <a:ln w="9525">
                  <a:solidFill>
                    <a:sysClr val="windowText" lastClr="000000">
                      <a:lumMod val="25000"/>
                      <a:lumOff val="75000"/>
                    </a:sysClr>
                  </a:solidFill>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2122155485281317"/>
                      <c:h val="0.13268056910753592"/>
                    </c:manualLayout>
                  </c15:layout>
                  <c15:dlblFieldTable/>
                  <c15:showDataLabelsRange val="0"/>
                </c:ext>
              </c:extLst>
            </c:dLbl>
            <c:dLbl>
              <c:idx val="5"/>
              <c:layout>
                <c:manualLayout>
                  <c:x val="2.1531012661500041E-2"/>
                  <c:y val="0.59658989994671718"/>
                </c:manualLayout>
              </c:layout>
              <c:tx>
                <c:rich>
                  <a:bodyPr rot="0" spcFirstLastPara="1" vertOverflow="clip" horzOverflow="clip" vert="horz" wrap="square" lIns="38100" tIns="19050" rIns="38100" bIns="19050" anchor="ctr" anchorCtr="1">
                    <a:noAutofit/>
                  </a:bodyPr>
                  <a:lstStyle/>
                  <a:p>
                    <a:pPr>
                      <a:defRPr sz="900" b="1" i="0" u="none" strike="noStrike" kern="1200" baseline="0">
                        <a:solidFill>
                          <a:srgbClr val="0070C0"/>
                        </a:solidFill>
                        <a:latin typeface="+mn-lt"/>
                        <a:ea typeface="+mn-ea"/>
                        <a:cs typeface="+mn-cs"/>
                      </a:defRPr>
                    </a:pPr>
                    <a:fld id="{F7481352-3453-4726-8229-12F1AF4E82AE}" type="CATEGORYNAME">
                      <a:rPr lang="uk-UA" b="1">
                        <a:solidFill>
                          <a:srgbClr val="0070C0"/>
                        </a:solidFill>
                      </a:rPr>
                      <a:pPr>
                        <a:defRPr sz="900" b="1" i="0" u="none" strike="noStrike" kern="1200" baseline="0">
                          <a:solidFill>
                            <a:srgbClr val="0070C0"/>
                          </a:solidFill>
                          <a:latin typeface="+mn-lt"/>
                          <a:ea typeface="+mn-ea"/>
                          <a:cs typeface="+mn-cs"/>
                        </a:defRPr>
                      </a:pPr>
                      <a:t>[ИМЯ КАТЕГОРИИ]</a:t>
                    </a:fld>
                    <a:r>
                      <a:rPr lang="uk-UA" b="1" baseline="0">
                        <a:solidFill>
                          <a:srgbClr val="0070C0"/>
                        </a:solidFill>
                      </a:rPr>
                      <a:t>
</a:t>
                    </a:r>
                  </a:p>
                </c:rich>
              </c:tx>
              <c:spPr>
                <a:solidFill>
                  <a:sysClr val="window" lastClr="FFFFFF">
                    <a:alpha val="75000"/>
                  </a:sysClr>
                </a:solidFill>
                <a:ln w="9525">
                  <a:solidFill>
                    <a:sysClr val="windowText" lastClr="000000">
                      <a:lumMod val="25000"/>
                      <a:lumOff val="75000"/>
                    </a:sysClr>
                  </a:solidFill>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1931464227348935"/>
                      <c:h val="0.16758578184310721"/>
                    </c:manualLayout>
                  </c15:layout>
                  <c15:dlblFieldTable/>
                  <c15:showDataLabelsRange val="0"/>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Лист1!$A$2:$A$7</c:f>
              <c:strCache>
                <c:ptCount val="6"/>
                <c:pt idx="0">
                  <c:v>Підприємство із 100% Іноземною Інвестицією «Квінтайлс Україна»  19%</c:v>
                </c:pt>
                <c:pt idx="1">
                  <c:v>ТОВ "Контрактно-дослідницька організація ІнноФарм-Україна"  11%</c:v>
                </c:pt>
                <c:pt idx="2">
                  <c:v>ТОВ "ПАРЕКСЕЛ Україна"  6%</c:v>
                </c:pt>
                <c:pt idx="3">
                  <c:v>ТОВ «Сінерджи Групп Україна»  5%</c:v>
                </c:pt>
                <c:pt idx="4">
                  <c:v>ТОВ "ПІ ЕС АЙ-Україна"  4%</c:v>
                </c:pt>
                <c:pt idx="5">
                  <c:v>Інший 31 заявник 55%</c:v>
                </c:pt>
              </c:strCache>
            </c:strRef>
          </c:cat>
          <c:val>
            <c:numRef>
              <c:f>Лист1!$B$2:$B$7</c:f>
              <c:numCache>
                <c:formatCode>General</c:formatCode>
                <c:ptCount val="6"/>
                <c:pt idx="0">
                  <c:v>19</c:v>
                </c:pt>
                <c:pt idx="1">
                  <c:v>11</c:v>
                </c:pt>
                <c:pt idx="2">
                  <c:v>6</c:v>
                </c:pt>
                <c:pt idx="3">
                  <c:v>5</c:v>
                </c:pt>
                <c:pt idx="4">
                  <c:v>4</c:v>
                </c:pt>
                <c:pt idx="5">
                  <c:v>55</c:v>
                </c:pt>
              </c:numCache>
            </c:numRef>
          </c:val>
        </c:ser>
        <c:dLbls>
          <c:dLblPos val="inEnd"/>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bg1"/>
      </a:solidFill>
      <a:round/>
    </a:ln>
    <a:effectLst/>
  </c:spPr>
  <c:txPr>
    <a:bodyPr/>
    <a:lstStyle/>
    <a:p>
      <a:pPr>
        <a:defRPr/>
      </a:pPr>
      <a:endParaRPr lang="uk-UA"/>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Лист1!$B$2</c:f>
              <c:strCache>
                <c:ptCount val="1"/>
                <c:pt idx="0">
                  <c:v>Кількість</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2.3851116120858336E-2"/>
                  <c:y val="4.4203849518810153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
                  <c:y val="-7.291666666666669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2.2353092792861472E-2"/>
                  <c:y val="-7.738106955380577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6.1028704399501928E-2"/>
                  <c:y val="1.4881342957130358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4.8409405255878286E-3"/>
                  <c:y val="6.966754155730534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Лист1!$A$3:$A$8</c:f>
              <c:strCache>
                <c:ptCount val="6"/>
                <c:pt idx="0">
                  <c:v>ПІІ 100 % "Квінтайлс Україна"</c:v>
                </c:pt>
                <c:pt idx="1">
                  <c:v>ТОВ "ФРА Україна"</c:v>
                </c:pt>
                <c:pt idx="2">
                  <c:v>ТОВ "Контрактно-дослідницька організація ІнноФарм-Україна"</c:v>
                </c:pt>
                <c:pt idx="3">
                  <c:v>ЕббВі Біофармасьютікалз ГмбХ, Україна</c:v>
                </c:pt>
                <c:pt idx="4">
                  <c:v>ТОВ "АСТРАЗЕНЕКА УКРАЇНА"</c:v>
                </c:pt>
                <c:pt idx="5">
                  <c:v>Інші</c:v>
                </c:pt>
              </c:strCache>
            </c:strRef>
          </c:cat>
          <c:val>
            <c:numRef>
              <c:f>Лист1!$B$3:$B$8</c:f>
              <c:numCache>
                <c:formatCode>General</c:formatCode>
                <c:ptCount val="6"/>
                <c:pt idx="0">
                  <c:v>31</c:v>
                </c:pt>
                <c:pt idx="1">
                  <c:v>19</c:v>
                </c:pt>
                <c:pt idx="2">
                  <c:v>12</c:v>
                </c:pt>
                <c:pt idx="3">
                  <c:v>9</c:v>
                </c:pt>
                <c:pt idx="4">
                  <c:v>9</c:v>
                </c:pt>
                <c:pt idx="5">
                  <c:v>122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Кількість</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2.3851116120858336E-2"/>
                  <c:y val="4.4203849518810153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6104195481788846E-2"/>
                  <c:y val="-1.041666666666669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2.2353092792861472E-2"/>
                  <c:y val="-7.738106955380577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6.5639123947680816E-2"/>
                  <c:y val="-5.059519903762029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1088059013370216"/>
                  <c:y val="3.841754155730534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ТОВ Контрактно-дослідницька організація ІнноФарм, Україна</c:v>
                </c:pt>
                <c:pt idx="1">
                  <c:v>ТОВ МСД, Україна</c:v>
                </c:pt>
                <c:pt idx="2">
                  <c:v>ТОВ ПІ ЕС АЙ, Україна</c:v>
                </c:pt>
                <c:pt idx="3">
                  <c:v>Підприємство з 100% іноземною інвестицією АЙК'ЮВІА РДС, Україна</c:v>
                </c:pt>
                <c:pt idx="4">
                  <c:v>ТОВ ІНС Ресерч, Україна</c:v>
                </c:pt>
                <c:pt idx="5">
                  <c:v>ТОВ Клінічні дослідження Айкон, Україна</c:v>
                </c:pt>
                <c:pt idx="6">
                  <c:v>Інші</c:v>
                </c:pt>
              </c:strCache>
            </c:strRef>
          </c:cat>
          <c:val>
            <c:numRef>
              <c:f>Лист1!$B$2:$B$8</c:f>
              <c:numCache>
                <c:formatCode>General</c:formatCode>
                <c:ptCount val="7"/>
                <c:pt idx="0">
                  <c:v>16</c:v>
                </c:pt>
                <c:pt idx="1">
                  <c:v>16</c:v>
                </c:pt>
                <c:pt idx="2">
                  <c:v>15</c:v>
                </c:pt>
                <c:pt idx="3">
                  <c:v>13</c:v>
                </c:pt>
                <c:pt idx="4">
                  <c:v>13</c:v>
                </c:pt>
                <c:pt idx="5">
                  <c:v>12</c:v>
                </c:pt>
                <c:pt idx="6">
                  <c:v>98</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mn-lt"/>
                <a:ea typeface="+mn-ea"/>
                <a:cs typeface="+mn-cs"/>
              </a:defRPr>
            </a:pPr>
            <a:r>
              <a:rPr lang="uk-UA" sz="1600" b="1"/>
              <a:t>Спонсори-лідери в 201</a:t>
            </a:r>
            <a:r>
              <a:rPr lang="en-US" sz="1600" b="1"/>
              <a:t>6</a:t>
            </a:r>
            <a:r>
              <a:rPr lang="uk-UA" sz="1600" b="1"/>
              <a:t> році</a:t>
            </a:r>
          </a:p>
        </c:rich>
      </c:tx>
      <c:layout>
        <c:manualLayout>
          <c:xMode val="edge"/>
          <c:yMode val="edge"/>
          <c:x val="7.4454939371448661E-2"/>
          <c:y val="0"/>
        </c:manualLayout>
      </c:layout>
      <c:overlay val="0"/>
      <c:spPr>
        <a:noFill/>
        <a:ln>
          <a:noFill/>
        </a:ln>
        <a:effectLst/>
      </c:spPr>
      <c:txPr>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КВ</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outerShdw blurRad="40000" dist="20000" dir="5400000" rotWithShape="0">
                  <a:srgbClr val="000000">
                    <a:alpha val="38000"/>
                  </a:srgbClr>
                </a:outerShdw>
              </a:effectLst>
            </c:spPr>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a:outerShdw blurRad="40000" dist="20000" dir="5400000" rotWithShape="0">
                  <a:srgbClr val="000000">
                    <a:alpha val="38000"/>
                  </a:srgbClr>
                </a:outerShdw>
              </a:effectLst>
            </c:spPr>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a:outerShdw blurRad="40000" dist="20000" dir="5400000" rotWithShape="0">
                  <a:srgbClr val="000000">
                    <a:alpha val="38000"/>
                  </a:srgbClr>
                </a:outerShdw>
              </a:effectLst>
            </c:spPr>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65000"/>
                        <a:lumOff val="35000"/>
                      </a:schemeClr>
                    </a:solidFill>
                    <a:latin typeface="+mn-lt"/>
                    <a:ea typeface="+mn-ea"/>
                    <a:cs typeface="+mn-cs"/>
                  </a:defRPr>
                </a:pPr>
                <a:endParaRPr lang="uk-UA"/>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Лист1!$A$2:$A$7</c:f>
              <c:strCache>
                <c:ptCount val="6"/>
                <c:pt idx="0">
                  <c:v>AstraZeneca AB, Sweden</c:v>
                </c:pt>
                <c:pt idx="1">
                  <c:v>AB Science, France</c:v>
                </c:pt>
                <c:pt idx="2">
                  <c:v>Roche, Switzerland</c:v>
                </c:pt>
                <c:pt idx="3">
                  <c:v>AbbVie Inc., USA</c:v>
                </c:pt>
                <c:pt idx="4">
                  <c:v>Takeda Development Centre Europe Ltd., United Kingdom</c:v>
                </c:pt>
                <c:pt idx="5">
                  <c:v>Інші</c:v>
                </c:pt>
              </c:strCache>
            </c:strRef>
          </c:cat>
          <c:val>
            <c:numRef>
              <c:f>Лист1!$B$2:$B$7</c:f>
              <c:numCache>
                <c:formatCode>General</c:formatCode>
                <c:ptCount val="6"/>
                <c:pt idx="0">
                  <c:v>7</c:v>
                </c:pt>
                <c:pt idx="1">
                  <c:v>6</c:v>
                </c:pt>
                <c:pt idx="2">
                  <c:v>5</c:v>
                </c:pt>
                <c:pt idx="3">
                  <c:v>5</c:v>
                </c:pt>
                <c:pt idx="4">
                  <c:v>5</c:v>
                </c:pt>
                <c:pt idx="5">
                  <c:v>116</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545350736592367"/>
          <c:y val="8.9277417477123991E-2"/>
          <c:w val="0.33172597361467365"/>
          <c:h val="0.9100521882439113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50000"/>
                  <a:lumOff val="50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rgbClr val="5B9BD5"/>
            </a:solidFill>
            <a:ln w="25371">
              <a:noFill/>
            </a:ln>
          </c:spPr>
          <c:invertIfNegative val="0"/>
          <c:dPt>
            <c:idx val="0"/>
            <c:invertIfNegative val="0"/>
            <c:bubble3D val="0"/>
            <c:spPr>
              <a:solidFill>
                <a:srgbClr val="7030A0"/>
              </a:solidFill>
              <a:ln w="25371">
                <a:noFill/>
              </a:ln>
            </c:spPr>
          </c:dPt>
          <c:dPt>
            <c:idx val="1"/>
            <c:invertIfNegative val="0"/>
            <c:bubble3D val="0"/>
            <c:spPr>
              <a:solidFill>
                <a:srgbClr val="FF6600"/>
              </a:solidFill>
              <a:ln w="25371">
                <a:noFill/>
              </a:ln>
            </c:spPr>
          </c:dPt>
          <c:dPt>
            <c:idx val="2"/>
            <c:invertIfNegative val="0"/>
            <c:bubble3D val="0"/>
            <c:spPr>
              <a:solidFill>
                <a:srgbClr val="FFC000"/>
              </a:solidFill>
              <a:ln w="25371">
                <a:noFill/>
              </a:ln>
            </c:spPr>
          </c:dPt>
          <c:dPt>
            <c:idx val="3"/>
            <c:invertIfNegative val="0"/>
            <c:bubble3D val="0"/>
            <c:spPr>
              <a:solidFill>
                <a:srgbClr val="00B0F0"/>
              </a:solidFill>
              <a:ln w="25371">
                <a:noFill/>
              </a:ln>
            </c:spPr>
          </c:dPt>
          <c:dPt>
            <c:idx val="4"/>
            <c:invertIfNegative val="0"/>
            <c:bubble3D val="0"/>
            <c:spPr>
              <a:solidFill>
                <a:srgbClr val="70AD47">
                  <a:lumMod val="60000"/>
                  <a:lumOff val="40000"/>
                </a:srgbClr>
              </a:solidFill>
              <a:ln>
                <a:noFill/>
              </a:ln>
              <a:effectLst/>
            </c:spPr>
          </c:dPt>
          <c:dPt>
            <c:idx val="6"/>
            <c:invertIfNegative val="0"/>
            <c:bubble3D val="0"/>
            <c:spPr>
              <a:solidFill>
                <a:srgbClr val="FF66FF"/>
              </a:solidFill>
              <a:ln w="25371">
                <a:noFill/>
              </a:ln>
            </c:spPr>
          </c:dPt>
          <c:dLbls>
            <c:dLbl>
              <c:idx val="6"/>
              <c:tx>
                <c:rich>
                  <a:bodyPr/>
                  <a:lstStyle/>
                  <a:p>
                    <a:r>
                      <a:rPr lang="en-US"/>
                      <a:t>135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w="25371">
                <a:noFill/>
              </a:ln>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Лист1!$B$2:$B$10</c:f>
              <c:numCache>
                <c:formatCode>General</c:formatCode>
                <c:ptCount val="9"/>
                <c:pt idx="0">
                  <c:v>177</c:v>
                </c:pt>
                <c:pt idx="1">
                  <c:v>201</c:v>
                </c:pt>
                <c:pt idx="2">
                  <c:v>213</c:v>
                </c:pt>
                <c:pt idx="3">
                  <c:v>177</c:v>
                </c:pt>
                <c:pt idx="4">
                  <c:v>188</c:v>
                </c:pt>
                <c:pt idx="5">
                  <c:v>144</c:v>
                </c:pt>
                <c:pt idx="6">
                  <c:v>135</c:v>
                </c:pt>
                <c:pt idx="7">
                  <c:v>183</c:v>
                </c:pt>
                <c:pt idx="8">
                  <c:v>178</c:v>
                </c:pt>
              </c:numCache>
            </c:numRef>
          </c:val>
        </c:ser>
        <c:dLbls>
          <c:showLegendKey val="0"/>
          <c:showVal val="0"/>
          <c:showCatName val="0"/>
          <c:showSerName val="0"/>
          <c:showPercent val="0"/>
          <c:showBubbleSize val="0"/>
        </c:dLbls>
        <c:gapWidth val="219"/>
        <c:overlap val="-27"/>
        <c:axId val="327390512"/>
        <c:axId val="327392080"/>
      </c:barChart>
      <c:catAx>
        <c:axId val="327390512"/>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1196" b="1" i="0" u="none" strike="noStrike" kern="1200" baseline="0">
                <a:solidFill>
                  <a:schemeClr val="tx1">
                    <a:lumMod val="65000"/>
                    <a:lumOff val="35000"/>
                  </a:schemeClr>
                </a:solidFill>
                <a:latin typeface="+mn-lt"/>
                <a:ea typeface="+mn-ea"/>
                <a:cs typeface="+mn-cs"/>
              </a:defRPr>
            </a:pPr>
            <a:endParaRPr lang="uk-UA"/>
          </a:p>
        </c:txPr>
        <c:crossAx val="327392080"/>
        <c:crosses val="autoZero"/>
        <c:auto val="1"/>
        <c:lblAlgn val="ctr"/>
        <c:lblOffset val="100"/>
        <c:noMultiLvlLbl val="0"/>
      </c:catAx>
      <c:valAx>
        <c:axId val="327392080"/>
        <c:scaling>
          <c:orientation val="minMax"/>
        </c:scaling>
        <c:delete val="1"/>
        <c:axPos val="l"/>
        <c:majorGridlines>
          <c:spPr>
            <a:ln w="9514" cap="flat" cmpd="sng" algn="ctr">
              <a:solidFill>
                <a:schemeClr val="tx1">
                  <a:lumMod val="15000"/>
                  <a:lumOff val="85000"/>
                </a:schemeClr>
              </a:solidFill>
              <a:round/>
            </a:ln>
            <a:effectLst/>
          </c:spPr>
        </c:majorGridlines>
        <c:numFmt formatCode="General" sourceLinked="1"/>
        <c:majorTickMark val="none"/>
        <c:minorTickMark val="none"/>
        <c:tickLblPos val="nextTo"/>
        <c:crossAx val="327390512"/>
        <c:crosses val="autoZero"/>
        <c:crossBetween val="between"/>
      </c:valAx>
      <c:spPr>
        <a:noFill/>
        <a:ln w="25371">
          <a:noFill/>
        </a:ln>
      </c:spPr>
    </c:plotArea>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mn-lt"/>
                <a:ea typeface="+mn-ea"/>
                <a:cs typeface="+mn-cs"/>
              </a:defRPr>
            </a:pPr>
            <a:r>
              <a:rPr lang="uk-UA" sz="1600" b="1"/>
              <a:t>Спонсори-лідери в 201</a:t>
            </a:r>
            <a:r>
              <a:rPr lang="en-US" sz="1600" b="1"/>
              <a:t>7</a:t>
            </a:r>
            <a:r>
              <a:rPr lang="uk-UA" sz="1600" b="1"/>
              <a:t> році</a:t>
            </a:r>
          </a:p>
        </c:rich>
      </c:tx>
      <c:layout>
        <c:manualLayout>
          <c:xMode val="edge"/>
          <c:yMode val="edge"/>
          <c:x val="7.4454939371448661E-2"/>
          <c:y val="0"/>
        </c:manualLayout>
      </c:layout>
      <c:overlay val="0"/>
      <c:spPr>
        <a:noFill/>
        <a:ln>
          <a:noFill/>
        </a:ln>
        <a:effectLst/>
      </c:spPr>
      <c:txPr>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5</c:v>
                </c:pt>
              </c:strCache>
            </c:strRef>
          </c:tx>
          <c:dPt>
            <c:idx val="0"/>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6">
                      <a:lumMod val="60000"/>
                      <a:tint val="50000"/>
                      <a:satMod val="300000"/>
                    </a:schemeClr>
                  </a:gs>
                  <a:gs pos="35000">
                    <a:schemeClr val="accent6">
                      <a:lumMod val="60000"/>
                      <a:tint val="37000"/>
                      <a:satMod val="300000"/>
                    </a:schemeClr>
                  </a:gs>
                  <a:gs pos="100000">
                    <a:schemeClr val="accent6">
                      <a:lumMod val="60000"/>
                      <a:tint val="15000"/>
                      <a:satMod val="350000"/>
                    </a:schemeClr>
                  </a:gs>
                </a:gsLst>
                <a:lin ang="16200000" scaled="1"/>
              </a:gradFill>
              <a:ln w="9525" cap="flat" cmpd="sng" algn="ctr">
                <a:solidFill>
                  <a:schemeClr val="accent6">
                    <a:lumMod val="60000"/>
                    <a:shade val="95000"/>
                  </a:schemeClr>
                </a:solidFill>
                <a:round/>
              </a:ln>
              <a:effectLst>
                <a:outerShdw blurRad="40000" dist="20000" dir="5400000" rotWithShape="0">
                  <a:srgbClr val="000000">
                    <a:alpha val="38000"/>
                  </a:srgbClr>
                </a:outerShdw>
              </a:effectLst>
            </c:spPr>
          </c:dPt>
          <c:dPt>
            <c:idx val="4"/>
            <c:bubble3D val="0"/>
            <c:spPr>
              <a:gradFill rotWithShape="1">
                <a:gsLst>
                  <a:gs pos="0">
                    <a:schemeClr val="accent5">
                      <a:lumMod val="60000"/>
                      <a:tint val="50000"/>
                      <a:satMod val="300000"/>
                    </a:schemeClr>
                  </a:gs>
                  <a:gs pos="35000">
                    <a:schemeClr val="accent5">
                      <a:lumMod val="60000"/>
                      <a:tint val="37000"/>
                      <a:satMod val="300000"/>
                    </a:schemeClr>
                  </a:gs>
                  <a:gs pos="100000">
                    <a:schemeClr val="accent5">
                      <a:lumMod val="60000"/>
                      <a:tint val="15000"/>
                      <a:satMod val="350000"/>
                    </a:schemeClr>
                  </a:gs>
                </a:gsLst>
                <a:lin ang="16200000" scaled="1"/>
              </a:gradFill>
              <a:ln w="9525" cap="flat" cmpd="sng" algn="ctr">
                <a:solidFill>
                  <a:schemeClr val="accent5">
                    <a:lumMod val="60000"/>
                    <a:shade val="95000"/>
                  </a:schemeClr>
                </a:solidFill>
                <a:round/>
              </a:ln>
              <a:effectLst>
                <a:outerShdw blurRad="40000" dist="20000" dir="5400000" rotWithShape="0">
                  <a:srgbClr val="000000">
                    <a:alpha val="38000"/>
                  </a:srgbClr>
                </a:outerShdw>
              </a:effectLst>
            </c:spPr>
          </c:dPt>
          <c:dPt>
            <c:idx val="5"/>
            <c:bubble3D val="0"/>
            <c:spPr>
              <a:gradFill rotWithShape="1">
                <a:gsLst>
                  <a:gs pos="0">
                    <a:schemeClr val="accent4">
                      <a:lumMod val="60000"/>
                      <a:tint val="50000"/>
                      <a:satMod val="300000"/>
                    </a:schemeClr>
                  </a:gs>
                  <a:gs pos="35000">
                    <a:schemeClr val="accent4">
                      <a:lumMod val="60000"/>
                      <a:tint val="37000"/>
                      <a:satMod val="300000"/>
                    </a:schemeClr>
                  </a:gs>
                  <a:gs pos="100000">
                    <a:schemeClr val="accent4">
                      <a:lumMod val="60000"/>
                      <a:tint val="15000"/>
                      <a:satMod val="350000"/>
                    </a:schemeClr>
                  </a:gs>
                </a:gsLst>
                <a:lin ang="16200000" scaled="1"/>
              </a:gradFill>
              <a:ln w="9525" cap="flat" cmpd="sng" algn="ctr">
                <a:solidFill>
                  <a:schemeClr val="accent4">
                    <a:lumMod val="60000"/>
                    <a:shade val="95000"/>
                  </a:schemeClr>
                </a:solidFill>
                <a:round/>
              </a:ln>
              <a:effectLst>
                <a:outerShdw blurRad="40000" dist="20000" dir="5400000" rotWithShape="0">
                  <a:srgbClr val="000000">
                    <a:alpha val="38000"/>
                  </a:srgbClr>
                </a:outerShdw>
              </a:effectLst>
            </c:spPr>
          </c:dPt>
          <c:dPt>
            <c:idx val="6"/>
            <c:bubble3D val="0"/>
            <c:spPr>
              <a:gradFill rotWithShape="1">
                <a:gsLst>
                  <a:gs pos="0">
                    <a:schemeClr val="accent6">
                      <a:lumMod val="80000"/>
                      <a:lumOff val="20000"/>
                      <a:tint val="50000"/>
                      <a:satMod val="300000"/>
                    </a:schemeClr>
                  </a:gs>
                  <a:gs pos="35000">
                    <a:schemeClr val="accent6">
                      <a:lumMod val="80000"/>
                      <a:lumOff val="20000"/>
                      <a:tint val="37000"/>
                      <a:satMod val="300000"/>
                    </a:schemeClr>
                  </a:gs>
                  <a:gs pos="100000">
                    <a:schemeClr val="accent6">
                      <a:lumMod val="80000"/>
                      <a:lumOff val="20000"/>
                      <a:tint val="15000"/>
                      <a:satMod val="350000"/>
                    </a:schemeClr>
                  </a:gs>
                </a:gsLst>
                <a:lin ang="16200000" scaled="1"/>
              </a:gradFill>
              <a:ln w="9525" cap="flat" cmpd="sng" algn="ctr">
                <a:solidFill>
                  <a:schemeClr val="accent6">
                    <a:lumMod val="80000"/>
                    <a:lumOff val="20000"/>
                    <a:shade val="95000"/>
                  </a:schemeClr>
                </a:solidFill>
                <a:round/>
              </a:ln>
              <a:effectLst>
                <a:outerShdw blurRad="40000" dist="20000" dir="5400000" rotWithShape="0">
                  <a:srgbClr val="000000">
                    <a:alpha val="38000"/>
                  </a:srgbClr>
                </a:outerShdw>
              </a:effectLst>
            </c:spPr>
          </c:dPt>
          <c:dPt>
            <c:idx val="7"/>
            <c:bubble3D val="0"/>
            <c:spPr>
              <a:gradFill rotWithShape="1">
                <a:gsLst>
                  <a:gs pos="0">
                    <a:schemeClr val="accent5">
                      <a:lumMod val="80000"/>
                      <a:lumOff val="20000"/>
                      <a:tint val="50000"/>
                      <a:satMod val="300000"/>
                    </a:schemeClr>
                  </a:gs>
                  <a:gs pos="35000">
                    <a:schemeClr val="accent5">
                      <a:lumMod val="80000"/>
                      <a:lumOff val="20000"/>
                      <a:tint val="37000"/>
                      <a:satMod val="300000"/>
                    </a:schemeClr>
                  </a:gs>
                  <a:gs pos="100000">
                    <a:schemeClr val="accent5">
                      <a:lumMod val="80000"/>
                      <a:lumOff val="20000"/>
                      <a:tint val="15000"/>
                      <a:satMod val="350000"/>
                    </a:schemeClr>
                  </a:gs>
                </a:gsLst>
                <a:lin ang="16200000" scaled="1"/>
              </a:gradFill>
              <a:ln w="9525" cap="flat" cmpd="sng" algn="ctr">
                <a:solidFill>
                  <a:schemeClr val="accent5">
                    <a:lumMod val="80000"/>
                    <a:lumOff val="20000"/>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65000"/>
                        <a:lumOff val="35000"/>
                      </a:schemeClr>
                    </a:solidFill>
                    <a:latin typeface="+mn-lt"/>
                    <a:ea typeface="+mn-ea"/>
                    <a:cs typeface="+mn-cs"/>
                  </a:defRPr>
                </a:pPr>
                <a:endParaRPr lang="uk-UA"/>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Лист1!$A$2:$A$6</c:f>
              <c:strCache>
                <c:ptCount val="5"/>
                <c:pt idx="0">
                  <c:v>Merck Sharp &amp; Dohme Corp., a subsidiary of Merck &amp; Co., Inc.), USA</c:v>
                </c:pt>
                <c:pt idx="1">
                  <c:v>Akebia Therapeutics, Inc.,  USA</c:v>
                </c:pt>
                <c:pt idx="2">
                  <c:v>Roche, Switzerland</c:v>
                </c:pt>
                <c:pt idx="3">
                  <c:v>Tetraphase Pharmaceuticals Inc., USA</c:v>
                </c:pt>
                <c:pt idx="4">
                  <c:v>інші</c:v>
                </c:pt>
              </c:strCache>
            </c:strRef>
          </c:cat>
          <c:val>
            <c:numRef>
              <c:f>Лист1!$B$2:$B$6</c:f>
              <c:numCache>
                <c:formatCode>General</c:formatCode>
                <c:ptCount val="5"/>
                <c:pt idx="0">
                  <c:v>3</c:v>
                </c:pt>
                <c:pt idx="1">
                  <c:v>2</c:v>
                </c:pt>
                <c:pt idx="2">
                  <c:v>1</c:v>
                </c:pt>
                <c:pt idx="3">
                  <c:v>1</c:v>
                </c:pt>
                <c:pt idx="4">
                  <c:v>23</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931287435224438"/>
          <c:y val="8.9277417477123991E-2"/>
          <c:w val="0.33786661282724273"/>
          <c:h val="0.8906723332930077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50000"/>
                  <a:lumOff val="50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mn-lt"/>
                <a:ea typeface="+mn-ea"/>
                <a:cs typeface="+mn-cs"/>
              </a:defRPr>
            </a:pPr>
            <a:r>
              <a:rPr lang="uk-UA" sz="1600" b="1"/>
              <a:t>Спонсори-лідери в 2018 році</a:t>
            </a:r>
          </a:p>
        </c:rich>
      </c:tx>
      <c:layout>
        <c:manualLayout>
          <c:xMode val="edge"/>
          <c:yMode val="edge"/>
          <c:x val="7.4454939371448661E-2"/>
          <c:y val="0"/>
        </c:manualLayout>
      </c:layout>
      <c:overlay val="0"/>
      <c:spPr>
        <a:noFill/>
        <a:ln>
          <a:noFill/>
        </a:ln>
        <a:effectLst/>
      </c:spPr>
      <c:txPr>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Кількість КВ</c:v>
                </c:pt>
              </c:strCache>
            </c:strRef>
          </c:tx>
          <c:dPt>
            <c:idx val="0"/>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6">
                      <a:lumMod val="60000"/>
                      <a:tint val="50000"/>
                      <a:satMod val="300000"/>
                    </a:schemeClr>
                  </a:gs>
                  <a:gs pos="35000">
                    <a:schemeClr val="accent6">
                      <a:lumMod val="60000"/>
                      <a:tint val="37000"/>
                      <a:satMod val="300000"/>
                    </a:schemeClr>
                  </a:gs>
                  <a:gs pos="100000">
                    <a:schemeClr val="accent6">
                      <a:lumMod val="60000"/>
                      <a:tint val="15000"/>
                      <a:satMod val="350000"/>
                    </a:schemeClr>
                  </a:gs>
                </a:gsLst>
                <a:lin ang="16200000" scaled="1"/>
              </a:gradFill>
              <a:ln w="9525" cap="flat" cmpd="sng" algn="ctr">
                <a:solidFill>
                  <a:schemeClr val="accent6">
                    <a:lumMod val="60000"/>
                    <a:shade val="95000"/>
                  </a:schemeClr>
                </a:solidFill>
                <a:round/>
              </a:ln>
              <a:effectLst>
                <a:outerShdw blurRad="40000" dist="20000" dir="5400000" rotWithShape="0">
                  <a:srgbClr val="000000">
                    <a:alpha val="38000"/>
                  </a:srgbClr>
                </a:outerShdw>
              </a:effectLst>
            </c:spPr>
          </c:dPt>
          <c:dPt>
            <c:idx val="4"/>
            <c:bubble3D val="0"/>
            <c:spPr>
              <a:gradFill rotWithShape="1">
                <a:gsLst>
                  <a:gs pos="0">
                    <a:schemeClr val="accent5">
                      <a:lumMod val="60000"/>
                      <a:tint val="50000"/>
                      <a:satMod val="300000"/>
                    </a:schemeClr>
                  </a:gs>
                  <a:gs pos="35000">
                    <a:schemeClr val="accent5">
                      <a:lumMod val="60000"/>
                      <a:tint val="37000"/>
                      <a:satMod val="300000"/>
                    </a:schemeClr>
                  </a:gs>
                  <a:gs pos="100000">
                    <a:schemeClr val="accent5">
                      <a:lumMod val="60000"/>
                      <a:tint val="15000"/>
                      <a:satMod val="350000"/>
                    </a:schemeClr>
                  </a:gs>
                </a:gsLst>
                <a:lin ang="16200000" scaled="1"/>
              </a:gradFill>
              <a:ln w="9525" cap="flat" cmpd="sng" algn="ctr">
                <a:solidFill>
                  <a:schemeClr val="accent5">
                    <a:lumMod val="60000"/>
                    <a:shade val="95000"/>
                  </a:schemeClr>
                </a:solidFill>
                <a:round/>
              </a:ln>
              <a:effectLst>
                <a:outerShdw blurRad="40000" dist="20000" dir="5400000" rotWithShape="0">
                  <a:srgbClr val="000000">
                    <a:alpha val="38000"/>
                  </a:srgbClr>
                </a:outerShdw>
              </a:effectLst>
            </c:spPr>
          </c:dPt>
          <c:dPt>
            <c:idx val="5"/>
            <c:bubble3D val="0"/>
            <c:spPr>
              <a:gradFill rotWithShape="1">
                <a:gsLst>
                  <a:gs pos="0">
                    <a:schemeClr val="accent4">
                      <a:lumMod val="60000"/>
                      <a:tint val="50000"/>
                      <a:satMod val="300000"/>
                    </a:schemeClr>
                  </a:gs>
                  <a:gs pos="35000">
                    <a:schemeClr val="accent4">
                      <a:lumMod val="60000"/>
                      <a:tint val="37000"/>
                      <a:satMod val="300000"/>
                    </a:schemeClr>
                  </a:gs>
                  <a:gs pos="100000">
                    <a:schemeClr val="accent4">
                      <a:lumMod val="60000"/>
                      <a:tint val="15000"/>
                      <a:satMod val="350000"/>
                    </a:schemeClr>
                  </a:gs>
                </a:gsLst>
                <a:lin ang="16200000" scaled="1"/>
              </a:gradFill>
              <a:ln w="9525" cap="flat" cmpd="sng" algn="ctr">
                <a:solidFill>
                  <a:schemeClr val="accent4">
                    <a:lumMod val="60000"/>
                    <a:shade val="95000"/>
                  </a:schemeClr>
                </a:solidFill>
                <a:round/>
              </a:ln>
              <a:effectLst>
                <a:outerShdw blurRad="40000" dist="20000" dir="5400000" rotWithShape="0">
                  <a:srgbClr val="000000">
                    <a:alpha val="38000"/>
                  </a:srgbClr>
                </a:outerShdw>
              </a:effectLst>
            </c:spPr>
          </c:dPt>
          <c:dPt>
            <c:idx val="6"/>
            <c:bubble3D val="0"/>
            <c:spPr>
              <a:gradFill rotWithShape="1">
                <a:gsLst>
                  <a:gs pos="0">
                    <a:schemeClr val="accent6">
                      <a:lumMod val="80000"/>
                      <a:lumOff val="20000"/>
                      <a:tint val="50000"/>
                      <a:satMod val="300000"/>
                    </a:schemeClr>
                  </a:gs>
                  <a:gs pos="35000">
                    <a:schemeClr val="accent6">
                      <a:lumMod val="80000"/>
                      <a:lumOff val="20000"/>
                      <a:tint val="37000"/>
                      <a:satMod val="300000"/>
                    </a:schemeClr>
                  </a:gs>
                  <a:gs pos="100000">
                    <a:schemeClr val="accent6">
                      <a:lumMod val="80000"/>
                      <a:lumOff val="20000"/>
                      <a:tint val="15000"/>
                      <a:satMod val="350000"/>
                    </a:schemeClr>
                  </a:gs>
                </a:gsLst>
                <a:lin ang="16200000" scaled="1"/>
              </a:gradFill>
              <a:ln w="9525" cap="flat" cmpd="sng" algn="ctr">
                <a:solidFill>
                  <a:schemeClr val="accent6">
                    <a:lumMod val="80000"/>
                    <a:lumOff val="20000"/>
                    <a:shade val="95000"/>
                  </a:schemeClr>
                </a:solidFill>
                <a:round/>
              </a:ln>
              <a:effectLst>
                <a:outerShdw blurRad="40000" dist="20000" dir="5400000" rotWithShape="0">
                  <a:srgbClr val="000000">
                    <a:alpha val="38000"/>
                  </a:srgbClr>
                </a:outerShdw>
              </a:effectLst>
            </c:spPr>
          </c:dPt>
          <c:dPt>
            <c:idx val="7"/>
            <c:bubble3D val="0"/>
            <c:spPr>
              <a:gradFill rotWithShape="1">
                <a:gsLst>
                  <a:gs pos="0">
                    <a:schemeClr val="accent5">
                      <a:lumMod val="80000"/>
                      <a:lumOff val="20000"/>
                      <a:tint val="50000"/>
                      <a:satMod val="300000"/>
                    </a:schemeClr>
                  </a:gs>
                  <a:gs pos="35000">
                    <a:schemeClr val="accent5">
                      <a:lumMod val="80000"/>
                      <a:lumOff val="20000"/>
                      <a:tint val="37000"/>
                      <a:satMod val="300000"/>
                    </a:schemeClr>
                  </a:gs>
                  <a:gs pos="100000">
                    <a:schemeClr val="accent5">
                      <a:lumMod val="80000"/>
                      <a:lumOff val="20000"/>
                      <a:tint val="15000"/>
                      <a:satMod val="350000"/>
                    </a:schemeClr>
                  </a:gs>
                </a:gsLst>
                <a:lin ang="16200000" scaled="1"/>
              </a:gradFill>
              <a:ln w="9525" cap="flat" cmpd="sng" algn="ctr">
                <a:solidFill>
                  <a:schemeClr val="accent5">
                    <a:lumMod val="80000"/>
                    <a:lumOff val="20000"/>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65000"/>
                        <a:lumOff val="35000"/>
                      </a:schemeClr>
                    </a:solidFill>
                    <a:latin typeface="+mn-lt"/>
                    <a:ea typeface="+mn-ea"/>
                    <a:cs typeface="+mn-cs"/>
                  </a:defRPr>
                </a:pPr>
                <a:endParaRPr lang="uk-UA"/>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Лист1!$A$2:$A$9</c:f>
              <c:strCache>
                <c:ptCount val="8"/>
                <c:pt idx="0">
                  <c:v>Ф.Хоффманн-Ля Рош Лтд, Швейцарія</c:v>
                </c:pt>
                <c:pt idx="1">
                  <c:v>Merck Sharp &amp; Dohme Corp., США</c:v>
                </c:pt>
                <c:pt idx="2">
                  <c:v>Янссен Фармацевтика НВ, Бельгія</c:v>
                </c:pt>
                <c:pt idx="3">
                  <c:v>Санофі-Авентіс R&amp;D, Франція)</c:v>
                </c:pt>
                <c:pt idx="4">
                  <c:v>AbbVie Inc., США</c:v>
                </c:pt>
                <c:pt idx="5">
                  <c:v>Otsuka Pharmaceutical D&amp;C, Inc., США</c:v>
                </c:pt>
                <c:pt idx="6">
                  <c:v>Файзер Інк., США</c:v>
                </c:pt>
                <c:pt idx="7">
                  <c:v>Інші</c:v>
                </c:pt>
              </c:strCache>
            </c:strRef>
          </c:cat>
          <c:val>
            <c:numRef>
              <c:f>Лист1!$B$2:$B$9</c:f>
              <c:numCache>
                <c:formatCode>General</c:formatCode>
                <c:ptCount val="8"/>
                <c:pt idx="0">
                  <c:v>13</c:v>
                </c:pt>
                <c:pt idx="1">
                  <c:v>12</c:v>
                </c:pt>
                <c:pt idx="2">
                  <c:v>10</c:v>
                </c:pt>
                <c:pt idx="3">
                  <c:v>7</c:v>
                </c:pt>
                <c:pt idx="4">
                  <c:v>6</c:v>
                </c:pt>
                <c:pt idx="5">
                  <c:v>6</c:v>
                </c:pt>
                <c:pt idx="6">
                  <c:v>6</c:v>
                </c:pt>
                <c:pt idx="7">
                  <c:v>124</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931287435224438"/>
          <c:y val="8.9277417477123991E-2"/>
          <c:w val="0.33786661282724273"/>
          <c:h val="0.8906723332930077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50000"/>
                  <a:lumOff val="50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1571072319202"/>
          <c:y val="0.3914590747330961"/>
          <c:w val="0.21695760598503741"/>
          <c:h val="0.30960854092526691"/>
        </c:manualLayout>
      </c:layout>
      <c:pieChart>
        <c:varyColors val="1"/>
        <c:ser>
          <c:idx val="0"/>
          <c:order val="0"/>
          <c:tx>
            <c:strRef>
              <c:f>Sheet1!$A$2</c:f>
              <c:strCache>
                <c:ptCount val="1"/>
                <c:pt idx="0">
                  <c:v>Восток</c:v>
                </c:pt>
              </c:strCache>
            </c:strRef>
          </c:tx>
          <c:spPr>
            <a:ln w="12707">
              <a:solidFill>
                <a:srgbClr val="000000"/>
              </a:solidFill>
              <a:prstDash val="solid"/>
            </a:ln>
          </c:spPr>
          <c:dPt>
            <c:idx val="0"/>
            <c:bubble3D val="0"/>
            <c:spPr>
              <a:solidFill>
                <a:srgbClr val="BBE0E3"/>
              </a:solidFill>
              <a:ln w="12707">
                <a:solidFill>
                  <a:srgbClr val="000000"/>
                </a:solidFill>
                <a:prstDash val="solid"/>
              </a:ln>
            </c:spPr>
          </c:dPt>
          <c:dPt>
            <c:idx val="1"/>
            <c:bubble3D val="0"/>
            <c:spPr>
              <a:solidFill>
                <a:srgbClr val="333399"/>
              </a:solidFill>
              <a:ln w="12707">
                <a:solidFill>
                  <a:srgbClr val="000000"/>
                </a:solidFill>
                <a:prstDash val="solid"/>
              </a:ln>
            </c:spPr>
          </c:dPt>
          <c:dPt>
            <c:idx val="2"/>
            <c:bubble3D val="0"/>
            <c:spPr>
              <a:solidFill>
                <a:srgbClr val="009999"/>
              </a:solidFill>
              <a:ln w="12707">
                <a:solidFill>
                  <a:srgbClr val="000000"/>
                </a:solidFill>
                <a:prstDash val="solid"/>
              </a:ln>
            </c:spPr>
          </c:dPt>
          <c:dPt>
            <c:idx val="3"/>
            <c:bubble3D val="0"/>
            <c:spPr>
              <a:solidFill>
                <a:srgbClr val="99CC00"/>
              </a:solidFill>
              <a:ln w="12707">
                <a:solidFill>
                  <a:srgbClr val="000000"/>
                </a:solidFill>
                <a:prstDash val="solid"/>
              </a:ln>
            </c:spPr>
          </c:dPt>
          <c:dPt>
            <c:idx val="4"/>
            <c:bubble3D val="0"/>
            <c:spPr>
              <a:solidFill>
                <a:srgbClr val="808080"/>
              </a:solidFill>
              <a:ln w="12707">
                <a:solidFill>
                  <a:srgbClr val="000000"/>
                </a:solidFill>
                <a:prstDash val="solid"/>
              </a:ln>
            </c:spPr>
          </c:dPt>
          <c:dPt>
            <c:idx val="5"/>
            <c:bubble3D val="0"/>
            <c:spPr>
              <a:solidFill>
                <a:srgbClr val="000000"/>
              </a:solidFill>
              <a:ln w="12707">
                <a:solidFill>
                  <a:srgbClr val="000000"/>
                </a:solidFill>
                <a:prstDash val="solid"/>
              </a:ln>
            </c:spPr>
          </c:dPt>
          <c:dPt>
            <c:idx val="6"/>
            <c:bubble3D val="0"/>
            <c:spPr>
              <a:solidFill>
                <a:srgbClr val="0066CC"/>
              </a:solidFill>
              <a:ln w="12707">
                <a:solidFill>
                  <a:srgbClr val="000000"/>
                </a:solidFill>
                <a:prstDash val="solid"/>
              </a:ln>
            </c:spPr>
          </c:dPt>
          <c:dLbls>
            <c:dLbl>
              <c:idx val="0"/>
              <c:layout>
                <c:manualLayout>
                  <c:x val="4.4023659969330775E-2"/>
                  <c:y val="0.14944122169749585"/>
                </c:manualLayout>
              </c:layout>
              <c:tx>
                <c:rich>
                  <a:bodyPr/>
                  <a:lstStyle/>
                  <a:p>
                    <a:pPr>
                      <a:defRPr sz="600" b="1" i="0" u="none" strike="noStrike" baseline="0">
                        <a:solidFill>
                          <a:srgbClr val="000000"/>
                        </a:solidFill>
                        <a:latin typeface="Arial"/>
                        <a:ea typeface="Arial"/>
                        <a:cs typeface="Arial"/>
                      </a:defRPr>
                    </a:pPr>
                    <a:r>
                      <a:rPr lang="uk-UA"/>
                      <a:t>ПАТ «Фармак», Україна; (20%)</a:t>
                    </a:r>
                  </a:p>
                </c:rich>
              </c:tx>
              <c:spPr>
                <a:noFill/>
                <a:ln w="2541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9.6413618618466035E-2"/>
                  <c:y val="9.438998965003309E-2"/>
                </c:manualLayout>
              </c:layout>
              <c:tx>
                <c:rich>
                  <a:bodyPr/>
                  <a:lstStyle/>
                  <a:p>
                    <a:pPr>
                      <a:defRPr sz="600" b="1" i="0" u="none" strike="noStrike" baseline="0">
                        <a:solidFill>
                          <a:srgbClr val="000000"/>
                        </a:solidFill>
                        <a:latin typeface="Arial"/>
                        <a:ea typeface="Arial"/>
                        <a:cs typeface="Arial"/>
                      </a:defRPr>
                    </a:pPr>
                    <a:r>
                      <a:rPr lang="uk-UA"/>
                      <a:t>ПАТ "Київський вітамінний завод", Україна; (5%)</a:t>
                    </a:r>
                  </a:p>
                </c:rich>
              </c:tx>
              <c:spPr>
                <a:noFill/>
                <a:ln w="2541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14835478949205211"/>
                  <c:y val="-4.759820686070515E-2"/>
                </c:manualLayout>
              </c:layout>
              <c:tx>
                <c:rich>
                  <a:bodyPr/>
                  <a:lstStyle/>
                  <a:p>
                    <a:pPr>
                      <a:defRPr sz="600" b="1" i="0" u="none" strike="noStrike" baseline="0">
                        <a:solidFill>
                          <a:srgbClr val="000000"/>
                        </a:solidFill>
                        <a:latin typeface="Arial"/>
                        <a:ea typeface="Arial"/>
                        <a:cs typeface="Arial"/>
                      </a:defRPr>
                    </a:pPr>
                    <a:r>
                      <a:rPr lang="uk-UA"/>
                      <a:t>ТОВ «НДУ Квант М» ; (9%)</a:t>
                    </a:r>
                  </a:p>
                </c:rich>
              </c:tx>
              <c:spPr>
                <a:noFill/>
                <a:ln w="2541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9.3832594667624863E-2"/>
                  <c:y val="-8.5768483276829899E-2"/>
                </c:manualLayout>
              </c:layout>
              <c:tx>
                <c:rich>
                  <a:bodyPr/>
                  <a:lstStyle/>
                  <a:p>
                    <a:pPr>
                      <a:defRPr sz="600" b="1" i="0" u="none" strike="noStrike" baseline="0">
                        <a:solidFill>
                          <a:srgbClr val="000000"/>
                        </a:solidFill>
                        <a:latin typeface="Arial"/>
                        <a:ea typeface="Arial"/>
                        <a:cs typeface="Arial"/>
                      </a:defRPr>
                    </a:pPr>
                    <a:r>
                      <a:rPr lang="uk-UA"/>
                      <a:t>ТОВ «Фарма Старт», Україна; (6%)</a:t>
                    </a:r>
                  </a:p>
                </c:rich>
              </c:tx>
              <c:spPr>
                <a:noFill/>
                <a:ln w="2541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2.9755944758241837E-3"/>
                  <c:y val="-0.19749273286896452"/>
                </c:manualLayout>
              </c:layout>
              <c:tx>
                <c:rich>
                  <a:bodyPr/>
                  <a:lstStyle/>
                  <a:p>
                    <a:pPr>
                      <a:defRPr sz="600" b="1" i="0" u="none" strike="noStrike" baseline="0">
                        <a:solidFill>
                          <a:srgbClr val="000000"/>
                        </a:solidFill>
                        <a:latin typeface="Arial"/>
                        <a:ea typeface="Arial"/>
                        <a:cs typeface="Arial"/>
                      </a:defRPr>
                    </a:pPr>
                    <a:r>
                      <a:rPr lang="uk-UA"/>
                      <a:t>ПрАТ "ФФ "Дарниця"; (5%)</a:t>
                    </a:r>
                  </a:p>
                </c:rich>
              </c:tx>
              <c:spPr>
                <a:noFill/>
                <a:ln w="2541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0.10161362871913737"/>
                  <c:y val="-0.11603850641661395"/>
                </c:manualLayout>
              </c:layout>
              <c:tx>
                <c:rich>
                  <a:bodyPr/>
                  <a:lstStyle/>
                  <a:p>
                    <a:pPr>
                      <a:defRPr sz="600" b="1" i="0" u="none" strike="noStrike" baseline="0">
                        <a:solidFill>
                          <a:srgbClr val="000000"/>
                        </a:solidFill>
                        <a:latin typeface="Arial"/>
                        <a:ea typeface="Arial"/>
                        <a:cs typeface="Arial"/>
                      </a:defRPr>
                    </a:pPr>
                    <a:r>
                      <a:rPr lang="uk-UA"/>
                      <a:t>Борщагівський ХФЗ ; (7%)</a:t>
                    </a:r>
                  </a:p>
                </c:rich>
              </c:tx>
              <c:spPr>
                <a:noFill/>
                <a:ln w="2541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6"/>
              <c:layout>
                <c:manualLayout>
                  <c:x val="0.10681733997980936"/>
                  <c:y val="5.9286015797532787E-3"/>
                </c:manualLayout>
              </c:layout>
              <c:tx>
                <c:rich>
                  <a:bodyPr/>
                  <a:lstStyle/>
                  <a:p>
                    <a:pPr>
                      <a:defRPr sz="600" b="1" i="0" u="none" strike="noStrike" baseline="0">
                        <a:solidFill>
                          <a:srgbClr val="000000"/>
                        </a:solidFill>
                        <a:latin typeface="Arial"/>
                        <a:ea typeface="Arial"/>
                        <a:cs typeface="Arial"/>
                      </a:defRPr>
                    </a:pPr>
                    <a:r>
                      <a:rPr lang="uk-UA"/>
                      <a:t>Інші 19 Заявників; (48 %)</a:t>
                    </a:r>
                  </a:p>
                </c:rich>
              </c:tx>
              <c:spPr>
                <a:noFill/>
                <a:ln w="25413">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413">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Sheet1!$B$1:$I$1</c:f>
              <c:strCache>
                <c:ptCount val="7"/>
                <c:pt idx="0">
                  <c:v>ПАТ «Фармак», Україна</c:v>
                </c:pt>
                <c:pt idx="1">
                  <c:v>ПАТ "Київський вітамінний завод", Україна</c:v>
                </c:pt>
                <c:pt idx="2">
                  <c:v>ТОВ «НДУ Квант М» </c:v>
                </c:pt>
                <c:pt idx="3">
                  <c:v>ТОВ «Фарма Старт», Україна</c:v>
                </c:pt>
                <c:pt idx="4">
                  <c:v>ПрАТ "ФФ "Дарниця"</c:v>
                </c:pt>
                <c:pt idx="5">
                  <c:v>Борщагівський ХФЗ </c:v>
                </c:pt>
                <c:pt idx="6">
                  <c:v>Інші 19 Заявників</c:v>
                </c:pt>
              </c:strCache>
            </c:strRef>
          </c:cat>
          <c:val>
            <c:numRef>
              <c:f>Sheet1!$B$2:$I$2</c:f>
              <c:numCache>
                <c:formatCode>General</c:formatCode>
                <c:ptCount val="7"/>
                <c:pt idx="0">
                  <c:v>20</c:v>
                </c:pt>
                <c:pt idx="1">
                  <c:v>5</c:v>
                </c:pt>
                <c:pt idx="2">
                  <c:v>9</c:v>
                </c:pt>
                <c:pt idx="3">
                  <c:v>6</c:v>
                </c:pt>
                <c:pt idx="4">
                  <c:v>5</c:v>
                </c:pt>
                <c:pt idx="5">
                  <c:v>7</c:v>
                </c:pt>
                <c:pt idx="6">
                  <c:v>48</c:v>
                </c:pt>
              </c:numCache>
            </c:numRef>
          </c:val>
        </c:ser>
        <c:dLbls>
          <c:showLegendKey val="0"/>
          <c:showVal val="1"/>
          <c:showCatName val="1"/>
          <c:showSerName val="0"/>
          <c:showPercent val="0"/>
          <c:showBubbleSize val="0"/>
          <c:showLeaderLines val="1"/>
        </c:dLbls>
        <c:firstSliceAng val="200"/>
      </c:pieChart>
      <c:spPr>
        <a:noFill/>
        <a:ln w="12707">
          <a:solidFill>
            <a:srgbClr val="000000"/>
          </a:solidFill>
          <a:prstDash val="solid"/>
        </a:ln>
      </c:spPr>
    </c:plotArea>
    <c:plotVisOnly val="1"/>
    <c:dispBlanksAs val="zero"/>
    <c:showDLblsOverMax val="0"/>
  </c:chart>
  <c:spPr>
    <a:noFill/>
    <a:ln>
      <a:noFill/>
    </a:ln>
  </c:spPr>
  <c:txPr>
    <a:bodyPr/>
    <a:lstStyle/>
    <a:p>
      <a:pPr>
        <a:defRPr sz="1151" b="1" i="0" u="none" strike="noStrike" baseline="0">
          <a:solidFill>
            <a:srgbClr val="000000"/>
          </a:solidFill>
          <a:latin typeface="Arial"/>
          <a:ea typeface="Arial"/>
          <a:cs typeface="Arial"/>
        </a:defRPr>
      </a:pPr>
      <a:endParaRPr lang="uk-UA"/>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993920972644379"/>
          <c:y val="0.436"/>
          <c:w val="0.2857142857142857"/>
          <c:h val="0.376"/>
        </c:manualLayout>
      </c:layout>
      <c:pieChart>
        <c:varyColors val="1"/>
        <c:ser>
          <c:idx val="0"/>
          <c:order val="0"/>
          <c:tx>
            <c:strRef>
              <c:f>Sheet1!$A$2</c:f>
              <c:strCache>
                <c:ptCount val="1"/>
                <c:pt idx="0">
                  <c:v>Восток</c:v>
                </c:pt>
              </c:strCache>
            </c:strRef>
          </c:tx>
          <c:spPr>
            <a:ln w="12705">
              <a:solidFill>
                <a:srgbClr val="000000"/>
              </a:solidFill>
              <a:prstDash val="solid"/>
            </a:ln>
          </c:spPr>
          <c:dPt>
            <c:idx val="0"/>
            <c:bubble3D val="0"/>
            <c:spPr>
              <a:solidFill>
                <a:srgbClr val="BBE0E3"/>
              </a:solidFill>
              <a:ln w="12705">
                <a:solidFill>
                  <a:srgbClr val="000000"/>
                </a:solidFill>
                <a:prstDash val="solid"/>
              </a:ln>
            </c:spPr>
          </c:dPt>
          <c:dPt>
            <c:idx val="1"/>
            <c:bubble3D val="0"/>
            <c:spPr>
              <a:solidFill>
                <a:srgbClr val="CC99FF"/>
              </a:solidFill>
              <a:ln w="12705">
                <a:solidFill>
                  <a:srgbClr val="000000"/>
                </a:solidFill>
                <a:prstDash val="solid"/>
              </a:ln>
            </c:spPr>
          </c:dPt>
          <c:dPt>
            <c:idx val="2"/>
            <c:bubble3D val="0"/>
            <c:spPr>
              <a:solidFill>
                <a:srgbClr val="009999"/>
              </a:solidFill>
              <a:ln w="12705">
                <a:solidFill>
                  <a:srgbClr val="000000"/>
                </a:solidFill>
                <a:prstDash val="solid"/>
              </a:ln>
            </c:spPr>
          </c:dPt>
          <c:dPt>
            <c:idx val="3"/>
            <c:bubble3D val="0"/>
            <c:spPr>
              <a:solidFill>
                <a:srgbClr val="FF99CC"/>
              </a:solidFill>
              <a:ln w="12705">
                <a:solidFill>
                  <a:srgbClr val="000000"/>
                </a:solidFill>
                <a:prstDash val="solid"/>
              </a:ln>
            </c:spPr>
          </c:dPt>
          <c:dPt>
            <c:idx val="4"/>
            <c:bubble3D val="0"/>
            <c:spPr>
              <a:solidFill>
                <a:srgbClr val="FFFF99"/>
              </a:solidFill>
              <a:ln w="12705">
                <a:solidFill>
                  <a:srgbClr val="000000"/>
                </a:solidFill>
                <a:prstDash val="solid"/>
              </a:ln>
            </c:spPr>
          </c:dPt>
          <c:dPt>
            <c:idx val="5"/>
            <c:bubble3D val="0"/>
            <c:spPr>
              <a:solidFill>
                <a:srgbClr val="3366FF"/>
              </a:solidFill>
              <a:ln w="12705">
                <a:solidFill>
                  <a:srgbClr val="000000"/>
                </a:solidFill>
                <a:prstDash val="solid"/>
              </a:ln>
            </c:spPr>
          </c:dPt>
          <c:dLbls>
            <c:dLbl>
              <c:idx val="0"/>
              <c:layout>
                <c:manualLayout>
                  <c:x val="-7.4182003406151886E-2"/>
                  <c:y val="-1.8719608170624458E-2"/>
                </c:manualLayout>
              </c:layout>
              <c:tx>
                <c:rich>
                  <a:bodyPr/>
                  <a:lstStyle/>
                  <a:p>
                    <a:pPr>
                      <a:defRPr sz="1000" b="1" i="0" u="none" strike="noStrike" baseline="0">
                        <a:solidFill>
                          <a:srgbClr val="000000"/>
                        </a:solidFill>
                        <a:latin typeface="Arial"/>
                        <a:ea typeface="Arial"/>
                        <a:cs typeface="Arial"/>
                      </a:defRPr>
                    </a:pPr>
                    <a:r>
                      <a:rPr lang="uk-UA" sz="800" b="1" i="0" u="none" strike="noStrike" baseline="0">
                        <a:solidFill>
                          <a:srgbClr val="000000"/>
                        </a:solidFill>
                        <a:latin typeface="Calibri"/>
                      </a:rPr>
                      <a:t>ПАТ </a:t>
                    </a:r>
                    <a:r>
                      <a:rPr lang="uk-UA" sz="975" b="1" i="0" u="none" strike="noStrike" baseline="0">
                        <a:solidFill>
                          <a:srgbClr val="000000"/>
                        </a:solidFill>
                        <a:latin typeface="Calibri"/>
                      </a:rPr>
                      <a:t>«Фармак»</a:t>
                    </a:r>
                    <a:r>
                      <a:rPr lang="uk-UA" sz="950" b="1" i="0" u="none" strike="noStrike" baseline="0">
                        <a:solidFill>
                          <a:srgbClr val="000000"/>
                        </a:solidFill>
                        <a:latin typeface="Arial"/>
                        <a:cs typeface="Arial"/>
                      </a:rPr>
                      <a:t>; (20%)</a:t>
                    </a: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3445405001674873"/>
                  <c:y val="7.4718553740710902E-2"/>
                </c:manualLayout>
              </c:layout>
              <c:tx>
                <c:rich>
                  <a:bodyPr/>
                  <a:lstStyle/>
                  <a:p>
                    <a:pPr>
                      <a:defRPr sz="1000" b="1" i="0" u="none" strike="noStrike" baseline="0">
                        <a:solidFill>
                          <a:srgbClr val="000000"/>
                        </a:solidFill>
                        <a:latin typeface="Arial"/>
                        <a:ea typeface="Arial"/>
                        <a:cs typeface="Arial"/>
                      </a:defRPr>
                    </a:pPr>
                    <a:r>
                      <a:rPr lang="uk-UA" sz="800" b="1" i="0" u="none" strike="noStrike" baseline="0">
                        <a:solidFill>
                          <a:srgbClr val="000000"/>
                        </a:solidFill>
                        <a:latin typeface="Calibri"/>
                      </a:rPr>
                      <a:t>ТОВ "ФЗ </a:t>
                    </a:r>
                    <a:r>
                      <a:rPr lang="uk-UA" sz="725" b="1" i="0" u="none" strike="noStrike" baseline="0">
                        <a:solidFill>
                          <a:srgbClr val="000000"/>
                        </a:solidFill>
                        <a:latin typeface="Arial"/>
                        <a:cs typeface="Arial"/>
                      </a:rPr>
                      <a:t>"</a:t>
                    </a:r>
                    <a:r>
                      <a:rPr lang="uk-UA" sz="1000" b="1" i="0" u="none" strike="noStrike" baseline="0">
                        <a:solidFill>
                          <a:srgbClr val="000000"/>
                        </a:solidFill>
                        <a:latin typeface="Arial"/>
                        <a:cs typeface="Arial"/>
                      </a:rPr>
                      <a:t>БІОФАРМА</a:t>
                    </a:r>
                    <a:r>
                      <a:rPr lang="uk-UA" sz="725" b="1" i="0" u="none" strike="noStrike" baseline="0">
                        <a:solidFill>
                          <a:srgbClr val="000000"/>
                        </a:solidFill>
                        <a:latin typeface="Arial"/>
                        <a:cs typeface="Arial"/>
                      </a:rPr>
                      <a:t>"</a:t>
                    </a:r>
                    <a:r>
                      <a:rPr lang="uk-UA" sz="950" b="1" i="0" u="none" strike="noStrike" baseline="0">
                        <a:solidFill>
                          <a:srgbClr val="000000"/>
                        </a:solidFill>
                        <a:latin typeface="Arial"/>
                        <a:cs typeface="Arial"/>
                      </a:rPr>
                      <a:t>;</a:t>
                    </a:r>
                    <a:r>
                      <a:rPr lang="uk-UA" sz="800" b="1" i="0" u="none" strike="noStrike" baseline="0">
                        <a:solidFill>
                          <a:srgbClr val="000000"/>
                        </a:solidFill>
                        <a:latin typeface="Calibri"/>
                        <a:cs typeface="Arial"/>
                      </a:rPr>
                      <a:t> (12%)</a:t>
                    </a:r>
                    <a:endParaRPr lang="uk-UA" sz="800" b="1" i="0" u="none" strike="noStrike" baseline="0">
                      <a:solidFill>
                        <a:srgbClr val="000000"/>
                      </a:solidFill>
                      <a:latin typeface="Calibri"/>
                    </a:endParaRP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16204426625567528"/>
                  <c:y val="-2.0975428160925347E-2"/>
                </c:manualLayout>
              </c:layout>
              <c:tx>
                <c:rich>
                  <a:bodyPr/>
                  <a:lstStyle/>
                  <a:p>
                    <a:pPr>
                      <a:defRPr sz="1000" b="1" i="0" u="none" strike="noStrike" baseline="0">
                        <a:solidFill>
                          <a:srgbClr val="000000"/>
                        </a:solidFill>
                        <a:latin typeface="Arial"/>
                        <a:ea typeface="Arial"/>
                        <a:cs typeface="Arial"/>
                      </a:defRPr>
                    </a:pPr>
                    <a:r>
                      <a:rPr lang="uk-UA" sz="800" b="1" i="0" u="none" strike="noStrike" baseline="0">
                        <a:solidFill>
                          <a:srgbClr val="000000"/>
                        </a:solidFill>
                        <a:latin typeface="Calibri"/>
                      </a:rPr>
                      <a:t>ТОВ "ФК "</a:t>
                    </a:r>
                    <a:r>
                      <a:rPr lang="uk-UA" sz="975" b="1" i="0" u="none" strike="noStrike" baseline="0">
                        <a:solidFill>
                          <a:srgbClr val="000000"/>
                        </a:solidFill>
                        <a:latin typeface="Calibri"/>
                      </a:rPr>
                      <a:t>Здоров"я</a:t>
                    </a:r>
                    <a:r>
                      <a:rPr lang="uk-UA" sz="800" b="1" i="0" u="none" strike="noStrike" baseline="0">
                        <a:solidFill>
                          <a:srgbClr val="000000"/>
                        </a:solidFill>
                        <a:latin typeface="Calibri"/>
                      </a:rPr>
                      <a:t>"; (12%)</a:t>
                    </a: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6.8316974517271589E-2"/>
                  <c:y val="-5.6054347410509298E-2"/>
                </c:manualLayout>
              </c:layout>
              <c:tx>
                <c:rich>
                  <a:bodyPr/>
                  <a:lstStyle/>
                  <a:p>
                    <a:pPr>
                      <a:defRPr sz="1000" b="1" i="0" u="none" strike="noStrike" baseline="0">
                        <a:solidFill>
                          <a:srgbClr val="000000"/>
                        </a:solidFill>
                        <a:latin typeface="Arial"/>
                        <a:ea typeface="Arial"/>
                        <a:cs typeface="Arial"/>
                      </a:defRPr>
                    </a:pPr>
                    <a:r>
                      <a:rPr lang="uk-UA"/>
                      <a:t>ТОВ "АСТРАФАРМ"; (6%)</a:t>
                    </a: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0.12369505825875293"/>
                  <c:y val="8.7880302082096684E-2"/>
                </c:manualLayout>
              </c:layout>
              <c:tx>
                <c:rich>
                  <a:bodyPr/>
                  <a:lstStyle/>
                  <a:p>
                    <a:pPr>
                      <a:defRPr sz="1000" b="1" i="0" u="none" strike="noStrike" baseline="0">
                        <a:solidFill>
                          <a:srgbClr val="000000"/>
                        </a:solidFill>
                        <a:latin typeface="Arial"/>
                        <a:ea typeface="Arial"/>
                        <a:cs typeface="Arial"/>
                      </a:defRPr>
                    </a:pPr>
                    <a:r>
                      <a:rPr lang="uk-UA" sz="800" b="1" i="0" u="none" strike="noStrike" baseline="0">
                        <a:solidFill>
                          <a:srgbClr val="000000"/>
                        </a:solidFill>
                        <a:latin typeface="Calibri"/>
                      </a:rPr>
                      <a:t>ТОВ "НВФ </a:t>
                    </a:r>
                    <a:r>
                      <a:rPr lang="uk-UA" sz="875" b="0" i="0" u="none" strike="noStrike" baseline="0">
                        <a:solidFill>
                          <a:srgbClr val="000000"/>
                        </a:solidFill>
                        <a:latin typeface="Arial"/>
                        <a:cs typeface="Arial"/>
                      </a:rPr>
                      <a:t>АКСОМЕД</a:t>
                    </a:r>
                    <a:r>
                      <a:rPr lang="uk-UA" sz="800" b="1" i="0" u="none" strike="noStrike" baseline="0">
                        <a:solidFill>
                          <a:srgbClr val="000000"/>
                        </a:solidFill>
                        <a:latin typeface="Calibri"/>
                        <a:cs typeface="Arial"/>
                      </a:rPr>
                      <a:t>"; (6%)</a:t>
                    </a:r>
                    <a:endParaRPr lang="uk-UA" sz="800" b="1" i="0" u="none" strike="noStrike" baseline="0">
                      <a:solidFill>
                        <a:srgbClr val="000000"/>
                      </a:solidFill>
                      <a:latin typeface="Calibri"/>
                    </a:endParaRP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9.7354294143168207E-2"/>
                  <c:y val="-7.1745005040738441E-2"/>
                </c:manualLayout>
              </c:layout>
              <c:tx>
                <c:rich>
                  <a:bodyPr/>
                  <a:lstStyle/>
                  <a:p>
                    <a:pPr>
                      <a:defRPr sz="1000" b="1" i="0" u="none" strike="noStrike" baseline="0">
                        <a:solidFill>
                          <a:srgbClr val="000000"/>
                        </a:solidFill>
                        <a:latin typeface="Arial"/>
                        <a:ea typeface="Arial"/>
                        <a:cs typeface="Arial"/>
                      </a:defRPr>
                    </a:pPr>
                    <a:r>
                      <a:rPr lang="uk-UA" sz="800" b="1" i="0" u="none" strike="noStrike" baseline="0">
                        <a:solidFill>
                          <a:srgbClr val="000000"/>
                        </a:solidFill>
                        <a:latin typeface="Calibri"/>
                      </a:rPr>
                      <a:t>Інші 12 </a:t>
                    </a:r>
                    <a:r>
                      <a:rPr lang="uk-UA" sz="975" b="1" i="0" u="none" strike="noStrike" baseline="0">
                        <a:solidFill>
                          <a:srgbClr val="000000"/>
                        </a:solidFill>
                        <a:latin typeface="Calibri"/>
                      </a:rPr>
                      <a:t>Заявників</a:t>
                    </a:r>
                    <a:r>
                      <a:rPr lang="uk-UA" sz="800" b="1" i="0" u="none" strike="noStrike" baseline="0">
                        <a:solidFill>
                          <a:srgbClr val="000000"/>
                        </a:solidFill>
                        <a:latin typeface="Calibri"/>
                      </a:rPr>
                      <a:t>; (38%)</a:t>
                    </a:r>
                  </a:p>
                </c:rich>
              </c:tx>
              <c:spPr>
                <a:noFill/>
                <a:ln w="2541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6"/>
              <c:layout>
                <c:manualLayout>
                  <c:xMode val="edge"/>
                  <c:yMode val="edge"/>
                  <c:x val="0.73252279635258355"/>
                  <c:y val="0.89200000000000002"/>
                </c:manualLayout>
              </c:layout>
              <c:spPr>
                <a:noFill/>
                <a:ln w="25410">
                  <a:noFill/>
                </a:ln>
              </c:spPr>
              <c:txPr>
                <a:bodyPr/>
                <a:lstStyle/>
                <a:p>
                  <a:pPr>
                    <a:defRPr sz="725" b="1" i="0" u="none" strike="noStrike" baseline="0">
                      <a:solidFill>
                        <a:srgbClr val="000000"/>
                      </a:solidFill>
                      <a:latin typeface="Arial"/>
                      <a:ea typeface="Arial"/>
                      <a:cs typeface="Arial"/>
                    </a:defRPr>
                  </a:pPr>
                  <a:endParaRPr lang="uk-UA"/>
                </a:p>
              </c:txPr>
              <c:dLblPos val="bestFit"/>
              <c:showLegendKey val="0"/>
              <c:showVal val="1"/>
              <c:showCatName val="1"/>
              <c:showSerName val="0"/>
              <c:showPercent val="0"/>
              <c:showBubbleSize val="0"/>
              <c:extLst>
                <c:ext xmlns:c15="http://schemas.microsoft.com/office/drawing/2012/chart" uri="{CE6537A1-D6FC-4f65-9D91-7224C49458BB}"/>
              </c:extLst>
            </c:dLbl>
            <c:spPr>
              <a:noFill/>
              <a:ln w="25410">
                <a:noFill/>
              </a:ln>
            </c:spPr>
            <c:txPr>
              <a:bodyPr wrap="square" lIns="38100" tIns="19050" rIns="38100" bIns="19050" anchor="ctr">
                <a:spAutoFit/>
              </a:bodyPr>
              <a:lstStyle/>
              <a:p>
                <a:pPr>
                  <a:defRPr sz="1000"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Sheet1!$B$1:$I$1</c:f>
              <c:strCache>
                <c:ptCount val="6"/>
                <c:pt idx="0">
                  <c:v>ПАТ «Фармак», Україна</c:v>
                </c:pt>
                <c:pt idx="1">
                  <c:v>ТОВ "ФЗ "БІОФАРМА"</c:v>
                </c:pt>
                <c:pt idx="2">
                  <c:v>ТОВ "ФК "Здоров"я"</c:v>
                </c:pt>
                <c:pt idx="3">
                  <c:v>ТОВ "АСТРАФАРМ"</c:v>
                </c:pt>
                <c:pt idx="4">
                  <c:v>ТОВ "НВФ АКСОМЕД"</c:v>
                </c:pt>
                <c:pt idx="5">
                  <c:v>Інші 12 Заявників</c:v>
                </c:pt>
              </c:strCache>
            </c:strRef>
          </c:cat>
          <c:val>
            <c:numRef>
              <c:f>Sheet1!$B$2:$I$2</c:f>
              <c:numCache>
                <c:formatCode>General</c:formatCode>
                <c:ptCount val="6"/>
                <c:pt idx="0">
                  <c:v>20</c:v>
                </c:pt>
                <c:pt idx="1">
                  <c:v>12</c:v>
                </c:pt>
                <c:pt idx="2">
                  <c:v>12</c:v>
                </c:pt>
                <c:pt idx="3">
                  <c:v>6</c:v>
                </c:pt>
                <c:pt idx="4">
                  <c:v>6</c:v>
                </c:pt>
                <c:pt idx="5">
                  <c:v>38</c:v>
                </c:pt>
              </c:numCache>
            </c:numRef>
          </c:val>
        </c:ser>
        <c:dLbls>
          <c:showLegendKey val="0"/>
          <c:showVal val="1"/>
          <c:showCatName val="1"/>
          <c:showSerName val="0"/>
          <c:showPercent val="0"/>
          <c:showBubbleSize val="0"/>
          <c:showLeaderLines val="1"/>
        </c:dLbls>
        <c:firstSliceAng val="200"/>
      </c:pieChart>
      <c:spPr>
        <a:noFill/>
        <a:ln w="12705">
          <a:solidFill>
            <a:srgbClr val="000000"/>
          </a:solidFill>
          <a:prstDash val="solid"/>
        </a:ln>
      </c:spPr>
    </c:plotArea>
    <c:plotVisOnly val="1"/>
    <c:dispBlanksAs val="zero"/>
    <c:showDLblsOverMax val="0"/>
  </c:chart>
  <c:spPr>
    <a:noFill/>
    <a:ln>
      <a:noFill/>
    </a:ln>
  </c:spPr>
  <c:txPr>
    <a:bodyPr/>
    <a:lstStyle/>
    <a:p>
      <a:pPr>
        <a:defRPr sz="950" b="1" i="0" u="none" strike="noStrike" baseline="0">
          <a:solidFill>
            <a:srgbClr val="000000"/>
          </a:solidFill>
          <a:latin typeface="Arial"/>
          <a:ea typeface="Arial"/>
          <a:cs typeface="Arial"/>
        </a:defRPr>
      </a:pPr>
      <a:endParaRPr lang="uk-UA"/>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uk-UA" b="1">
                <a:solidFill>
                  <a:sysClr val="windowText" lastClr="000000"/>
                </a:solidFill>
              </a:rPr>
              <a:t>2016 р.</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076256157145348E-2"/>
          <c:y val="0.20321178602674667"/>
          <c:w val="0.8286696420502454"/>
          <c:h val="0.69710817397825275"/>
        </c:manualLayout>
      </c:layout>
      <c:pie3DChart>
        <c:varyColors val="1"/>
        <c:ser>
          <c:idx val="0"/>
          <c:order val="0"/>
          <c:tx>
            <c:strRef>
              <c:f>Лист1!$B$1</c:f>
              <c:strCache>
                <c:ptCount val="1"/>
                <c:pt idx="0">
                  <c:v>2016 р.</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0.14814814814814814"/>
                  <c:y val="-5.952380952380953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1574074074074073E-2"/>
                  <c:y val="-6.349206349206346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5074839215699273E-2"/>
                  <c:y val="-0.13095238095238096"/>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8532168053069389"/>
                  <c:y val="-1.984126984126998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8055555555555555"/>
                  <c:y val="-1.984126984126998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1.8518518518518521E-2"/>
                  <c:y val="-0.2619047619047619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Лист1!$A$2:$A$7</c:f>
              <c:strCache>
                <c:ptCount val="6"/>
                <c:pt idx="0">
                  <c:v>ПАТ «Фармак», Україна</c:v>
                </c:pt>
                <c:pt idx="1">
                  <c:v>ТОВ «ФЗ «БІОФАРМА», Україна</c:v>
                </c:pt>
                <c:pt idx="2">
                  <c:v>ПАТ "Київський вітамінний завод", Україна </c:v>
                </c:pt>
                <c:pt idx="3">
                  <c:v>ПАТ "Київмедпрепарат", Україна  </c:v>
                </c:pt>
                <c:pt idx="4">
                  <c:v>ТОВ “Фармацевтична компанія “Здоров'я” </c:v>
                </c:pt>
                <c:pt idx="5">
                  <c:v>Інші 14 заявників</c:v>
                </c:pt>
              </c:strCache>
            </c:strRef>
          </c:cat>
          <c:val>
            <c:numRef>
              <c:f>Лист1!$B$2:$B$7</c:f>
              <c:numCache>
                <c:formatCode>0.00%</c:formatCode>
                <c:ptCount val="6"/>
                <c:pt idx="0">
                  <c:v>0.16</c:v>
                </c:pt>
                <c:pt idx="1">
                  <c:v>0.14000000000000001</c:v>
                </c:pt>
                <c:pt idx="2">
                  <c:v>0.11</c:v>
                </c:pt>
                <c:pt idx="3">
                  <c:v>0.09</c:v>
                </c:pt>
                <c:pt idx="4">
                  <c:v>7.0000000000000007E-2</c:v>
                </c:pt>
                <c:pt idx="5">
                  <c:v>0.43</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uk-UA"/>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uk-UA" b="1">
                <a:solidFill>
                  <a:sysClr val="windowText" lastClr="000000"/>
                </a:solidFill>
              </a:rPr>
              <a:t>2017 р.</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878738472297705"/>
          <c:y val="0.16830162008150104"/>
          <c:w val="0.57754994935761772"/>
          <c:h val="0.51506885622466902"/>
        </c:manualLayout>
      </c:layout>
      <c:pie3DChart>
        <c:varyColors val="1"/>
        <c:ser>
          <c:idx val="0"/>
          <c:order val="0"/>
          <c:tx>
            <c:strRef>
              <c:f>Лист1!$B$1</c:f>
              <c:strCache>
                <c:ptCount val="1"/>
                <c:pt idx="0">
                  <c:v>Кількість</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0"/>
              <c:layout>
                <c:manualLayout>
                  <c:x val="0.12440612947763437"/>
                  <c:y val="-4.04403043588695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764087071477663"/>
                      <c:h val="0.24519343103824928"/>
                    </c:manualLayout>
                  </c15:layout>
                </c:ext>
              </c:extLst>
            </c:dLbl>
            <c:dLbl>
              <c:idx val="1"/>
              <c:layout>
                <c:manualLayout>
                  <c:x val="5.7308696046126283E-2"/>
                  <c:y val="8.4151472650770363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3249060940414242E-2"/>
                  <c:y val="0.1458382568939050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1.822946337017204E-2"/>
                  <c:y val="9.537166900420757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2.0066763615354734E-2"/>
                  <c:y val="-0.11220196353436185"/>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1.7479381956599163E-2"/>
                  <c:y val="-0.1538293337456240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3531626593844499"/>
                      <c:h val="0.13347240781438086"/>
                    </c:manualLayout>
                  </c15:layout>
                </c:ext>
              </c:extLst>
            </c:dLbl>
            <c:dLbl>
              <c:idx val="6"/>
              <c:layout>
                <c:manualLayout>
                  <c:x val="0.29850746268656708"/>
                  <c:y val="-9.5371669004207585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Лист1!$A$2:$A$8</c:f>
              <c:strCache>
                <c:ptCount val="6"/>
                <c:pt idx="0">
                  <c:v>ПАТ «Фармак», Україна</c:v>
                </c:pt>
                <c:pt idx="1">
                  <c:v>ПрАТ «Фармацевтична фірма «Дарниця», Україна</c:v>
                </c:pt>
                <c:pt idx="2">
                  <c:v>Товариство з обмеженою відповідальністю “Фармацевтична компанія “Здоров'я”, Україна</c:v>
                </c:pt>
                <c:pt idx="3">
                  <c:v>ПАТ «Хімфармзавод «Червона зірка», Україна</c:v>
                </c:pt>
                <c:pt idx="4">
                  <c:v>ТОВ НВФ «МІКРОХІМ», Україна</c:v>
                </c:pt>
                <c:pt idx="5">
                  <c:v>Інші</c:v>
                </c:pt>
              </c:strCache>
            </c:strRef>
          </c:cat>
          <c:val>
            <c:numRef>
              <c:f>Лист1!$B$2:$B$8</c:f>
              <c:numCache>
                <c:formatCode>General</c:formatCode>
                <c:ptCount val="7"/>
                <c:pt idx="0">
                  <c:v>10</c:v>
                </c:pt>
                <c:pt idx="1">
                  <c:v>7</c:v>
                </c:pt>
                <c:pt idx="2">
                  <c:v>7</c:v>
                </c:pt>
                <c:pt idx="3">
                  <c:v>3</c:v>
                </c:pt>
                <c:pt idx="4">
                  <c:v>3</c:v>
                </c:pt>
                <c:pt idx="5">
                  <c:v>17</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uk-UA"/>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uk-UA" b="1">
                <a:solidFill>
                  <a:sysClr val="windowText" lastClr="000000"/>
                </a:solidFill>
              </a:rPr>
              <a:t>2018 р. </a:t>
            </a:r>
          </a:p>
        </c:rich>
      </c:tx>
      <c:layout>
        <c:manualLayout>
          <c:xMode val="edge"/>
          <c:yMode val="edge"/>
          <c:x val="0.37561809274239488"/>
          <c:y val="5.6100981767180924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878738472297705"/>
          <c:y val="0.16830162008150104"/>
          <c:w val="0.57754994935761772"/>
          <c:h val="0.51506885622466902"/>
        </c:manualLayout>
      </c:layout>
      <c:pie3DChart>
        <c:varyColors val="1"/>
        <c:ser>
          <c:idx val="0"/>
          <c:order val="0"/>
          <c:tx>
            <c:strRef>
              <c:f>Лист1!$B$1</c:f>
              <c:strCache>
                <c:ptCount val="1"/>
                <c:pt idx="0">
                  <c:v>Кількість</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0"/>
              <c:layout>
                <c:manualLayout>
                  <c:x val="0.12440612947763437"/>
                  <c:y val="-4.04403043588695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764087071477663"/>
                      <c:h val="0.24519343103824928"/>
                    </c:manualLayout>
                  </c15:layout>
                </c:ext>
              </c:extLst>
            </c:dLbl>
            <c:dLbl>
              <c:idx val="1"/>
              <c:layout>
                <c:manualLayout>
                  <c:x val="5.7308696046126283E-2"/>
                  <c:y val="8.4151472650770363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3249060940414242E-2"/>
                  <c:y val="0.1458382568939050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1.822946337017204E-2"/>
                  <c:y val="9.537166900420757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2.0066763615354734E-2"/>
                  <c:y val="-0.11220196353436185"/>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1.7479381956599163E-2"/>
                  <c:y val="-0.1538293337456240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3531626593844499"/>
                      <c:h val="0.13347240781438086"/>
                    </c:manualLayout>
                  </c15:layout>
                </c:ext>
              </c:extLst>
            </c:dLbl>
            <c:dLbl>
              <c:idx val="6"/>
              <c:layout>
                <c:manualLayout>
                  <c:x val="0.29850746268656708"/>
                  <c:y val="-9.5371669004207585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Лист1!$A$2:$A$7</c:f>
              <c:strCache>
                <c:ptCount val="6"/>
                <c:pt idx="0">
                  <c:v>ПАТ Фармак, Україна</c:v>
                </c:pt>
                <c:pt idx="1">
                  <c:v>ПрАТ Фармацевтична фірма Дарниця, Україна</c:v>
                </c:pt>
                <c:pt idx="2">
                  <c:v>ПрАТ Технолог, Україна</c:v>
                </c:pt>
                <c:pt idx="3">
                  <c:v>ТОВ НВФ МІКРОХІМ, Україна</c:v>
                </c:pt>
                <c:pt idx="4">
                  <c:v>ТОВ Фармацевтична компанія Здоров’я, Україна</c:v>
                </c:pt>
                <c:pt idx="5">
                  <c:v>Інші</c:v>
                </c:pt>
              </c:strCache>
            </c:strRef>
          </c:cat>
          <c:val>
            <c:numRef>
              <c:f>Лист1!$B$2:$B$7</c:f>
              <c:numCache>
                <c:formatCode>General</c:formatCode>
                <c:ptCount val="6"/>
                <c:pt idx="0">
                  <c:v>8</c:v>
                </c:pt>
                <c:pt idx="1">
                  <c:v>5</c:v>
                </c:pt>
                <c:pt idx="2">
                  <c:v>3</c:v>
                </c:pt>
                <c:pt idx="3">
                  <c:v>3</c:v>
                </c:pt>
                <c:pt idx="4">
                  <c:v>3</c:v>
                </c:pt>
                <c:pt idx="5">
                  <c:v>10</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uk-UA"/>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8"/>
      <c:hPercent val="58"/>
      <c:rotY val="44"/>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4.9261379874449361E-2"/>
          <c:y val="4.2780748663101602E-2"/>
          <c:w val="0.93787280031798281"/>
          <c:h val="0.74819905904717332"/>
        </c:manualLayout>
      </c:layout>
      <c:bar3DChart>
        <c:barDir val="col"/>
        <c:grouping val="clustered"/>
        <c:varyColors val="0"/>
        <c:ser>
          <c:idx val="0"/>
          <c:order val="0"/>
          <c:tx>
            <c:strRef>
              <c:f>Sheet1!$A$2</c:f>
              <c:strCache>
                <c:ptCount val="1"/>
                <c:pt idx="0">
                  <c:v>Восток</c:v>
                </c:pt>
              </c:strCache>
            </c:strRef>
          </c:tx>
          <c:spPr>
            <a:solidFill>
              <a:schemeClr val="accent6"/>
            </a:solidFill>
            <a:ln>
              <a:noFill/>
            </a:ln>
            <a:effectLst/>
            <a:sp3d/>
          </c:spPr>
          <c:invertIfNegative val="0"/>
          <c:dLbls>
            <c:dLbl>
              <c:idx val="0"/>
              <c:layout>
                <c:manualLayout>
                  <c:x val="2.4788695843557727E-2"/>
                  <c:y val="-2.1256809051867966E-2"/>
                </c:manualLayout>
              </c:layout>
              <c:spPr>
                <a:noFill/>
                <a:ln w="25307">
                  <a:noFill/>
                </a:ln>
                <a:effectLst/>
              </c:spPr>
              <c:txPr>
                <a:bodyPr rot="0" spcFirstLastPara="1" vertOverflow="ellipsis" vert="horz" wrap="square" anchor="ctr" anchorCtr="1"/>
                <a:lstStyle/>
                <a:p>
                  <a:pPr>
                    <a:defRPr sz="996" b="1" i="0" u="none" strike="noStrike" kern="1200" baseline="0">
                      <a:solidFill>
                        <a:srgbClr val="FF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29121703967229E-2"/>
                  <c:y val="-2.9956216947840248E-2"/>
                </c:manualLayout>
              </c:layout>
              <c:spPr>
                <a:noFill/>
                <a:ln w="25307">
                  <a:noFill/>
                </a:ln>
                <a:effectLst/>
              </c:spPr>
              <c:txPr>
                <a:bodyPr rot="0" spcFirstLastPara="1" vertOverflow="ellipsis" vert="horz" wrap="square" anchor="ctr" anchorCtr="1"/>
                <a:lstStyle/>
                <a:p>
                  <a:pPr>
                    <a:defRPr sz="996" b="1" i="0" u="none" strike="noStrike" kern="1200" baseline="0">
                      <a:solidFill>
                        <a:srgbClr val="FF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7477391358620847E-2"/>
                  <c:y val="-1.0463441657024572E-2"/>
                </c:manualLayout>
              </c:layout>
              <c:tx>
                <c:rich>
                  <a:bodyPr rot="0" spcFirstLastPara="1" vertOverflow="ellipsis" vert="horz" wrap="square" anchor="ctr" anchorCtr="1"/>
                  <a:lstStyle/>
                  <a:p>
                    <a:pPr>
                      <a:defRPr sz="996" b="1" i="0" u="none" strike="noStrike" kern="1200" baseline="0">
                        <a:solidFill>
                          <a:srgbClr val="FF0000"/>
                        </a:solidFill>
                        <a:latin typeface="Arial"/>
                        <a:ea typeface="Arial"/>
                        <a:cs typeface="Arial"/>
                      </a:defRPr>
                    </a:pPr>
                    <a:r>
                      <a:rPr lang="en-US">
                        <a:solidFill>
                          <a:srgbClr val="FF0000"/>
                        </a:solidFill>
                      </a:rPr>
                      <a:t>70</a:t>
                    </a:r>
                  </a:p>
                </c:rich>
              </c:tx>
              <c:spPr>
                <a:noFill/>
                <a:ln w="25307">
                  <a:noFill/>
                </a:ln>
                <a:effectLst/>
              </c:spPr>
              <c:showLegendKey val="0"/>
              <c:showVal val="0"/>
              <c:showCatName val="0"/>
              <c:showSerName val="0"/>
              <c:showPercent val="0"/>
              <c:showBubbleSize val="0"/>
              <c:extLst>
                <c:ext xmlns:c15="http://schemas.microsoft.com/office/drawing/2012/chart" uri="{CE6537A1-D6FC-4f65-9D91-7224C49458BB}"/>
              </c:extLst>
            </c:dLbl>
            <c:dLbl>
              <c:idx val="3"/>
              <c:layout>
                <c:manualLayout>
                  <c:x val="2.5461617047556163E-2"/>
                  <c:y val="-1.8259742848599637E-2"/>
                </c:manualLayout>
              </c:layout>
              <c:spPr>
                <a:noFill/>
                <a:ln w="25307">
                  <a:noFill/>
                </a:ln>
                <a:effectLst/>
              </c:spPr>
              <c:txPr>
                <a:bodyPr rot="0" spcFirstLastPara="1" vertOverflow="ellipsis" vert="horz" wrap="square" anchor="ctr" anchorCtr="1"/>
                <a:lstStyle/>
                <a:p>
                  <a:pPr>
                    <a:defRPr sz="996" b="1" i="0" u="none" strike="noStrike" kern="1200" baseline="0">
                      <a:solidFill>
                        <a:srgbClr val="FF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1296141173842709E-2"/>
                  <c:y val="-2.5359213147338425E-2"/>
                </c:manualLayout>
              </c:layout>
              <c:spPr>
                <a:noFill/>
                <a:ln w="25307">
                  <a:noFill/>
                </a:ln>
                <a:effectLst/>
              </c:spPr>
              <c:txPr>
                <a:bodyPr rot="0" spcFirstLastPara="1" vertOverflow="ellipsis" vert="horz" wrap="square" anchor="ctr" anchorCtr="1"/>
                <a:lstStyle/>
                <a:p>
                  <a:pPr>
                    <a:defRPr sz="996" b="1" i="0" u="none" strike="noStrike" kern="1200" baseline="0">
                      <a:solidFill>
                        <a:srgbClr val="FF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2.0331188263544655E-2"/>
                  <c:y val="-8.7646996794635678E-3"/>
                </c:manualLayout>
              </c:layout>
              <c:spPr>
                <a:noFill/>
                <a:ln w="25307">
                  <a:noFill/>
                </a:ln>
                <a:effectLst/>
              </c:spPr>
              <c:txPr>
                <a:bodyPr rot="0" spcFirstLastPara="1" vertOverflow="ellipsis" vert="horz" wrap="square" anchor="ctr" anchorCtr="1"/>
                <a:lstStyle/>
                <a:p>
                  <a:pPr>
                    <a:defRPr sz="996" b="1" i="0" u="none" strike="noStrike" kern="1200" baseline="0">
                      <a:solidFill>
                        <a:srgbClr val="FF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9"/>
              <c:layout>
                <c:manualLayout>
                  <c:xMode val="edge"/>
                  <c:yMode val="edge"/>
                  <c:x val="0.89825119236883944"/>
                  <c:y val="0.32085561497326204"/>
                </c:manualLayout>
              </c:layout>
              <c:spPr>
                <a:noFill/>
                <a:ln w="25307">
                  <a:noFill/>
                </a:ln>
                <a:effectLst/>
              </c:spPr>
              <c:txPr>
                <a:bodyPr rot="0" spcFirstLastPara="1" vertOverflow="ellipsis" vert="horz" wrap="square" anchor="ctr" anchorCtr="1"/>
                <a:lstStyle/>
                <a:p>
                  <a:pPr>
                    <a:defRPr sz="996" b="1" i="0" u="none" strike="noStrike" kern="1200" baseline="0">
                      <a:solidFill>
                        <a:srgbClr val="FF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307">
                <a:noFill/>
              </a:ln>
              <a:effectLst/>
            </c:spPr>
            <c:txPr>
              <a:bodyPr rot="0" spcFirstLastPara="1" vertOverflow="ellipsis" vert="horz" wrap="square" lIns="38100" tIns="19050" rIns="38100" bIns="19050" anchor="ctr" anchorCtr="1">
                <a:spAutoFit/>
              </a:bodyPr>
              <a:lstStyle/>
              <a:p>
                <a:pPr>
                  <a:defRPr sz="996" b="1" i="0" u="none" strike="noStrike" kern="1200" baseline="0">
                    <a:solidFill>
                      <a:srgbClr val="FF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Sheet1!$J$1:$U$1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Sheet1!$J$2:$U$2</c:f>
              <c:numCache>
                <c:formatCode>General</c:formatCode>
                <c:ptCount val="9"/>
                <c:pt idx="0">
                  <c:v>50</c:v>
                </c:pt>
                <c:pt idx="1">
                  <c:v>53</c:v>
                </c:pt>
                <c:pt idx="2">
                  <c:v>65</c:v>
                </c:pt>
                <c:pt idx="3">
                  <c:v>66</c:v>
                </c:pt>
                <c:pt idx="4">
                  <c:v>70</c:v>
                </c:pt>
                <c:pt idx="5">
                  <c:v>55</c:v>
                </c:pt>
                <c:pt idx="6">
                  <c:v>66</c:v>
                </c:pt>
                <c:pt idx="7">
                  <c:v>43</c:v>
                </c:pt>
                <c:pt idx="8">
                  <c:v>42</c:v>
                </c:pt>
              </c:numCache>
            </c:numRef>
          </c:val>
        </c:ser>
        <c:dLbls>
          <c:showLegendKey val="0"/>
          <c:showVal val="1"/>
          <c:showCatName val="0"/>
          <c:showSerName val="0"/>
          <c:showPercent val="0"/>
          <c:showBubbleSize val="0"/>
        </c:dLbls>
        <c:gapWidth val="150"/>
        <c:gapDepth val="0"/>
        <c:shape val="box"/>
        <c:axId val="489648032"/>
        <c:axId val="489648424"/>
        <c:axId val="0"/>
      </c:bar3DChart>
      <c:catAx>
        <c:axId val="489648032"/>
        <c:scaling>
          <c:orientation val="minMax"/>
        </c:scaling>
        <c:delete val="0"/>
        <c:axPos val="b"/>
        <c:numFmt formatCode="General" sourceLinked="1"/>
        <c:majorTickMark val="out"/>
        <c:minorTickMark val="none"/>
        <c:tickLblPos val="low"/>
        <c:spPr>
          <a:noFill/>
          <a:ln w="3163" cap="flat" cmpd="sng" algn="ctr">
            <a:solidFill>
              <a:srgbClr val="000000"/>
            </a:solidFill>
            <a:prstDash val="solid"/>
            <a:round/>
          </a:ln>
          <a:effectLst/>
        </c:spPr>
        <c:txPr>
          <a:bodyPr rot="-2700000" spcFirstLastPara="1" vertOverflow="ellipsis" wrap="square" anchor="ctr" anchorCtr="1"/>
          <a:lstStyle/>
          <a:p>
            <a:pPr>
              <a:defRPr sz="797" b="0" i="0" u="none" strike="noStrike" kern="1200" baseline="0">
                <a:solidFill>
                  <a:schemeClr val="accent2">
                    <a:lumMod val="75000"/>
                  </a:schemeClr>
                </a:solidFill>
                <a:latin typeface="Arial"/>
                <a:ea typeface="Arial"/>
                <a:cs typeface="Arial"/>
              </a:defRPr>
            </a:pPr>
            <a:endParaRPr lang="uk-UA"/>
          </a:p>
        </c:txPr>
        <c:crossAx val="489648424"/>
        <c:crosses val="autoZero"/>
        <c:auto val="1"/>
        <c:lblAlgn val="ctr"/>
        <c:lblOffset val="100"/>
        <c:tickLblSkip val="1"/>
        <c:tickMarkSkip val="1"/>
        <c:noMultiLvlLbl val="0"/>
      </c:catAx>
      <c:valAx>
        <c:axId val="489648424"/>
        <c:scaling>
          <c:orientation val="minMax"/>
        </c:scaling>
        <c:delete val="0"/>
        <c:axPos val="l"/>
        <c:numFmt formatCode="General" sourceLinked="1"/>
        <c:majorTickMark val="out"/>
        <c:minorTickMark val="none"/>
        <c:tickLblPos val="nextTo"/>
        <c:spPr>
          <a:noFill/>
          <a:ln w="3163" cap="flat" cmpd="sng" algn="ctr">
            <a:solidFill>
              <a:srgbClr val="000000"/>
            </a:solidFill>
            <a:prstDash val="solid"/>
            <a:round/>
          </a:ln>
          <a:effectLst/>
        </c:spPr>
        <c:txPr>
          <a:bodyPr rot="0" spcFirstLastPara="1" vertOverflow="ellipsis" wrap="square" anchor="ctr" anchorCtr="1"/>
          <a:lstStyle/>
          <a:p>
            <a:pPr>
              <a:defRPr sz="1121" b="0" i="0" u="none" strike="noStrike" kern="1200" baseline="0">
                <a:solidFill>
                  <a:srgbClr val="000000"/>
                </a:solidFill>
                <a:latin typeface="Arial"/>
                <a:ea typeface="Arial"/>
                <a:cs typeface="Arial"/>
              </a:defRPr>
            </a:pPr>
            <a:endParaRPr lang="uk-UA"/>
          </a:p>
        </c:txPr>
        <c:crossAx val="489648032"/>
        <c:crosses val="autoZero"/>
        <c:crossBetween val="between"/>
      </c:valAx>
      <c:spPr>
        <a:noFill/>
        <a:ln w="25307">
          <a:noFill/>
        </a:ln>
        <a:effectLst/>
      </c:spPr>
    </c:plotArea>
    <c:plotVisOnly val="1"/>
    <c:dispBlanksAs val="gap"/>
    <c:showDLblsOverMax val="0"/>
  </c:chart>
  <c:spPr>
    <a:noFill/>
    <a:ln w="6350" cap="flat" cmpd="sng" algn="ctr">
      <a:noFill/>
      <a:prstDash val="solid"/>
      <a:round/>
    </a:ln>
    <a:effectLst/>
  </c:spPr>
  <c:txPr>
    <a:bodyPr/>
    <a:lstStyle/>
    <a:p>
      <a:pPr>
        <a:defRPr sz="1594" b="1" i="0" u="none" strike="noStrike" baseline="0">
          <a:solidFill>
            <a:srgbClr val="000000"/>
          </a:solidFill>
          <a:latin typeface="Arial"/>
          <a:ea typeface="Arial"/>
          <a:cs typeface="Arial"/>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638658162927716E-2"/>
          <c:y val="4.6025104602510462E-2"/>
          <c:w val="0.92233446809544961"/>
          <c:h val="0.57445025731729393"/>
        </c:manualLayout>
      </c:layout>
      <c:barChart>
        <c:barDir val="col"/>
        <c:grouping val="clustered"/>
        <c:varyColors val="0"/>
        <c:ser>
          <c:idx val="0"/>
          <c:order val="0"/>
          <c:tx>
            <c:strRef>
              <c:f>Sheet1!$A$2</c:f>
              <c:strCache>
                <c:ptCount val="1"/>
                <c:pt idx="0">
                  <c:v>Восток</c:v>
                </c:pt>
              </c:strCache>
            </c:strRef>
          </c:tx>
          <c:spPr>
            <a:solidFill>
              <a:srgbClr val="9999FF"/>
            </a:solidFill>
            <a:ln w="12713">
              <a:solidFill>
                <a:srgbClr val="000000"/>
              </a:solidFill>
              <a:prstDash val="solid"/>
            </a:ln>
          </c:spPr>
          <c:invertIfNegative val="0"/>
          <c:dLbls>
            <c:dLbl>
              <c:idx val="0"/>
              <c:layout>
                <c:manualLayout>
                  <c:x val="-1.691745472251549E-2"/>
                  <c:y val="-3.1024713543277571E-3"/>
                </c:manualLayout>
              </c:layout>
              <c:spPr>
                <a:noFill/>
                <a:ln w="25425">
                  <a:noFill/>
                </a:ln>
              </c:spPr>
              <c:txPr>
                <a:bodyPr/>
                <a:lstStyle/>
                <a:p>
                  <a:pPr>
                    <a:defRPr sz="12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8870852964423821E-2"/>
                  <c:y val="-4.1069983856444309E-2"/>
                </c:manualLayout>
              </c:layout>
              <c:spPr>
                <a:noFill/>
                <a:ln w="25425">
                  <a:noFill/>
                </a:ln>
              </c:spPr>
              <c:txPr>
                <a:bodyPr/>
                <a:lstStyle/>
                <a:p>
                  <a:pPr>
                    <a:defRPr sz="12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577931727308652E-2"/>
                  <c:y val="0"/>
                </c:manualLayout>
              </c:layout>
              <c:spPr>
                <a:noFill/>
                <a:ln w="25425">
                  <a:noFill/>
                </a:ln>
              </c:spPr>
              <c:txPr>
                <a:bodyPr/>
                <a:lstStyle/>
                <a:p>
                  <a:pPr>
                    <a:defRPr sz="12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2790044841876131E-3"/>
                  <c:y val="0"/>
                </c:manualLayout>
              </c:layout>
              <c:spPr>
                <a:noFill/>
                <a:ln w="25425">
                  <a:noFill/>
                </a:ln>
              </c:spPr>
              <c:txPr>
                <a:bodyPr/>
                <a:lstStyle/>
                <a:p>
                  <a:pPr>
                    <a:defRPr sz="12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0169197559305463E-3"/>
                  <c:y val="0"/>
                </c:manualLayout>
              </c:layout>
              <c:spPr>
                <a:noFill/>
                <a:ln w="25425">
                  <a:noFill/>
                </a:ln>
              </c:spPr>
              <c:txPr>
                <a:bodyPr/>
                <a:lstStyle/>
                <a:p>
                  <a:pPr>
                    <a:defRPr sz="12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831915578907406E-2"/>
                  <c:y val="-8.4819950666387145E-3"/>
                </c:manualLayout>
              </c:layout>
              <c:spPr>
                <a:noFill/>
                <a:ln w="25425">
                  <a:noFill/>
                </a:ln>
              </c:spPr>
              <c:txPr>
                <a:bodyPr/>
                <a:lstStyle/>
                <a:p>
                  <a:pPr>
                    <a:defRPr sz="12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8166602501896731E-3"/>
                  <c:y val="-4.9414376799313875E-2"/>
                </c:manualLayout>
              </c:layout>
              <c:spPr>
                <a:noFill/>
                <a:ln w="25425">
                  <a:noFill/>
                </a:ln>
              </c:spPr>
              <c:txPr>
                <a:bodyPr/>
                <a:lstStyle/>
                <a:p>
                  <a:pPr>
                    <a:defRPr sz="12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spPr>
              <a:noFill/>
              <a:ln w="25425">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Sheet1!$B$2:$J$2</c:f>
              <c:numCache>
                <c:formatCode>General</c:formatCode>
                <c:ptCount val="9"/>
                <c:pt idx="0">
                  <c:v>965</c:v>
                </c:pt>
                <c:pt idx="1">
                  <c:v>1026</c:v>
                </c:pt>
                <c:pt idx="2">
                  <c:v>1241</c:v>
                </c:pt>
                <c:pt idx="3">
                  <c:v>1246</c:v>
                </c:pt>
                <c:pt idx="4">
                  <c:v>1262</c:v>
                </c:pt>
                <c:pt idx="5">
                  <c:v>1065</c:v>
                </c:pt>
                <c:pt idx="6">
                  <c:v>1222</c:v>
                </c:pt>
                <c:pt idx="7">
                  <c:v>1373</c:v>
                </c:pt>
                <c:pt idx="8">
                  <c:v>1283</c:v>
                </c:pt>
              </c:numCache>
            </c:numRef>
          </c:val>
        </c:ser>
        <c:dLbls>
          <c:showLegendKey val="0"/>
          <c:showVal val="1"/>
          <c:showCatName val="0"/>
          <c:showSerName val="0"/>
          <c:showPercent val="0"/>
          <c:showBubbleSize val="0"/>
        </c:dLbls>
        <c:gapWidth val="150"/>
        <c:axId val="487510960"/>
        <c:axId val="487507040"/>
      </c:barChart>
      <c:catAx>
        <c:axId val="487510960"/>
        <c:scaling>
          <c:orientation val="minMax"/>
        </c:scaling>
        <c:delete val="0"/>
        <c:axPos val="b"/>
        <c:numFmt formatCode="General" sourceLinked="1"/>
        <c:majorTickMark val="out"/>
        <c:minorTickMark val="none"/>
        <c:tickLblPos val="nextTo"/>
        <c:spPr>
          <a:ln w="3178">
            <a:solidFill>
              <a:srgbClr val="000000"/>
            </a:solidFill>
            <a:prstDash val="solid"/>
          </a:ln>
        </c:spPr>
        <c:txPr>
          <a:bodyPr rot="-2700000" vert="horz"/>
          <a:lstStyle/>
          <a:p>
            <a:pPr>
              <a:defRPr sz="951" b="1" i="0" u="none" strike="noStrike" baseline="0">
                <a:solidFill>
                  <a:srgbClr val="000000"/>
                </a:solidFill>
                <a:latin typeface="Calibri"/>
                <a:ea typeface="Calibri"/>
                <a:cs typeface="Calibri"/>
              </a:defRPr>
            </a:pPr>
            <a:endParaRPr lang="uk-UA"/>
          </a:p>
        </c:txPr>
        <c:crossAx val="487507040"/>
        <c:crossesAt val="0"/>
        <c:auto val="1"/>
        <c:lblAlgn val="ctr"/>
        <c:lblOffset val="100"/>
        <c:tickLblSkip val="1"/>
        <c:tickMarkSkip val="1"/>
        <c:noMultiLvlLbl val="0"/>
      </c:catAx>
      <c:valAx>
        <c:axId val="487507040"/>
        <c:scaling>
          <c:orientation val="minMax"/>
          <c:min val="0"/>
        </c:scaling>
        <c:delete val="1"/>
        <c:axPos val="l"/>
        <c:numFmt formatCode="General" sourceLinked="1"/>
        <c:majorTickMark val="out"/>
        <c:minorTickMark val="none"/>
        <c:tickLblPos val="nextTo"/>
        <c:crossAx val="487510960"/>
        <c:crosses val="autoZero"/>
        <c:crossBetween val="between"/>
        <c:majorUnit val="100"/>
        <c:minorUnit val="50"/>
      </c:valAx>
      <c:spPr>
        <a:noFill/>
        <a:ln w="25425">
          <a:noFill/>
        </a:ln>
      </c:spPr>
    </c:plotArea>
    <c:plotVisOnly val="1"/>
    <c:dispBlanksAs val="gap"/>
    <c:showDLblsOverMax val="0"/>
  </c:chart>
  <c:spPr>
    <a:noFill/>
    <a:ln>
      <a:noFill/>
    </a:ln>
  </c:spPr>
  <c:txPr>
    <a:bodyPr/>
    <a:lstStyle/>
    <a:p>
      <a:pPr>
        <a:defRPr sz="951" b="1"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3.0728245365462641E-2"/>
          <c:y val="6.8099847391687507E-2"/>
          <c:w val="0.92899383700287896"/>
          <c:h val="0.75780236865296302"/>
        </c:manualLayout>
      </c:layout>
      <c:bar3DChart>
        <c:barDir val="col"/>
        <c:grouping val="clustered"/>
        <c:varyColors val="0"/>
        <c:ser>
          <c:idx val="0"/>
          <c:order val="0"/>
          <c:tx>
            <c:v>23131</c:v>
          </c:tx>
          <c:spPr>
            <a:solidFill>
              <a:srgbClr val="99CCFF"/>
            </a:solidFill>
            <a:ln w="1271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Sheet1!$A$1:$I$1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Sheet1!$A$2:$I$2</c:f>
              <c:numCache>
                <c:formatCode>General</c:formatCode>
                <c:ptCount val="9"/>
                <c:pt idx="0">
                  <c:v>43</c:v>
                </c:pt>
                <c:pt idx="1">
                  <c:v>49</c:v>
                </c:pt>
                <c:pt idx="2">
                  <c:v>52</c:v>
                </c:pt>
                <c:pt idx="3">
                  <c:v>56</c:v>
                </c:pt>
                <c:pt idx="4">
                  <c:v>81</c:v>
                </c:pt>
                <c:pt idx="5">
                  <c:v>58</c:v>
                </c:pt>
                <c:pt idx="6">
                  <c:v>46</c:v>
                </c:pt>
                <c:pt idx="7">
                  <c:v>47</c:v>
                </c:pt>
                <c:pt idx="8">
                  <c:v>30</c:v>
                </c:pt>
              </c:numCache>
            </c:numRef>
          </c:val>
          <c:extLst/>
        </c:ser>
        <c:dLbls>
          <c:showLegendKey val="0"/>
          <c:showVal val="1"/>
          <c:showCatName val="0"/>
          <c:showSerName val="0"/>
          <c:showPercent val="0"/>
          <c:showBubbleSize val="0"/>
        </c:dLbls>
        <c:gapWidth val="150"/>
        <c:gapDepth val="0"/>
        <c:shape val="box"/>
        <c:axId val="487508216"/>
        <c:axId val="487505864"/>
        <c:axId val="0"/>
      </c:bar3DChart>
      <c:catAx>
        <c:axId val="487508216"/>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1026" b="1" i="0" u="none" strike="noStrike" baseline="0">
                <a:solidFill>
                  <a:srgbClr val="000000"/>
                </a:solidFill>
                <a:latin typeface="Calibri"/>
                <a:ea typeface="Calibri"/>
                <a:cs typeface="Calibri"/>
              </a:defRPr>
            </a:pPr>
            <a:endParaRPr lang="uk-UA"/>
          </a:p>
        </c:txPr>
        <c:crossAx val="487505864"/>
        <c:crosses val="autoZero"/>
        <c:auto val="0"/>
        <c:lblAlgn val="ctr"/>
        <c:lblOffset val="100"/>
        <c:tickLblSkip val="1"/>
        <c:tickMarkSkip val="1"/>
        <c:noMultiLvlLbl val="0"/>
      </c:catAx>
      <c:valAx>
        <c:axId val="487505864"/>
        <c:scaling>
          <c:orientation val="minMax"/>
        </c:scaling>
        <c:delete val="1"/>
        <c:axPos val="l"/>
        <c:numFmt formatCode="General" sourceLinked="1"/>
        <c:majorTickMark val="out"/>
        <c:minorTickMark val="none"/>
        <c:tickLblPos val="nextTo"/>
        <c:crossAx val="487508216"/>
        <c:crosses val="autoZero"/>
        <c:crossBetween val="between"/>
      </c:valAx>
      <c:spPr>
        <a:noFill/>
        <a:ln w="25421">
          <a:noFill/>
        </a:ln>
      </c:spPr>
    </c:plotArea>
    <c:plotVisOnly val="1"/>
    <c:dispBlanksAs val="gap"/>
    <c:showDLblsOverMax val="0"/>
  </c:chart>
  <c:spPr>
    <a:noFill/>
    <a:ln>
      <a:noFill/>
    </a:ln>
  </c:spPr>
  <c:txPr>
    <a:bodyPr/>
    <a:lstStyle/>
    <a:p>
      <a:pPr>
        <a:defRPr sz="1026" b="1" i="0" u="none" strike="noStrike" baseline="0">
          <a:solidFill>
            <a:srgbClr val="000000"/>
          </a:solidFill>
          <a:latin typeface="Calibri"/>
          <a:ea typeface="Calibri"/>
          <a:cs typeface="Calibri"/>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Кількість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Лист1!$B$2:$B$10</c:f>
              <c:numCache>
                <c:formatCode>General</c:formatCode>
                <c:ptCount val="9"/>
                <c:pt idx="0">
                  <c:v>4</c:v>
                </c:pt>
                <c:pt idx="1">
                  <c:v>9</c:v>
                </c:pt>
                <c:pt idx="2">
                  <c:v>3</c:v>
                </c:pt>
                <c:pt idx="3">
                  <c:v>13</c:v>
                </c:pt>
                <c:pt idx="4">
                  <c:v>12</c:v>
                </c:pt>
                <c:pt idx="5">
                  <c:v>13</c:v>
                </c:pt>
                <c:pt idx="6">
                  <c:v>9</c:v>
                </c:pt>
                <c:pt idx="7">
                  <c:v>11</c:v>
                </c:pt>
                <c:pt idx="8">
                  <c:v>20</c:v>
                </c:pt>
              </c:numCache>
            </c:numRef>
          </c:val>
        </c:ser>
        <c:dLbls>
          <c:dLblPos val="outEnd"/>
          <c:showLegendKey val="0"/>
          <c:showVal val="1"/>
          <c:showCatName val="0"/>
          <c:showSerName val="0"/>
          <c:showPercent val="0"/>
          <c:showBubbleSize val="0"/>
        </c:dLbls>
        <c:gapWidth val="219"/>
        <c:overlap val="-27"/>
        <c:axId val="487491112"/>
        <c:axId val="487486800"/>
      </c:barChart>
      <c:catAx>
        <c:axId val="487491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uk-UA"/>
          </a:p>
        </c:txPr>
        <c:crossAx val="487486800"/>
        <c:crosses val="autoZero"/>
        <c:auto val="1"/>
        <c:lblAlgn val="ctr"/>
        <c:lblOffset val="100"/>
        <c:noMultiLvlLbl val="0"/>
      </c:catAx>
      <c:valAx>
        <c:axId val="4874868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8749111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346860488592772E-3"/>
          <c:y val="1.7997750281215555E-4"/>
          <c:w val="0.98986513224308503"/>
          <c:h val="0.66913079046937318"/>
        </c:manualLayout>
      </c:layout>
      <c:barChart>
        <c:barDir val="col"/>
        <c:grouping val="clustered"/>
        <c:varyColors val="0"/>
        <c:ser>
          <c:idx val="0"/>
          <c:order val="0"/>
          <c:tx>
            <c:strRef>
              <c:f>Sheet1!$A$2</c:f>
              <c:strCache>
                <c:ptCount val="1"/>
                <c:pt idx="0">
                  <c:v>Восток</c:v>
                </c:pt>
              </c:strCache>
            </c:strRef>
          </c:tx>
          <c:spPr>
            <a:solidFill>
              <a:srgbClr val="9999FF"/>
            </a:solidFill>
            <a:ln w="12686">
              <a:solidFill>
                <a:srgbClr val="000000"/>
              </a:solidFill>
              <a:prstDash val="solid"/>
            </a:ln>
          </c:spPr>
          <c:invertIfNegative val="0"/>
          <c:dLbls>
            <c:dLbl>
              <c:idx val="0"/>
              <c:layout>
                <c:manualLayout>
                  <c:x val="7.3595314997326744E-3"/>
                  <c:y val="-5.2715715729160673E-2"/>
                </c:manualLayout>
              </c:layout>
              <c:spPr>
                <a:noFill/>
                <a:ln w="25371">
                  <a:noFill/>
                </a:ln>
              </c:spPr>
              <c:txPr>
                <a:bodyPr/>
                <a:lstStyle/>
                <a:p>
                  <a:pPr>
                    <a:defRPr sz="1348"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092049824165612E-3"/>
                  <c:y val="-5.6670632299877677E-2"/>
                </c:manualLayout>
              </c:layout>
              <c:spPr>
                <a:noFill/>
                <a:ln w="25371">
                  <a:noFill/>
                </a:ln>
              </c:spPr>
              <c:txPr>
                <a:bodyPr/>
                <a:lstStyle/>
                <a:p>
                  <a:pPr>
                    <a:defRPr sz="1348"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spPr>
                <a:noFill/>
                <a:ln w="25371">
                  <a:noFill/>
                </a:ln>
              </c:spPr>
              <c:txPr>
                <a:bodyPr/>
                <a:lstStyle/>
                <a:p>
                  <a:pPr>
                    <a:defRPr sz="1348"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dLbl>
            <c:dLbl>
              <c:idx val="3"/>
              <c:layout>
                <c:manualLayout>
                  <c:x val="-7.3570417593271653E-4"/>
                  <c:y val="-4.2207264015055479E-2"/>
                </c:manualLayout>
              </c:layout>
              <c:spPr>
                <a:noFill/>
                <a:ln w="25371">
                  <a:noFill/>
                </a:ln>
              </c:spPr>
              <c:txPr>
                <a:bodyPr/>
                <a:lstStyle/>
                <a:p>
                  <a:pPr>
                    <a:defRPr sz="1348"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spPr>
              <a:noFill/>
              <a:ln w="25371">
                <a:noFill/>
              </a:ln>
            </c:spPr>
            <c:txPr>
              <a:bodyPr wrap="square" lIns="38100" tIns="19050" rIns="38100" bIns="19050" anchor="ctr">
                <a:spAutoFit/>
              </a:bodyPr>
              <a:lstStyle/>
              <a:p>
                <a:pPr>
                  <a:defRPr sz="1348"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Sheet1!$B$2:$J$2</c:f>
              <c:numCache>
                <c:formatCode>General</c:formatCode>
                <c:ptCount val="9"/>
                <c:pt idx="0">
                  <c:v>5</c:v>
                </c:pt>
                <c:pt idx="1">
                  <c:v>10</c:v>
                </c:pt>
                <c:pt idx="2">
                  <c:v>7</c:v>
                </c:pt>
                <c:pt idx="3">
                  <c:v>6</c:v>
                </c:pt>
                <c:pt idx="4">
                  <c:v>20</c:v>
                </c:pt>
                <c:pt idx="5">
                  <c:v>23</c:v>
                </c:pt>
                <c:pt idx="6">
                  <c:v>25</c:v>
                </c:pt>
                <c:pt idx="7">
                  <c:v>18</c:v>
                </c:pt>
                <c:pt idx="8">
                  <c:v>27</c:v>
                </c:pt>
              </c:numCache>
            </c:numRef>
          </c:val>
        </c:ser>
        <c:dLbls>
          <c:showLegendKey val="0"/>
          <c:showVal val="1"/>
          <c:showCatName val="0"/>
          <c:showSerName val="0"/>
          <c:showPercent val="0"/>
          <c:showBubbleSize val="0"/>
        </c:dLbls>
        <c:gapWidth val="150"/>
        <c:axId val="453038424"/>
        <c:axId val="453038032"/>
      </c:barChart>
      <c:catAx>
        <c:axId val="453038424"/>
        <c:scaling>
          <c:orientation val="minMax"/>
        </c:scaling>
        <c:delete val="0"/>
        <c:axPos val="b"/>
        <c:numFmt formatCode="General" sourceLinked="1"/>
        <c:majorTickMark val="out"/>
        <c:minorTickMark val="none"/>
        <c:tickLblPos val="nextTo"/>
        <c:spPr>
          <a:ln w="3171">
            <a:solidFill>
              <a:srgbClr val="000000"/>
            </a:solidFill>
            <a:prstDash val="solid"/>
          </a:ln>
        </c:spPr>
        <c:txPr>
          <a:bodyPr rot="-2700000" vert="horz"/>
          <a:lstStyle/>
          <a:p>
            <a:pPr>
              <a:defRPr sz="1050" b="1" i="0" u="none" strike="noStrike" baseline="0">
                <a:solidFill>
                  <a:srgbClr val="000000"/>
                </a:solidFill>
                <a:latin typeface="Calibri"/>
                <a:ea typeface="Calibri"/>
                <a:cs typeface="Calibri"/>
              </a:defRPr>
            </a:pPr>
            <a:endParaRPr lang="uk-UA"/>
          </a:p>
        </c:txPr>
        <c:crossAx val="453038032"/>
        <c:crossesAt val="0"/>
        <c:auto val="1"/>
        <c:lblAlgn val="ctr"/>
        <c:lblOffset val="100"/>
        <c:tickLblSkip val="1"/>
        <c:tickMarkSkip val="1"/>
        <c:noMultiLvlLbl val="0"/>
      </c:catAx>
      <c:valAx>
        <c:axId val="453038032"/>
        <c:scaling>
          <c:orientation val="minMax"/>
          <c:min val="0"/>
        </c:scaling>
        <c:delete val="1"/>
        <c:axPos val="l"/>
        <c:numFmt formatCode="General" sourceLinked="1"/>
        <c:majorTickMark val="out"/>
        <c:minorTickMark val="none"/>
        <c:tickLblPos val="nextTo"/>
        <c:crossAx val="453038424"/>
        <c:crosses val="autoZero"/>
        <c:crossBetween val="between"/>
        <c:majorUnit val="100"/>
        <c:minorUnit val="50"/>
      </c:valAx>
      <c:spPr>
        <a:noFill/>
        <a:ln w="25371">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645088524812"/>
          <c:y val="2.7491408934707903E-2"/>
          <c:w val="0.66943984348234786"/>
          <c:h val="0.76652209209248989"/>
        </c:manualLayout>
      </c:layout>
      <c:barChart>
        <c:barDir val="bar"/>
        <c:grouping val="stacked"/>
        <c:varyColors val="0"/>
        <c:ser>
          <c:idx val="0"/>
          <c:order val="0"/>
          <c:tx>
            <c:strRef>
              <c:f>Sheet1!$B$1</c:f>
              <c:strCache>
                <c:ptCount val="1"/>
                <c:pt idx="0">
                  <c:v>2012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Гематологія</c:v>
                </c:pt>
                <c:pt idx="1">
                  <c:v>Кардіологія</c:v>
                </c:pt>
                <c:pt idx="2">
                  <c:v>Ендокринологія</c:v>
                </c:pt>
                <c:pt idx="3">
                  <c:v>Ревматологія</c:v>
                </c:pt>
                <c:pt idx="4">
                  <c:v>Пульмонологія</c:v>
                </c:pt>
                <c:pt idx="5">
                  <c:v>Онкологія</c:v>
                </c:pt>
                <c:pt idx="6">
                  <c:v>Психіатрія та неврологія</c:v>
                </c:pt>
              </c:strCache>
            </c:strRef>
          </c:cat>
          <c:val>
            <c:numRef>
              <c:f>Sheet1!$B$2:$B$8</c:f>
              <c:numCache>
                <c:formatCode>General</c:formatCode>
                <c:ptCount val="7"/>
                <c:pt idx="0">
                  <c:v>10</c:v>
                </c:pt>
                <c:pt idx="1">
                  <c:v>12</c:v>
                </c:pt>
                <c:pt idx="2">
                  <c:v>12</c:v>
                </c:pt>
                <c:pt idx="3">
                  <c:v>21</c:v>
                </c:pt>
                <c:pt idx="4">
                  <c:v>30</c:v>
                </c:pt>
                <c:pt idx="5">
                  <c:v>45</c:v>
                </c:pt>
                <c:pt idx="6">
                  <c:v>36</c:v>
                </c:pt>
              </c:numCache>
            </c:numRef>
          </c:val>
        </c:ser>
        <c:ser>
          <c:idx val="1"/>
          <c:order val="1"/>
          <c:tx>
            <c:strRef>
              <c:f>Sheet1!$C$1</c:f>
              <c:strCache>
                <c:ptCount val="1"/>
                <c:pt idx="0">
                  <c:v>2013</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Гематологія</c:v>
                </c:pt>
                <c:pt idx="1">
                  <c:v>Кардіологія</c:v>
                </c:pt>
                <c:pt idx="2">
                  <c:v>Ендокринологія</c:v>
                </c:pt>
                <c:pt idx="3">
                  <c:v>Ревматологія</c:v>
                </c:pt>
                <c:pt idx="4">
                  <c:v>Пульмонологія</c:v>
                </c:pt>
                <c:pt idx="5">
                  <c:v>Онкологія</c:v>
                </c:pt>
                <c:pt idx="6">
                  <c:v>Психіатрія та неврологія</c:v>
                </c:pt>
              </c:strCache>
            </c:strRef>
          </c:cat>
          <c:val>
            <c:numRef>
              <c:f>Sheet1!$C$2:$C$8</c:f>
              <c:numCache>
                <c:formatCode>General</c:formatCode>
                <c:ptCount val="7"/>
                <c:pt idx="0">
                  <c:v>15</c:v>
                </c:pt>
                <c:pt idx="1">
                  <c:v>18</c:v>
                </c:pt>
                <c:pt idx="2">
                  <c:v>10</c:v>
                </c:pt>
                <c:pt idx="3">
                  <c:v>22</c:v>
                </c:pt>
                <c:pt idx="4">
                  <c:v>16</c:v>
                </c:pt>
                <c:pt idx="5">
                  <c:v>27</c:v>
                </c:pt>
                <c:pt idx="6">
                  <c:v>38</c:v>
                </c:pt>
              </c:numCache>
            </c:numRef>
          </c:val>
        </c:ser>
        <c:ser>
          <c:idx val="2"/>
          <c:order val="2"/>
          <c:tx>
            <c:strRef>
              <c:f>Sheet1!$D$1</c:f>
              <c:strCache>
                <c:ptCount val="1"/>
                <c:pt idx="0">
                  <c:v>2014</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Гематологія</c:v>
                </c:pt>
                <c:pt idx="1">
                  <c:v>Кардіологія</c:v>
                </c:pt>
                <c:pt idx="2">
                  <c:v>Ендокринологія</c:v>
                </c:pt>
                <c:pt idx="3">
                  <c:v>Ревматологія</c:v>
                </c:pt>
                <c:pt idx="4">
                  <c:v>Пульмонологія</c:v>
                </c:pt>
                <c:pt idx="5">
                  <c:v>Онкологія</c:v>
                </c:pt>
                <c:pt idx="6">
                  <c:v>Психіатрія та неврологія</c:v>
                </c:pt>
              </c:strCache>
            </c:strRef>
          </c:cat>
          <c:val>
            <c:numRef>
              <c:f>Sheet1!$D$2:$D$8</c:f>
              <c:numCache>
                <c:formatCode>General</c:formatCode>
                <c:ptCount val="7"/>
                <c:pt idx="0">
                  <c:v>8</c:v>
                </c:pt>
                <c:pt idx="1">
                  <c:v>14</c:v>
                </c:pt>
                <c:pt idx="2">
                  <c:v>15</c:v>
                </c:pt>
                <c:pt idx="3">
                  <c:v>21</c:v>
                </c:pt>
                <c:pt idx="4">
                  <c:v>30</c:v>
                </c:pt>
                <c:pt idx="5">
                  <c:v>30</c:v>
                </c:pt>
                <c:pt idx="6">
                  <c:v>25</c:v>
                </c:pt>
              </c:numCache>
            </c:numRef>
          </c:val>
        </c:ser>
        <c:ser>
          <c:idx val="3"/>
          <c:order val="3"/>
          <c:tx>
            <c:strRef>
              <c:f>Sheet1!$E$1</c:f>
              <c:strCache>
                <c:ptCount val="1"/>
                <c:pt idx="0">
                  <c:v>2015</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Гематологія</c:v>
                </c:pt>
                <c:pt idx="1">
                  <c:v>Кардіологія</c:v>
                </c:pt>
                <c:pt idx="2">
                  <c:v>Ендокринологія</c:v>
                </c:pt>
                <c:pt idx="3">
                  <c:v>Ревматологія</c:v>
                </c:pt>
                <c:pt idx="4">
                  <c:v>Пульмонологія</c:v>
                </c:pt>
                <c:pt idx="5">
                  <c:v>Онкологія</c:v>
                </c:pt>
                <c:pt idx="6">
                  <c:v>Психіатрія та неврологія</c:v>
                </c:pt>
              </c:strCache>
            </c:strRef>
          </c:cat>
          <c:val>
            <c:numRef>
              <c:f>Sheet1!$E$2:$E$8</c:f>
              <c:numCache>
                <c:formatCode>General</c:formatCode>
                <c:ptCount val="7"/>
                <c:pt idx="0">
                  <c:v>6</c:v>
                </c:pt>
                <c:pt idx="1">
                  <c:v>4</c:v>
                </c:pt>
                <c:pt idx="2">
                  <c:v>9</c:v>
                </c:pt>
                <c:pt idx="3">
                  <c:v>16</c:v>
                </c:pt>
                <c:pt idx="4">
                  <c:v>18</c:v>
                </c:pt>
                <c:pt idx="5">
                  <c:v>28</c:v>
                </c:pt>
                <c:pt idx="6">
                  <c:v>22</c:v>
                </c:pt>
              </c:numCache>
            </c:numRef>
          </c:val>
        </c:ser>
        <c:ser>
          <c:idx val="4"/>
          <c:order val="4"/>
          <c:tx>
            <c:strRef>
              <c:f>Sheet1!$F$1</c:f>
              <c:strCache>
                <c:ptCount val="1"/>
                <c:pt idx="0">
                  <c:v>2016</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Гематологія</c:v>
                </c:pt>
                <c:pt idx="1">
                  <c:v>Кардіологія</c:v>
                </c:pt>
                <c:pt idx="2">
                  <c:v>Ендокринологія</c:v>
                </c:pt>
                <c:pt idx="3">
                  <c:v>Ревматологія</c:v>
                </c:pt>
                <c:pt idx="4">
                  <c:v>Пульмонологія</c:v>
                </c:pt>
                <c:pt idx="5">
                  <c:v>Онкологія</c:v>
                </c:pt>
                <c:pt idx="6">
                  <c:v>Психіатрія та неврологія</c:v>
                </c:pt>
              </c:strCache>
            </c:strRef>
          </c:cat>
          <c:val>
            <c:numRef>
              <c:f>Sheet1!$F$2:$F$8</c:f>
              <c:numCache>
                <c:formatCode>General</c:formatCode>
                <c:ptCount val="7"/>
                <c:pt idx="0">
                  <c:v>5</c:v>
                </c:pt>
                <c:pt idx="1">
                  <c:v>6</c:v>
                </c:pt>
                <c:pt idx="2">
                  <c:v>6</c:v>
                </c:pt>
                <c:pt idx="3">
                  <c:v>14</c:v>
                </c:pt>
                <c:pt idx="4">
                  <c:v>14</c:v>
                </c:pt>
                <c:pt idx="5">
                  <c:v>30</c:v>
                </c:pt>
                <c:pt idx="6">
                  <c:v>26</c:v>
                </c:pt>
              </c:numCache>
            </c:numRef>
          </c:val>
        </c:ser>
        <c:ser>
          <c:idx val="5"/>
          <c:order val="5"/>
          <c:tx>
            <c:strRef>
              <c:f>Sheet1!$G$1</c:f>
              <c:strCache>
                <c:ptCount val="1"/>
                <c:pt idx="0">
                  <c:v>2017</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Гематологія</c:v>
                </c:pt>
                <c:pt idx="1">
                  <c:v>Кардіологія</c:v>
                </c:pt>
                <c:pt idx="2">
                  <c:v>Ендокринологія</c:v>
                </c:pt>
                <c:pt idx="3">
                  <c:v>Ревматологія</c:v>
                </c:pt>
                <c:pt idx="4">
                  <c:v>Пульмонологія</c:v>
                </c:pt>
                <c:pt idx="5">
                  <c:v>Онкологія</c:v>
                </c:pt>
                <c:pt idx="6">
                  <c:v>Психіатрія та неврологія</c:v>
                </c:pt>
              </c:strCache>
            </c:strRef>
          </c:cat>
          <c:val>
            <c:numRef>
              <c:f>Sheet1!$G$2:$G$8</c:f>
              <c:numCache>
                <c:formatCode>General</c:formatCode>
                <c:ptCount val="7"/>
                <c:pt idx="0">
                  <c:v>10</c:v>
                </c:pt>
                <c:pt idx="1">
                  <c:v>14</c:v>
                </c:pt>
                <c:pt idx="2">
                  <c:v>10</c:v>
                </c:pt>
                <c:pt idx="3">
                  <c:v>23</c:v>
                </c:pt>
                <c:pt idx="4">
                  <c:v>7</c:v>
                </c:pt>
                <c:pt idx="5">
                  <c:v>33</c:v>
                </c:pt>
                <c:pt idx="6">
                  <c:v>29</c:v>
                </c:pt>
              </c:numCache>
            </c:numRef>
          </c:val>
        </c:ser>
        <c:ser>
          <c:idx val="6"/>
          <c:order val="6"/>
          <c:tx>
            <c:strRef>
              <c:f>Sheet1!$H$1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Гематологія</c:v>
                </c:pt>
                <c:pt idx="1">
                  <c:v>Кардіологія</c:v>
                </c:pt>
                <c:pt idx="2">
                  <c:v>Ендокринологія</c:v>
                </c:pt>
                <c:pt idx="3">
                  <c:v>Ревматологія</c:v>
                </c:pt>
                <c:pt idx="4">
                  <c:v>Пульмонологія</c:v>
                </c:pt>
                <c:pt idx="5">
                  <c:v>Онкологія</c:v>
                </c:pt>
                <c:pt idx="6">
                  <c:v>Психіатрія та неврологія</c:v>
                </c:pt>
              </c:strCache>
            </c:strRef>
          </c:cat>
          <c:val>
            <c:numRef>
              <c:f>Sheet1!$H$2:$H$8</c:f>
              <c:numCache>
                <c:formatCode>General</c:formatCode>
                <c:ptCount val="7"/>
                <c:pt idx="0">
                  <c:v>8</c:v>
                </c:pt>
                <c:pt idx="1">
                  <c:v>8</c:v>
                </c:pt>
                <c:pt idx="2">
                  <c:v>9</c:v>
                </c:pt>
                <c:pt idx="3">
                  <c:v>9</c:v>
                </c:pt>
                <c:pt idx="4">
                  <c:v>16</c:v>
                </c:pt>
                <c:pt idx="5">
                  <c:v>46</c:v>
                </c:pt>
                <c:pt idx="6">
                  <c:v>27</c:v>
                </c:pt>
              </c:numCache>
            </c:numRef>
          </c:val>
        </c:ser>
        <c:dLbls>
          <c:showLegendKey val="0"/>
          <c:showVal val="1"/>
          <c:showCatName val="0"/>
          <c:showSerName val="0"/>
          <c:showPercent val="0"/>
          <c:showBubbleSize val="0"/>
        </c:dLbls>
        <c:gapWidth val="150"/>
        <c:overlap val="100"/>
        <c:axId val="189546096"/>
        <c:axId val="189546488"/>
      </c:barChart>
      <c:catAx>
        <c:axId val="18954609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a:lstStyle/>
          <a:p>
            <a:pPr>
              <a:defRPr/>
            </a:pPr>
            <a:endParaRPr lang="uk-UA"/>
          </a:p>
        </c:txPr>
        <c:crossAx val="189546488"/>
        <c:crosses val="autoZero"/>
        <c:auto val="1"/>
        <c:lblAlgn val="ctr"/>
        <c:lblOffset val="100"/>
        <c:tickLblSkip val="1"/>
        <c:tickMarkSkip val="1"/>
        <c:noMultiLvlLbl val="0"/>
      </c:catAx>
      <c:valAx>
        <c:axId val="18954648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uk-UA"/>
          </a:p>
        </c:txPr>
        <c:crossAx val="189546096"/>
        <c:crosses val="autoZero"/>
        <c:crossBetween val="between"/>
      </c:valAx>
      <c:spPr>
        <a:noFill/>
        <a:ln>
          <a:noFill/>
        </a:ln>
        <a:effectLst/>
      </c:spPr>
    </c:plotArea>
    <c:legend>
      <c:legendPos val="b"/>
      <c:overlay val="0"/>
      <c:spPr>
        <a:noFill/>
        <a:ln>
          <a:noFill/>
        </a:ln>
        <a:effectLst/>
      </c:spPr>
      <c:txPr>
        <a:bodyPr rot="0" vert="horz"/>
        <a:lstStyle/>
        <a:p>
          <a:pPr>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090826565030915E-2"/>
          <c:y val="0.14815258637906931"/>
          <c:w val="0.93584432090296565"/>
          <c:h val="0.66781152056412363"/>
        </c:manualLayout>
      </c:layout>
      <c:barChart>
        <c:barDir val="col"/>
        <c:grouping val="clustered"/>
        <c:varyColors val="0"/>
        <c:ser>
          <c:idx val="0"/>
          <c:order val="0"/>
          <c:tx>
            <c:strRef>
              <c:f>Лист1!$B$1</c:f>
              <c:strCache>
                <c:ptCount val="1"/>
                <c:pt idx="0">
                  <c:v>І фаза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7</c:v>
                </c:pt>
                <c:pt idx="1">
                  <c:v>2</c:v>
                </c:pt>
                <c:pt idx="2">
                  <c:v>2</c:v>
                </c:pt>
                <c:pt idx="3">
                  <c:v>1</c:v>
                </c:pt>
                <c:pt idx="4">
                  <c:v>3</c:v>
                </c:pt>
                <c:pt idx="5">
                  <c:v>9</c:v>
                </c:pt>
                <c:pt idx="6">
                  <c:v>5</c:v>
                </c:pt>
              </c:numCache>
            </c:numRef>
          </c:val>
        </c:ser>
        <c:ser>
          <c:idx val="1"/>
          <c:order val="1"/>
          <c:tx>
            <c:strRef>
              <c:f>Лист1!$C$1</c:f>
              <c:strCache>
                <c:ptCount val="1"/>
                <c:pt idx="0">
                  <c:v>І /ІІфаза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2">
                  <c:v>4</c:v>
                </c:pt>
                <c:pt idx="3">
                  <c:v>1</c:v>
                </c:pt>
                <c:pt idx="5">
                  <c:v>2</c:v>
                </c:pt>
                <c:pt idx="6">
                  <c:v>1</c:v>
                </c:pt>
              </c:numCache>
            </c:numRef>
          </c:val>
        </c:ser>
        <c:ser>
          <c:idx val="2"/>
          <c:order val="2"/>
          <c:tx>
            <c:strRef>
              <c:f>Лист1!$D$1</c:f>
              <c:strCache>
                <c:ptCount val="1"/>
                <c:pt idx="0">
                  <c:v>І /ІІІфаза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Лист1!$D$2:$D$8</c:f>
              <c:numCache>
                <c:formatCode>General</c:formatCode>
                <c:ptCount val="7"/>
                <c:pt idx="1">
                  <c:v>1</c:v>
                </c:pt>
                <c:pt idx="2">
                  <c:v>2</c:v>
                </c:pt>
                <c:pt idx="4">
                  <c:v>1</c:v>
                </c:pt>
              </c:numCache>
            </c:numRef>
          </c:val>
        </c:ser>
        <c:ser>
          <c:idx val="3"/>
          <c:order val="3"/>
          <c:tx>
            <c:strRef>
              <c:f>Лист1!$E$1</c:f>
              <c:strCache>
                <c:ptCount val="1"/>
                <c:pt idx="0">
                  <c:v>ІІ фаза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Лист1!$E$2:$E$8</c:f>
              <c:numCache>
                <c:formatCode>General</c:formatCode>
                <c:ptCount val="7"/>
                <c:pt idx="0">
                  <c:v>75</c:v>
                </c:pt>
                <c:pt idx="1">
                  <c:v>33</c:v>
                </c:pt>
                <c:pt idx="2">
                  <c:v>34</c:v>
                </c:pt>
                <c:pt idx="3">
                  <c:v>26</c:v>
                </c:pt>
                <c:pt idx="4">
                  <c:v>37</c:v>
                </c:pt>
                <c:pt idx="5">
                  <c:v>53</c:v>
                </c:pt>
                <c:pt idx="6">
                  <c:v>39</c:v>
                </c:pt>
              </c:numCache>
            </c:numRef>
          </c:val>
        </c:ser>
        <c:ser>
          <c:idx val="4"/>
          <c:order val="4"/>
          <c:tx>
            <c:strRef>
              <c:f>Лист1!$F$1</c:f>
              <c:strCache>
                <c:ptCount val="1"/>
                <c:pt idx="0">
                  <c:v>ІІ/ІІІ фаза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Лист1!$F$2:$F$8</c:f>
              <c:numCache>
                <c:formatCode>General</c:formatCode>
                <c:ptCount val="7"/>
                <c:pt idx="0">
                  <c:v>1</c:v>
                </c:pt>
                <c:pt idx="2">
                  <c:v>4</c:v>
                </c:pt>
                <c:pt idx="3">
                  <c:v>1</c:v>
                </c:pt>
                <c:pt idx="4">
                  <c:v>7</c:v>
                </c:pt>
                <c:pt idx="5">
                  <c:v>3</c:v>
                </c:pt>
                <c:pt idx="6">
                  <c:v>4</c:v>
                </c:pt>
              </c:numCache>
            </c:numRef>
          </c:val>
        </c:ser>
        <c:ser>
          <c:idx val="5"/>
          <c:order val="5"/>
          <c:tx>
            <c:strRef>
              <c:f>Лист1!$G$1</c:f>
              <c:strCache>
                <c:ptCount val="1"/>
                <c:pt idx="0">
                  <c:v>ІІІ фаза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Лист1!$G$2:$G$8</c:f>
              <c:numCache>
                <c:formatCode>General</c:formatCode>
                <c:ptCount val="7"/>
                <c:pt idx="0">
                  <c:v>122</c:v>
                </c:pt>
                <c:pt idx="1">
                  <c:v>134</c:v>
                </c:pt>
                <c:pt idx="2">
                  <c:v>136</c:v>
                </c:pt>
                <c:pt idx="3">
                  <c:v>110</c:v>
                </c:pt>
                <c:pt idx="4">
                  <c:v>84</c:v>
                </c:pt>
                <c:pt idx="5">
                  <c:v>111</c:v>
                </c:pt>
                <c:pt idx="6">
                  <c:v>123</c:v>
                </c:pt>
              </c:numCache>
            </c:numRef>
          </c:val>
        </c:ser>
        <c:ser>
          <c:idx val="6"/>
          <c:order val="6"/>
          <c:tx>
            <c:strRef>
              <c:f>Лист1!$H$1</c:f>
              <c:strCache>
                <c:ptCount val="1"/>
                <c:pt idx="0">
                  <c:v>ІІІ/ІV фаза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Лист1!$H$2:$H$8</c:f>
              <c:numCache>
                <c:formatCode>General</c:formatCode>
                <c:ptCount val="7"/>
                <c:pt idx="4">
                  <c:v>2</c:v>
                </c:pt>
                <c:pt idx="5">
                  <c:v>2</c:v>
                </c:pt>
                <c:pt idx="6">
                  <c:v>1</c:v>
                </c:pt>
              </c:numCache>
            </c:numRef>
          </c:val>
        </c:ser>
        <c:ser>
          <c:idx val="7"/>
          <c:order val="7"/>
          <c:tx>
            <c:strRef>
              <c:f>Лист1!$I$1</c:f>
              <c:strCache>
                <c:ptCount val="1"/>
                <c:pt idx="0">
                  <c:v>IV фаза</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Лист1!$I$2:$I$8</c:f>
              <c:numCache>
                <c:formatCode>General</c:formatCode>
                <c:ptCount val="7"/>
                <c:pt idx="0">
                  <c:v>8</c:v>
                </c:pt>
                <c:pt idx="1">
                  <c:v>7</c:v>
                </c:pt>
                <c:pt idx="2">
                  <c:v>5</c:v>
                </c:pt>
                <c:pt idx="3">
                  <c:v>5</c:v>
                </c:pt>
                <c:pt idx="4">
                  <c:v>1</c:v>
                </c:pt>
                <c:pt idx="5">
                  <c:v>2</c:v>
                </c:pt>
                <c:pt idx="6">
                  <c:v>3</c:v>
                </c:pt>
              </c:numCache>
            </c:numRef>
          </c:val>
        </c:ser>
        <c:dLbls>
          <c:dLblPos val="outEnd"/>
          <c:showLegendKey val="0"/>
          <c:showVal val="1"/>
          <c:showCatName val="0"/>
          <c:showSerName val="0"/>
          <c:showPercent val="0"/>
          <c:showBubbleSize val="0"/>
        </c:dLbls>
        <c:gapWidth val="219"/>
        <c:overlap val="-27"/>
        <c:axId val="328726592"/>
        <c:axId val="301241152"/>
      </c:barChart>
      <c:catAx>
        <c:axId val="32872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1241152"/>
        <c:crosses val="autoZero"/>
        <c:auto val="1"/>
        <c:lblAlgn val="ctr"/>
        <c:lblOffset val="100"/>
        <c:noMultiLvlLbl val="0"/>
      </c:catAx>
      <c:valAx>
        <c:axId val="30124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2872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noFill/>
        <a:ln w="12700">
          <a:solidFill>
            <a:srgbClr val="000000"/>
          </a:solidFill>
          <a:prstDash val="solid"/>
        </a:ln>
        <a:effectLst/>
        <a:sp3d contourW="12700">
          <a:contourClr>
            <a:srgbClr val="000000"/>
          </a:contourClr>
        </a:sp3d>
      </c:spPr>
    </c:sideWall>
    <c:backWall>
      <c:thickness val="0"/>
      <c:spPr>
        <a:noFill/>
        <a:ln w="12700">
          <a:solidFill>
            <a:srgbClr val="000000"/>
          </a:solidFill>
          <a:prstDash val="solid"/>
        </a:ln>
        <a:effectLst/>
        <a:sp3d contourW="12700">
          <a:contourClr>
            <a:srgbClr val="000000"/>
          </a:contourClr>
        </a:sp3d>
      </c:spPr>
    </c:backWall>
    <c:plotArea>
      <c:layout>
        <c:manualLayout>
          <c:layoutTarget val="inner"/>
          <c:xMode val="edge"/>
          <c:yMode val="edge"/>
          <c:x val="5.629150213790042E-2"/>
          <c:y val="3.9375711507447113E-2"/>
          <c:w val="0.86217123453040179"/>
          <c:h val="0.64184397163120566"/>
        </c:manualLayout>
      </c:layout>
      <c:bar3DChart>
        <c:barDir val="col"/>
        <c:grouping val="clustered"/>
        <c:varyColors val="0"/>
        <c:ser>
          <c:idx val="0"/>
          <c:order val="0"/>
          <c:tx>
            <c:strRef>
              <c:f>Sheet1!$A$2</c:f>
              <c:strCache>
                <c:ptCount val="1"/>
                <c:pt idx="0">
                  <c:v>МБЦ КВ</c:v>
                </c:pt>
              </c:strCache>
            </c:strRef>
          </c:tx>
          <c:spPr>
            <a:solidFill>
              <a:schemeClr val="accent6"/>
            </a:solidFill>
            <a:ln>
              <a:noFill/>
            </a:ln>
            <a:effectLst/>
            <a:sp3d/>
          </c:spPr>
          <c:invertIfNegative val="0"/>
          <c:dLbls>
            <c:dLbl>
              <c:idx val="0"/>
              <c:layout>
                <c:manualLayout>
                  <c:x val="2.2958512965249367E-2"/>
                  <c:y val="-9.6400973567709602E-3"/>
                </c:manualLayout>
              </c:layout>
              <c:spPr>
                <a:noFill/>
                <a:ln w="25312">
                  <a:noFill/>
                </a:ln>
                <a:effectLst/>
              </c:spPr>
              <c:txPr>
                <a:bodyPr rot="0" spcFirstLastPara="1" vertOverflow="ellipsis" vert="horz" wrap="square" anchor="ctr" anchorCtr="1"/>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5389774609151252E-2"/>
                  <c:y val="-2.4096422581965538E-2"/>
                </c:manualLayout>
              </c:layout>
              <c:spPr>
                <a:noFill/>
                <a:ln w="25312">
                  <a:noFill/>
                </a:ln>
                <a:effectLst/>
              </c:spPr>
              <c:txPr>
                <a:bodyPr rot="0" spcFirstLastPara="1" vertOverflow="ellipsis" vert="horz" wrap="square" anchor="ctr" anchorCtr="1"/>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7399580314355956E-2"/>
                  <c:y val="-1.4361893072205589E-2"/>
                </c:manualLayout>
              </c:layout>
              <c:spPr>
                <a:noFill/>
                <a:ln w="25312">
                  <a:noFill/>
                </a:ln>
                <a:effectLst/>
              </c:spPr>
              <c:txPr>
                <a:bodyPr rot="0" spcFirstLastPara="1" vertOverflow="ellipsis" vert="horz" wrap="square" anchor="ctr" anchorCtr="1"/>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5.9992269157664868E-3"/>
                  <c:y val="-1.1787093184968456E-2"/>
                </c:manualLayout>
              </c:layout>
              <c:spPr>
                <a:noFill/>
                <a:ln w="25312">
                  <a:noFill/>
                </a:ln>
                <a:effectLst/>
              </c:spPr>
              <c:txPr>
                <a:bodyPr rot="0" spcFirstLastPara="1" vertOverflow="ellipsis" vert="horz" wrap="square" anchor="ctr" anchorCtr="1"/>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3778326599735435E-2"/>
                  <c:y val="-1.727651284212417E-2"/>
                </c:manualLayout>
              </c:layout>
              <c:spPr>
                <a:noFill/>
                <a:ln w="25312">
                  <a:noFill/>
                </a:ln>
                <a:effectLst/>
              </c:spPr>
              <c:txPr>
                <a:bodyPr rot="0" spcFirstLastPara="1" vertOverflow="ellipsis" vert="horz" wrap="square" anchor="ctr" anchorCtr="1"/>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w="25312">
                <a:noFill/>
              </a:ln>
              <a:effectLst/>
            </c:spPr>
            <c:txPr>
              <a:bodyPr rot="0" spcFirstLastPara="1" vertOverflow="ellipsis" vert="horz" wrap="square" lIns="38100" tIns="19050" rIns="38100" bIns="19050" anchor="ctr" anchorCtr="1">
                <a:spAutoFit/>
              </a:bodyPr>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Sheet1!$B$2:$H$2</c:f>
              <c:numCache>
                <c:formatCode>General</c:formatCode>
                <c:ptCount val="7"/>
                <c:pt idx="0">
                  <c:v>36</c:v>
                </c:pt>
                <c:pt idx="1">
                  <c:v>20</c:v>
                </c:pt>
                <c:pt idx="2">
                  <c:v>19</c:v>
                </c:pt>
                <c:pt idx="3">
                  <c:v>14</c:v>
                </c:pt>
                <c:pt idx="4">
                  <c:v>6</c:v>
                </c:pt>
                <c:pt idx="5">
                  <c:v>26</c:v>
                </c:pt>
                <c:pt idx="6">
                  <c:v>25</c:v>
                </c:pt>
              </c:numCache>
            </c:numRef>
          </c:val>
        </c:ser>
        <c:ser>
          <c:idx val="1"/>
          <c:order val="1"/>
          <c:tx>
            <c:strRef>
              <c:f>Sheet1!$A$3</c:f>
              <c:strCache>
                <c:ptCount val="1"/>
                <c:pt idx="0">
                  <c:v>Передреєстраційні КВ</c:v>
                </c:pt>
              </c:strCache>
            </c:strRef>
          </c:tx>
          <c:spPr>
            <a:solidFill>
              <a:schemeClr val="accent5"/>
            </a:solidFill>
            <a:ln>
              <a:noFill/>
            </a:ln>
            <a:effectLst/>
            <a:sp3d/>
          </c:spPr>
          <c:invertIfNegative val="0"/>
          <c:dLbls>
            <c:dLbl>
              <c:idx val="0"/>
              <c:layout>
                <c:manualLayout>
                  <c:x val="1.8355101444301913E-2"/>
                  <c:y val="-1.644099707979596E-2"/>
                </c:manualLayout>
              </c:layout>
              <c:spPr>
                <a:noFill/>
                <a:ln w="25312">
                  <a:noFill/>
                </a:ln>
                <a:effectLst/>
              </c:spPr>
              <c:txPr>
                <a:bodyPr rot="0" spcFirstLastPara="1" vertOverflow="ellipsis" vert="horz" wrap="square" anchor="ctr" anchorCtr="1"/>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8027742398548661E-2"/>
                  <c:y val="-3.5910416878960572E-2"/>
                </c:manualLayout>
              </c:layout>
              <c:spPr>
                <a:noFill/>
                <a:ln w="25312">
                  <a:noFill/>
                </a:ln>
                <a:effectLst/>
              </c:spPr>
              <c:txPr>
                <a:bodyPr rot="0" spcFirstLastPara="1" vertOverflow="ellipsis" vert="horz" wrap="square" anchor="ctr" anchorCtr="1"/>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1953256916013806E-2"/>
                  <c:y val="-7.5416225527193959E-3"/>
                </c:manualLayout>
              </c:layout>
              <c:spPr>
                <a:noFill/>
                <a:ln w="25312">
                  <a:noFill/>
                </a:ln>
                <a:effectLst/>
              </c:spPr>
              <c:txPr>
                <a:bodyPr rot="0" spcFirstLastPara="1" vertOverflow="ellipsis" vert="horz" wrap="square" anchor="ctr" anchorCtr="1"/>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480577708064279E-2"/>
                  <c:y val="-1.727651284212417E-2"/>
                </c:manualLayout>
              </c:layout>
              <c:spPr>
                <a:noFill/>
                <a:ln w="25312">
                  <a:noFill/>
                </a:ln>
                <a:effectLst/>
              </c:spPr>
              <c:txPr>
                <a:bodyPr rot="0" spcFirstLastPara="1" vertOverflow="ellipsis" vert="horz" wrap="square" anchor="ctr" anchorCtr="1"/>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2562709222628929E-2"/>
                  <c:y val="-6.7061067903910754E-3"/>
                </c:manualLayout>
              </c:layout>
              <c:spPr>
                <a:noFill/>
                <a:ln w="25312">
                  <a:noFill/>
                </a:ln>
                <a:effectLst/>
              </c:spPr>
              <c:txPr>
                <a:bodyPr rot="0" spcFirstLastPara="1" vertOverflow="ellipsis" vert="horz" wrap="square" anchor="ctr" anchorCtr="1"/>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1869436201780416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312">
                <a:noFill/>
              </a:ln>
              <a:effectLst/>
            </c:spPr>
            <c:txPr>
              <a:bodyPr rot="0" spcFirstLastPara="1" vertOverflow="ellipsis" vert="horz" wrap="square" lIns="38100" tIns="19050" rIns="38100" bIns="19050" anchor="ctr" anchorCtr="1">
                <a:spAutoFit/>
              </a:bodyPr>
              <a:lstStyle/>
              <a:p>
                <a:pPr>
                  <a:defRPr sz="1096" b="1" i="0" u="none" strike="noStrike" kern="1200"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Sheet1!$B$3:$H$3</c:f>
              <c:numCache>
                <c:formatCode>General</c:formatCode>
                <c:ptCount val="7"/>
                <c:pt idx="0">
                  <c:v>1</c:v>
                </c:pt>
                <c:pt idx="1">
                  <c:v>3</c:v>
                </c:pt>
                <c:pt idx="2">
                  <c:v>3</c:v>
                </c:pt>
                <c:pt idx="3">
                  <c:v>4</c:v>
                </c:pt>
                <c:pt idx="4">
                  <c:v>3</c:v>
                </c:pt>
                <c:pt idx="5">
                  <c:v>2</c:v>
                </c:pt>
                <c:pt idx="6">
                  <c:v>1</c:v>
                </c:pt>
              </c:numCache>
            </c:numRef>
          </c:val>
        </c:ser>
        <c:dLbls>
          <c:showLegendKey val="0"/>
          <c:showVal val="0"/>
          <c:showCatName val="0"/>
          <c:showSerName val="0"/>
          <c:showPercent val="0"/>
          <c:showBubbleSize val="0"/>
        </c:dLbls>
        <c:gapWidth val="150"/>
        <c:gapDepth val="0"/>
        <c:shape val="box"/>
        <c:axId val="459211760"/>
        <c:axId val="489636664"/>
        <c:axId val="0"/>
      </c:bar3DChart>
      <c:catAx>
        <c:axId val="459211760"/>
        <c:scaling>
          <c:orientation val="minMax"/>
        </c:scaling>
        <c:delete val="0"/>
        <c:axPos val="b"/>
        <c:numFmt formatCode="General" sourceLinked="1"/>
        <c:majorTickMark val="out"/>
        <c:minorTickMark val="none"/>
        <c:tickLblPos val="low"/>
        <c:spPr>
          <a:noFill/>
          <a:ln w="3164" cap="flat" cmpd="sng" algn="ctr">
            <a:solidFill>
              <a:srgbClr val="000000"/>
            </a:solidFill>
            <a:prstDash val="solid"/>
            <a:round/>
          </a:ln>
          <a:effectLst/>
        </c:spPr>
        <c:txPr>
          <a:bodyPr rot="0" spcFirstLastPara="1" vertOverflow="ellipsis" wrap="square" anchor="ctr" anchorCtr="1"/>
          <a:lstStyle/>
          <a:p>
            <a:pPr>
              <a:defRPr sz="997" b="1" i="0" u="none" strike="noStrike" kern="1200" baseline="0">
                <a:solidFill>
                  <a:srgbClr val="000000"/>
                </a:solidFill>
                <a:latin typeface="Arial"/>
                <a:ea typeface="Arial"/>
                <a:cs typeface="Arial"/>
              </a:defRPr>
            </a:pPr>
            <a:endParaRPr lang="uk-UA"/>
          </a:p>
        </c:txPr>
        <c:crossAx val="489636664"/>
        <c:crosses val="autoZero"/>
        <c:auto val="1"/>
        <c:lblAlgn val="ctr"/>
        <c:lblOffset val="100"/>
        <c:tickLblSkip val="1"/>
        <c:tickMarkSkip val="1"/>
        <c:noMultiLvlLbl val="0"/>
      </c:catAx>
      <c:valAx>
        <c:axId val="489636664"/>
        <c:scaling>
          <c:orientation val="minMax"/>
        </c:scaling>
        <c:delete val="0"/>
        <c:axPos val="l"/>
        <c:majorGridlines>
          <c:spPr>
            <a:ln w="3164" cap="flat" cmpd="sng" algn="ctr">
              <a:solidFill>
                <a:srgbClr val="000000"/>
              </a:solidFill>
              <a:prstDash val="solid"/>
              <a:round/>
            </a:ln>
            <a:effectLst/>
          </c:spPr>
        </c:majorGridlines>
        <c:numFmt formatCode="General" sourceLinked="1"/>
        <c:majorTickMark val="out"/>
        <c:minorTickMark val="none"/>
        <c:tickLblPos val="nextTo"/>
        <c:spPr>
          <a:noFill/>
          <a:ln w="3164" cap="flat" cmpd="sng" algn="ctr">
            <a:solidFill>
              <a:srgbClr val="000000"/>
            </a:solidFill>
            <a:prstDash val="solid"/>
            <a:round/>
          </a:ln>
          <a:effectLst/>
        </c:spPr>
        <c:txPr>
          <a:bodyPr rot="0" spcFirstLastPara="1" vertOverflow="ellipsis" wrap="square" anchor="ctr" anchorCtr="1"/>
          <a:lstStyle/>
          <a:p>
            <a:pPr>
              <a:defRPr sz="1096" b="1" i="0" u="none" strike="noStrike" kern="1200" baseline="0">
                <a:solidFill>
                  <a:srgbClr val="000000"/>
                </a:solidFill>
                <a:latin typeface="Arial"/>
                <a:ea typeface="Arial"/>
                <a:cs typeface="Arial"/>
              </a:defRPr>
            </a:pPr>
            <a:endParaRPr lang="uk-UA"/>
          </a:p>
        </c:txPr>
        <c:crossAx val="459211760"/>
        <c:crosses val="autoZero"/>
        <c:crossBetween val="between"/>
      </c:valAx>
      <c:spPr>
        <a:noFill/>
        <a:ln w="25312">
          <a:noFill/>
        </a:ln>
        <a:effectLst/>
      </c:spPr>
    </c:plotArea>
    <c:legend>
      <c:legendPos val="b"/>
      <c:layout>
        <c:manualLayout>
          <c:xMode val="edge"/>
          <c:yMode val="edge"/>
          <c:x val="0.24617307424282428"/>
          <c:y val="0.8129968893288656"/>
          <c:w val="0.51340996168582376"/>
          <c:h val="9.2198581560283682E-2"/>
        </c:manualLayout>
      </c:layout>
      <c:overlay val="0"/>
      <c:spPr>
        <a:noFill/>
        <a:ln w="3164">
          <a:solidFill>
            <a:srgbClr val="000000"/>
          </a:solidFill>
          <a:prstDash val="solid"/>
        </a:ln>
        <a:effectLst/>
      </c:spPr>
      <c:txPr>
        <a:bodyPr rot="0" spcFirstLastPara="1" vertOverflow="ellipsis" vert="horz" wrap="square" anchor="ctr" anchorCtr="1"/>
        <a:lstStyle/>
        <a:p>
          <a:pPr>
            <a:defRPr sz="1007" b="1" i="0" u="none" strike="noStrike" kern="1200" baseline="0">
              <a:solidFill>
                <a:srgbClr val="000000"/>
              </a:solidFill>
              <a:latin typeface="Arial"/>
              <a:ea typeface="Arial"/>
              <a:cs typeface="Arial"/>
            </a:defRPr>
          </a:pPr>
          <a:endParaRPr lang="uk-UA"/>
        </a:p>
      </c:txPr>
    </c:legend>
    <c:plotVisOnly val="1"/>
    <c:dispBlanksAs val="gap"/>
    <c:showDLblsOverMax val="0"/>
  </c:chart>
  <c:spPr>
    <a:noFill/>
    <a:ln w="6350" cap="flat" cmpd="sng" algn="ctr">
      <a:noFill/>
      <a:prstDash val="solid"/>
      <a:round/>
    </a:ln>
    <a:effectLst/>
  </c:spPr>
  <c:txPr>
    <a:bodyPr/>
    <a:lstStyle/>
    <a:p>
      <a:pPr>
        <a:defRPr sz="1096" b="1" i="0" u="none" strike="noStrike" baseline="0">
          <a:solidFill>
            <a:srgbClr val="000000"/>
          </a:solidFill>
          <a:latin typeface="Arial"/>
          <a:ea typeface="Arial"/>
          <a:cs typeface="Arial"/>
        </a:defRPr>
      </a:pPr>
      <a:endParaRPr lang="uk-UA"/>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503E-262D-44E9-B07F-E5DAAF37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11660</Words>
  <Characters>6647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18271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Рябенко Артур Вікторович</dc:creator>
  <cp:keywords/>
  <dc:description/>
  <cp:lastModifiedBy>Самборський А.Є.</cp:lastModifiedBy>
  <cp:revision>5</cp:revision>
  <cp:lastPrinted>2018-11-19T07:27:00Z</cp:lastPrinted>
  <dcterms:created xsi:type="dcterms:W3CDTF">2019-02-20T09:42:00Z</dcterms:created>
  <dcterms:modified xsi:type="dcterms:W3CDTF">2019-03-20T13:13:00Z</dcterms:modified>
</cp:coreProperties>
</file>